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4623" w14:textId="0D7F6399" w:rsidR="00E457B5" w:rsidRDefault="00E457B5" w:rsidP="00E457B5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Additional File </w:t>
      </w:r>
      <w:r w:rsidR="00287BB2">
        <w:rPr>
          <w:b/>
          <w:noProof/>
          <w:lang w:val="en-US"/>
        </w:rPr>
        <w:t>1</w:t>
      </w:r>
      <w:r>
        <w:rPr>
          <w:b/>
          <w:noProof/>
          <w:lang w:val="en-US"/>
        </w:rPr>
        <w:t xml:space="preserve">. </w:t>
      </w:r>
    </w:p>
    <w:p w14:paraId="33AC5806" w14:textId="77777777" w:rsidR="00E457B5" w:rsidRDefault="00E457B5" w:rsidP="00E457B5">
      <w:pPr>
        <w:rPr>
          <w:noProof/>
          <w:lang w:val="en-US"/>
        </w:rPr>
      </w:pPr>
      <w:r w:rsidRPr="00BE39D3">
        <w:rPr>
          <w:lang w:val="en-US"/>
        </w:rPr>
        <w:t xml:space="preserve">Supplementary Figure </w:t>
      </w:r>
      <w:r>
        <w:rPr>
          <w:lang w:val="en-US"/>
        </w:rPr>
        <w:t>1</w:t>
      </w:r>
      <w:r w:rsidRPr="00BE39D3">
        <w:rPr>
          <w:lang w:val="en-US"/>
        </w:rPr>
        <w:t xml:space="preserve">. </w:t>
      </w:r>
      <w:r w:rsidRPr="00BE39D3">
        <w:t>Correlation</w:t>
      </w:r>
      <w:r w:rsidRPr="00592752">
        <w:t xml:space="preserve"> between percentage of</w:t>
      </w:r>
      <w:r>
        <w:t xml:space="preserve"> </w:t>
      </w:r>
      <w:r w:rsidRPr="00BB3609">
        <w:t>p-PERK</w:t>
      </w:r>
      <w:r>
        <w:t>+</w:t>
      </w:r>
      <w:r w:rsidRPr="00BB3609">
        <w:t xml:space="preserve"> </w:t>
      </w:r>
      <w:r>
        <w:t xml:space="preserve">or </w:t>
      </w:r>
      <w:r w:rsidRPr="00BB3609">
        <w:t>p-eIF2</w:t>
      </w:r>
      <w:r>
        <w:rPr>
          <w:rFonts w:cs="Calibri"/>
        </w:rPr>
        <w:t>α+ neurons with age at death and post-mortem delay.</w:t>
      </w:r>
    </w:p>
    <w:p w14:paraId="75B9B791" w14:textId="685CC6EA" w:rsidR="00E457B5" w:rsidRDefault="00BA02A9" w:rsidP="00E457B5">
      <w:pPr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072B59B" wp14:editId="3E83FBB9">
            <wp:extent cx="5939155" cy="77533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3E75" w14:textId="0713F6C5" w:rsidR="000E32E9" w:rsidRPr="006F5BD1" w:rsidRDefault="00E457B5">
      <w:pPr>
        <w:rPr>
          <w:rFonts w:cs="Calibri"/>
        </w:rPr>
      </w:pPr>
      <w:r w:rsidRPr="00BE39D3">
        <w:rPr>
          <w:b/>
          <w:bCs/>
          <w:lang w:val="en-US"/>
        </w:rPr>
        <w:lastRenderedPageBreak/>
        <w:t xml:space="preserve">Supplementary Figure </w:t>
      </w:r>
      <w:r>
        <w:rPr>
          <w:b/>
          <w:bCs/>
          <w:lang w:val="en-US"/>
        </w:rPr>
        <w:t>1</w:t>
      </w:r>
      <w:r w:rsidRPr="00BE39D3">
        <w:rPr>
          <w:b/>
          <w:bCs/>
          <w:lang w:val="en-US"/>
        </w:rPr>
        <w:t xml:space="preserve">. </w:t>
      </w:r>
      <w:r w:rsidRPr="00BE39D3">
        <w:rPr>
          <w:b/>
          <w:bCs/>
        </w:rPr>
        <w:t>Correlation</w:t>
      </w:r>
      <w:r w:rsidRPr="00592752">
        <w:rPr>
          <w:b/>
          <w:bCs/>
        </w:rPr>
        <w:t xml:space="preserve"> between percentage of</w:t>
      </w:r>
      <w:r>
        <w:t xml:space="preserve"> </w:t>
      </w:r>
      <w:r w:rsidRPr="00BB3609">
        <w:rPr>
          <w:b/>
          <w:bCs/>
        </w:rPr>
        <w:t>p-PERK</w:t>
      </w:r>
      <w:r>
        <w:rPr>
          <w:b/>
          <w:bCs/>
        </w:rPr>
        <w:t>+</w:t>
      </w:r>
      <w:r w:rsidRPr="00BB3609">
        <w:rPr>
          <w:b/>
          <w:bCs/>
        </w:rPr>
        <w:t xml:space="preserve"> </w:t>
      </w:r>
      <w:r>
        <w:rPr>
          <w:b/>
          <w:bCs/>
        </w:rPr>
        <w:t xml:space="preserve">or </w:t>
      </w:r>
      <w:r w:rsidRPr="00BB3609">
        <w:rPr>
          <w:b/>
          <w:bCs/>
        </w:rPr>
        <w:t>p-eIF2</w:t>
      </w:r>
      <w:r>
        <w:rPr>
          <w:rFonts w:cs="Calibri"/>
          <w:b/>
          <w:bCs/>
        </w:rPr>
        <w:t xml:space="preserve">α+ neurons with age at death and post-mortem delay. </w:t>
      </w:r>
      <w:r>
        <w:rPr>
          <w:rFonts w:cs="Calibri"/>
        </w:rPr>
        <w:t xml:space="preserve">For each region, the percentage of </w:t>
      </w:r>
      <w:r w:rsidRPr="0035170A">
        <w:t>p-PERK+ or p-eIF2</w:t>
      </w:r>
      <w:r w:rsidRPr="0035170A">
        <w:rPr>
          <w:rFonts w:cs="Calibri"/>
        </w:rPr>
        <w:t>α+ neurons</w:t>
      </w:r>
      <w:r>
        <w:rPr>
          <w:rFonts w:cs="Calibri"/>
        </w:rPr>
        <w:t xml:space="preserve"> was plotted against age at death (A-E) and post-mortem delay (F-J) for each case. A non-parametric Spearman’s correlation test determined that t</w:t>
      </w:r>
      <w:r w:rsidRPr="00592752">
        <w:rPr>
          <w:rFonts w:cs="Calibri"/>
        </w:rPr>
        <w:t>here was no significant correlation</w:t>
      </w:r>
      <w:r>
        <w:rPr>
          <w:rFonts w:cs="Calibri"/>
          <w:b/>
          <w:bCs/>
        </w:rPr>
        <w:t xml:space="preserve"> </w:t>
      </w:r>
      <w:r w:rsidRPr="00592752">
        <w:rPr>
          <w:rFonts w:cs="Calibri"/>
        </w:rPr>
        <w:t xml:space="preserve">between </w:t>
      </w:r>
      <w:r>
        <w:rPr>
          <w:rFonts w:cs="Calibri"/>
        </w:rPr>
        <w:t xml:space="preserve">the </w:t>
      </w:r>
      <w:r w:rsidRPr="00592752">
        <w:rPr>
          <w:rFonts w:cs="Calibri"/>
        </w:rPr>
        <w:t xml:space="preserve">percentage of </w:t>
      </w:r>
      <w:r w:rsidRPr="00592752">
        <w:t xml:space="preserve">p-PERK+ </w:t>
      </w:r>
      <w:r>
        <w:t>or</w:t>
      </w:r>
      <w:r w:rsidRPr="00592752">
        <w:t xml:space="preserve"> p-eIF2</w:t>
      </w:r>
      <w:r w:rsidRPr="00592752">
        <w:rPr>
          <w:rFonts w:cs="Calibri"/>
        </w:rPr>
        <w:t>α+ neurons</w:t>
      </w:r>
      <w:r>
        <w:rPr>
          <w:rFonts w:cs="Calibri"/>
        </w:rPr>
        <w:t xml:space="preserve"> and age at death in any of the regions assessed. There was also no significant correlation between the </w:t>
      </w:r>
      <w:r w:rsidRPr="00592752">
        <w:rPr>
          <w:rFonts w:cs="Calibri"/>
        </w:rPr>
        <w:t xml:space="preserve">percentage of </w:t>
      </w:r>
      <w:r w:rsidRPr="00592752">
        <w:t xml:space="preserve">p-PERK+ </w:t>
      </w:r>
      <w:r>
        <w:t>or</w:t>
      </w:r>
      <w:r w:rsidRPr="00592752">
        <w:t xml:space="preserve"> p-eIF2</w:t>
      </w:r>
      <w:r w:rsidRPr="00592752">
        <w:rPr>
          <w:rFonts w:cs="Calibri"/>
        </w:rPr>
        <w:t>α+ neurons</w:t>
      </w:r>
      <w:r>
        <w:rPr>
          <w:rFonts w:cs="Calibri"/>
        </w:rPr>
        <w:t xml:space="preserve"> and post-mortem delay in the CA1 region. However, there were moderate inverse correlations between the </w:t>
      </w:r>
      <w:r w:rsidRPr="00592752">
        <w:rPr>
          <w:rFonts w:cs="Calibri"/>
        </w:rPr>
        <w:t xml:space="preserve">percentage of </w:t>
      </w:r>
      <w:r w:rsidRPr="00592752">
        <w:t>p-PERK+</w:t>
      </w:r>
      <w:r>
        <w:t xml:space="preserve"> neurons and post-mortem delay in the AONb and AONi and between </w:t>
      </w:r>
      <w:r w:rsidRPr="00592752">
        <w:t>p-eIF2</w:t>
      </w:r>
      <w:r w:rsidRPr="00592752">
        <w:rPr>
          <w:rFonts w:cs="Calibri"/>
        </w:rPr>
        <w:t>α+ neurons</w:t>
      </w:r>
      <w:r>
        <w:rPr>
          <w:rFonts w:cs="Calibri"/>
        </w:rPr>
        <w:t xml:space="preserve"> and post-mortem delay in the AONb, PIR and EC regions. </w:t>
      </w:r>
      <w:r w:rsidR="003B1EFE">
        <w:rPr>
          <w:rFonts w:cs="Calibri"/>
        </w:rPr>
        <w:t xml:space="preserve">As this is likely due to the difference in post-mortem delay between </w:t>
      </w:r>
      <w:r w:rsidR="00DE4126">
        <w:rPr>
          <w:rFonts w:cs="Calibri"/>
        </w:rPr>
        <w:t>normal</w:t>
      </w:r>
      <w:r w:rsidR="003B1EFE">
        <w:rPr>
          <w:rFonts w:cs="Calibri"/>
        </w:rPr>
        <w:t xml:space="preserve"> and AD cases, </w:t>
      </w:r>
      <w:r w:rsidR="007C1530">
        <w:rPr>
          <w:rFonts w:cs="Calibri"/>
        </w:rPr>
        <w:t xml:space="preserve">we </w:t>
      </w:r>
      <w:r w:rsidR="007277B9">
        <w:rPr>
          <w:rFonts w:cs="Calibri"/>
        </w:rPr>
        <w:t>investigated a partial correlation</w:t>
      </w:r>
      <w:r w:rsidR="00164B69">
        <w:rPr>
          <w:rFonts w:cs="Calibri"/>
        </w:rPr>
        <w:t xml:space="preserve"> by plotting cases with a</w:t>
      </w:r>
      <w:r w:rsidR="00164B69">
        <w:rPr>
          <w:rFonts w:cs="Calibri"/>
        </w:rPr>
        <w:t xml:space="preserve"> post-mortem delay between 11.5 and 36 hours</w:t>
      </w:r>
      <w:r w:rsidR="006F5BD1">
        <w:rPr>
          <w:rFonts w:cs="Calibri"/>
        </w:rPr>
        <w:t xml:space="preserve"> (K-O)</w:t>
      </w:r>
      <w:r w:rsidR="00164B69">
        <w:rPr>
          <w:rFonts w:cs="Calibri"/>
        </w:rPr>
        <w:t>.</w:t>
      </w:r>
      <w:r w:rsidR="006F5BD1">
        <w:rPr>
          <w:rFonts w:cs="Calibri"/>
        </w:rPr>
        <w:t xml:space="preserve"> This range in post-mortem delay overlapped </w:t>
      </w:r>
      <w:r w:rsidR="006F5BD1">
        <w:rPr>
          <w:rFonts w:cs="Calibri"/>
        </w:rPr>
        <w:t>between</w:t>
      </w:r>
      <w:r w:rsidR="006F5BD1">
        <w:rPr>
          <w:rFonts w:cs="Calibri"/>
        </w:rPr>
        <w:t xml:space="preserve"> </w:t>
      </w:r>
      <w:r w:rsidR="0089452D">
        <w:rPr>
          <w:rFonts w:cs="Calibri"/>
        </w:rPr>
        <w:t>the</w:t>
      </w:r>
      <w:bookmarkStart w:id="0" w:name="_GoBack"/>
      <w:bookmarkEnd w:id="0"/>
      <w:r w:rsidR="006F5BD1">
        <w:rPr>
          <w:rFonts w:cs="Calibri"/>
        </w:rPr>
        <w:t xml:space="preserve"> normal and AD groups</w:t>
      </w:r>
      <w:r w:rsidR="004A240F">
        <w:rPr>
          <w:rFonts w:cs="Calibri"/>
        </w:rPr>
        <w:t xml:space="preserve"> and n</w:t>
      </w:r>
      <w:r w:rsidR="006F5BD1">
        <w:rPr>
          <w:rFonts w:cs="Calibri"/>
        </w:rPr>
        <w:t>o significant correlation was observed</w:t>
      </w:r>
      <w:r w:rsidR="0089452D">
        <w:rPr>
          <w:rFonts w:cs="Calibri"/>
        </w:rPr>
        <w:t xml:space="preserve"> for either </w:t>
      </w:r>
      <w:r w:rsidR="0089452D" w:rsidRPr="00592752">
        <w:t xml:space="preserve">p-PERK </w:t>
      </w:r>
      <w:r w:rsidR="0089452D">
        <w:t>or</w:t>
      </w:r>
      <w:r w:rsidR="0089452D" w:rsidRPr="00592752">
        <w:t xml:space="preserve"> p-eIF2</w:t>
      </w:r>
      <w:r w:rsidR="0089452D" w:rsidRPr="00592752">
        <w:rPr>
          <w:rFonts w:cs="Calibri"/>
        </w:rPr>
        <w:t>α</w:t>
      </w:r>
      <w:r w:rsidR="0089452D">
        <w:rPr>
          <w:rFonts w:cs="Calibri"/>
        </w:rPr>
        <w:t xml:space="preserve"> in any region</w:t>
      </w:r>
      <w:r w:rsidR="006F5BD1">
        <w:rPr>
          <w:rFonts w:cs="Calibri"/>
        </w:rPr>
        <w:t xml:space="preserve">. </w:t>
      </w:r>
      <w:r w:rsidR="006F5BD1">
        <w:rPr>
          <w:rFonts w:cs="Calibri"/>
        </w:rPr>
        <w:t xml:space="preserve">Abbreviations: PMD, post-mortem delay.  </w:t>
      </w:r>
    </w:p>
    <w:sectPr w:rsidR="000E32E9" w:rsidRPr="006F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zeyMDQ1MDc3t7BQ0lEKTi0uzszPAykwqQUAQ7P+giwAAAA="/>
  </w:docVars>
  <w:rsids>
    <w:rsidRoot w:val="00E457B5"/>
    <w:rsid w:val="00097AE3"/>
    <w:rsid w:val="000E32E9"/>
    <w:rsid w:val="00164B69"/>
    <w:rsid w:val="00287BB2"/>
    <w:rsid w:val="003B1EFE"/>
    <w:rsid w:val="004A240F"/>
    <w:rsid w:val="00672E17"/>
    <w:rsid w:val="006F5BD1"/>
    <w:rsid w:val="007277B9"/>
    <w:rsid w:val="007961E3"/>
    <w:rsid w:val="007C1530"/>
    <w:rsid w:val="0089452D"/>
    <w:rsid w:val="00BA02A9"/>
    <w:rsid w:val="00BB7CB8"/>
    <w:rsid w:val="00DE4126"/>
    <w:rsid w:val="00E12881"/>
    <w:rsid w:val="00E457B5"/>
    <w:rsid w:val="00E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7600"/>
  <w15:chartTrackingRefBased/>
  <w15:docId w15:val="{A64B1153-CCBE-407E-B33E-469D613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7B5"/>
    <w:pPr>
      <w:spacing w:before="100" w:beforeAutospacing="1" w:after="100" w:afterAutospacing="1" w:line="480" w:lineRule="auto"/>
      <w:jc w:val="both"/>
    </w:pPr>
    <w:rPr>
      <w:rFonts w:ascii="Calibri" w:eastAsia="Cambria" w:hAnsi="Calibri" w:cs="Times New Roman"/>
      <w:sz w:val="24"/>
      <w:szCs w:val="24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1E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6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1E3"/>
    <w:pPr>
      <w:keepNext/>
      <w:keepLines/>
      <w:spacing w:before="0" w:beforeAutospacing="0" w:after="0" w:afterAutospacing="0" w:line="360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1E3"/>
    <w:rPr>
      <w:rFonts w:ascii="Calibri" w:eastAsiaTheme="majorEastAsia" w:hAnsi="Calibri" w:cstheme="majorBidi"/>
      <w:b/>
      <w:sz w:val="26"/>
      <w:szCs w:val="26"/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672E17"/>
    <w:pPr>
      <w:spacing w:before="0" w:after="200" w:line="240" w:lineRule="auto"/>
    </w:pPr>
    <w:rPr>
      <w:iCs/>
      <w:sz w:val="20"/>
      <w:szCs w:val="1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961E3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0A7CA5558A43926FCECE0238CE2C" ma:contentTypeVersion="13" ma:contentTypeDescription="Create a new document." ma:contentTypeScope="" ma:versionID="15932d1a1d1e6b8a639975088894cacc">
  <xsd:schema xmlns:xsd="http://www.w3.org/2001/XMLSchema" xmlns:xs="http://www.w3.org/2001/XMLSchema" xmlns:p="http://schemas.microsoft.com/office/2006/metadata/properties" xmlns:ns3="b61ed4e5-fc37-4fa0-995d-70386a6b3336" xmlns:ns4="f4a05409-acc7-4270-b7ee-d3f1b7e8423d" targetNamespace="http://schemas.microsoft.com/office/2006/metadata/properties" ma:root="true" ma:fieldsID="4dd1ac1ccb5577e32ec9331fd75a0baf" ns3:_="" ns4:_="">
    <xsd:import namespace="b61ed4e5-fc37-4fa0-995d-70386a6b3336"/>
    <xsd:import namespace="f4a05409-acc7-4270-b7ee-d3f1b7e842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d4e5-fc37-4fa0-995d-70386a6b3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05409-acc7-4270-b7ee-d3f1b7e84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0CD39-A520-45E8-8C57-33514E093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9CE32-0CF0-4146-B982-1586E8D0C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C536-5D09-49FF-9D46-1F892FEC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d4e5-fc37-4fa0-995d-70386a6b3336"/>
    <ds:schemaRef ds:uri="f4a05409-acc7-4270-b7ee-d3f1b7e8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Helen (NIH/NINDS) [V]</dc:creator>
  <cp:keywords/>
  <dc:description/>
  <cp:lastModifiedBy>Murray, Helen (NIH/NINDS) [V]</cp:lastModifiedBy>
  <cp:revision>14</cp:revision>
  <dcterms:created xsi:type="dcterms:W3CDTF">2020-05-08T02:08:00Z</dcterms:created>
  <dcterms:modified xsi:type="dcterms:W3CDTF">2020-06-08T03:30:00Z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0x010100BC500A7CA5558A43926FCECE0238CE2C</vt:lpwstr>
  </property>
</Properties>
</file>