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93339" w14:textId="77777777" w:rsidR="002C6FEB" w:rsidRDefault="002C6FEB" w:rsidP="002C6FEB">
      <w:pPr>
        <w:rPr>
          <w:b/>
          <w:noProof/>
          <w:lang w:val="en-US"/>
        </w:rPr>
      </w:pPr>
      <w:r>
        <w:rPr>
          <w:b/>
          <w:noProof/>
          <w:lang w:val="en-US"/>
        </w:rPr>
        <w:t xml:space="preserve">Additional File 2. </w:t>
      </w:r>
    </w:p>
    <w:p w14:paraId="244ED5BE" w14:textId="281F473E" w:rsidR="002C6FEB" w:rsidRDefault="002C6FEB" w:rsidP="002C6FEB">
      <w:pPr>
        <w:rPr>
          <w:rFonts w:cs="Calibri"/>
        </w:rPr>
      </w:pPr>
      <w:r w:rsidRPr="00BE39D3">
        <w:rPr>
          <w:lang w:val="en-US"/>
        </w:rPr>
        <w:t xml:space="preserve">Supplementary Figure </w:t>
      </w:r>
      <w:r>
        <w:rPr>
          <w:lang w:val="en-US"/>
        </w:rPr>
        <w:t>2</w:t>
      </w:r>
      <w:r w:rsidRPr="00BE39D3">
        <w:rPr>
          <w:lang w:val="en-US"/>
        </w:rPr>
        <w:t xml:space="preserve">. </w:t>
      </w:r>
      <w:r>
        <w:t xml:space="preserve">Distribution of </w:t>
      </w:r>
      <w:r w:rsidRPr="00BB3609">
        <w:t>p-PERK</w:t>
      </w:r>
      <w:r>
        <w:t>+</w:t>
      </w:r>
      <w:r w:rsidRPr="00BB3609">
        <w:t xml:space="preserve"> </w:t>
      </w:r>
      <w:r w:rsidR="004255EE">
        <w:t xml:space="preserve">and </w:t>
      </w:r>
      <w:r w:rsidRPr="00BB3609">
        <w:t>p-eIF2</w:t>
      </w:r>
      <w:r>
        <w:rPr>
          <w:rFonts w:cs="Calibri"/>
        </w:rPr>
        <w:t>α+ cells and beta-amyloid plaques in the AON.</w:t>
      </w:r>
    </w:p>
    <w:p w14:paraId="2CD2C2EC" w14:textId="7067D534" w:rsidR="00E5113B" w:rsidRDefault="00E5113B" w:rsidP="002C6FEB">
      <w:pPr>
        <w:rPr>
          <w:rFonts w:cs="Calibri"/>
        </w:rPr>
      </w:pPr>
      <w:r>
        <w:rPr>
          <w:rFonts w:cs="Calibri"/>
        </w:rPr>
        <w:t xml:space="preserve">Supplementary Figure 3. </w:t>
      </w:r>
      <w:r w:rsidR="002E4E94">
        <w:rPr>
          <w:rFonts w:cs="Calibri"/>
        </w:rPr>
        <w:t xml:space="preserve">Fluorescent immunohistochemistry for </w:t>
      </w:r>
      <w:r w:rsidR="001F3503">
        <w:rPr>
          <w:rFonts w:cs="Calibri"/>
        </w:rPr>
        <w:t>p-IRE1α</w:t>
      </w:r>
      <w:r w:rsidR="00D6187F">
        <w:rPr>
          <w:rFonts w:cs="Calibri"/>
        </w:rPr>
        <w:t xml:space="preserve"> in the AON and CA1 region.</w:t>
      </w:r>
    </w:p>
    <w:p w14:paraId="7F6AB129" w14:textId="77777777" w:rsidR="002C6FEB" w:rsidRDefault="002C6FEB" w:rsidP="002C6FEB">
      <w:pPr>
        <w:rPr>
          <w:noProof/>
          <w:lang w:val="en-US"/>
        </w:rPr>
      </w:pPr>
      <w:bookmarkStart w:id="0" w:name="_GoBack"/>
      <w:r>
        <w:rPr>
          <w:rFonts w:cs="Calibri"/>
          <w:noProof/>
        </w:rPr>
        <w:lastRenderedPageBreak/>
        <w:drawing>
          <wp:inline distT="0" distB="0" distL="0" distR="0" wp14:anchorId="28620A7B" wp14:editId="4CB5444F">
            <wp:extent cx="5933985" cy="683894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85" cy="68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1EF3804" w14:textId="394022B6" w:rsidR="00D6187F" w:rsidRDefault="002C6FEB" w:rsidP="00E150C0">
      <w:pPr>
        <w:spacing w:line="360" w:lineRule="auto"/>
        <w:rPr>
          <w:rFonts w:cs="Calibri"/>
        </w:rPr>
      </w:pPr>
      <w:r w:rsidRPr="00BE39D3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>2</w:t>
      </w:r>
      <w:r w:rsidRPr="00BE39D3">
        <w:rPr>
          <w:b/>
          <w:bCs/>
          <w:lang w:val="en-US"/>
        </w:rPr>
        <w:t xml:space="preserve">. </w:t>
      </w:r>
      <w:r w:rsidRPr="002C6FEB">
        <w:rPr>
          <w:b/>
          <w:bCs/>
        </w:rPr>
        <w:t>Distribution of p-PERK+ or p-eIF2</w:t>
      </w:r>
      <w:r w:rsidRPr="002C6FEB">
        <w:rPr>
          <w:rFonts w:cs="Calibri"/>
          <w:b/>
          <w:bCs/>
        </w:rPr>
        <w:t>+ cells and beta-amyloid plaques in the AON.</w:t>
      </w:r>
      <w:r>
        <w:rPr>
          <w:rFonts w:cs="Calibri"/>
          <w:b/>
          <w:bCs/>
        </w:rPr>
        <w:t xml:space="preserve"> </w:t>
      </w:r>
      <w:r>
        <w:rPr>
          <w:rFonts w:cs="Calibri"/>
        </w:rPr>
        <w:t xml:space="preserve">AON region of interest images from representative AD cases indicating the location of </w:t>
      </w:r>
      <w:r w:rsidRPr="00BB3609">
        <w:t>p-PERK</w:t>
      </w:r>
      <w:r>
        <w:t>+</w:t>
      </w:r>
      <w:r w:rsidRPr="00BB3609">
        <w:t xml:space="preserve"> </w:t>
      </w:r>
      <w:r>
        <w:t xml:space="preserve">(A-B) and </w:t>
      </w:r>
      <w:r w:rsidRPr="00BB3609">
        <w:t>p-eIF2</w:t>
      </w:r>
      <w:r>
        <w:rPr>
          <w:rFonts w:cs="Calibri"/>
        </w:rPr>
        <w:t>α+ (C–D) cells</w:t>
      </w:r>
      <w:r w:rsidR="003451A9">
        <w:rPr>
          <w:rFonts w:cs="Calibri"/>
        </w:rPr>
        <w:t xml:space="preserve"> (white arrows)</w:t>
      </w:r>
      <w:r>
        <w:rPr>
          <w:rFonts w:cs="Calibri"/>
        </w:rPr>
        <w:t xml:space="preserve"> relative to beta-amyloid plaques</w:t>
      </w:r>
      <w:r w:rsidR="003451A9">
        <w:rPr>
          <w:rFonts w:cs="Calibri"/>
        </w:rPr>
        <w:t xml:space="preserve"> (red)</w:t>
      </w:r>
      <w:r>
        <w:rPr>
          <w:rFonts w:cs="Calibri"/>
        </w:rPr>
        <w:t>. No spatial relationship was qualitatively observe</w:t>
      </w:r>
      <w:r w:rsidR="001E4358">
        <w:rPr>
          <w:rFonts w:cs="Calibri"/>
        </w:rPr>
        <w:t>d within the AON</w:t>
      </w:r>
      <w:r>
        <w:rPr>
          <w:rFonts w:cs="Calibri"/>
        </w:rPr>
        <w:t>.</w:t>
      </w:r>
      <w:r w:rsidR="002F2AC5">
        <w:rPr>
          <w:rFonts w:cs="Calibri"/>
        </w:rPr>
        <w:t xml:space="preserve"> </w:t>
      </w:r>
    </w:p>
    <w:p w14:paraId="560A4AEB" w14:textId="5D8D47EC" w:rsidR="00D6187F" w:rsidRDefault="008E56DC">
      <w:r>
        <w:rPr>
          <w:rFonts w:cs="Calibri"/>
          <w:b/>
          <w:bCs/>
          <w:noProof/>
        </w:rPr>
        <w:lastRenderedPageBreak/>
        <w:drawing>
          <wp:inline distT="0" distB="0" distL="0" distR="0" wp14:anchorId="53A14153" wp14:editId="0AFA85B8">
            <wp:extent cx="5976979" cy="615444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79" cy="615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A3BD" w14:textId="6DB84B4C" w:rsidR="008E56DC" w:rsidRDefault="008E56DC" w:rsidP="008E56DC">
      <w:pPr>
        <w:rPr>
          <w:rFonts w:cs="Calibri"/>
        </w:rPr>
      </w:pPr>
      <w:r w:rsidRPr="00A22B85">
        <w:rPr>
          <w:rFonts w:cs="Calibri"/>
          <w:b/>
          <w:bCs/>
        </w:rPr>
        <w:t>Supplementary Figure 3. Fluorescent immunohistochemistry for p-IRE1α</w:t>
      </w:r>
      <w:r w:rsidR="000E1931">
        <w:rPr>
          <w:rFonts w:cs="Calibri"/>
          <w:b/>
          <w:bCs/>
        </w:rPr>
        <w:t xml:space="preserve"> and CK1δ</w:t>
      </w:r>
      <w:r w:rsidRPr="00A22B85">
        <w:rPr>
          <w:rFonts w:cs="Calibri"/>
          <w:b/>
          <w:bCs/>
        </w:rPr>
        <w:t xml:space="preserve"> in the AON and CA1 region.</w:t>
      </w:r>
      <w:r>
        <w:rPr>
          <w:rFonts w:cs="Calibri"/>
        </w:rPr>
        <w:t xml:space="preserve"> </w:t>
      </w:r>
      <w:r w:rsidR="007B6D4D">
        <w:rPr>
          <w:rFonts w:cs="Calibri"/>
        </w:rPr>
        <w:t>Some p-IRE1α</w:t>
      </w:r>
      <w:r w:rsidR="00A32C6F">
        <w:rPr>
          <w:rFonts w:cs="Calibri"/>
        </w:rPr>
        <w:t>+ neurons were detected in</w:t>
      </w:r>
      <w:r w:rsidR="007B6D4D">
        <w:rPr>
          <w:rFonts w:cs="Calibri"/>
        </w:rPr>
        <w:t xml:space="preserve"> the AON</w:t>
      </w:r>
      <w:r w:rsidR="005711D3">
        <w:rPr>
          <w:rFonts w:cs="Calibri"/>
        </w:rPr>
        <w:t xml:space="preserve"> (A)</w:t>
      </w:r>
      <w:r w:rsidR="007B7ED0">
        <w:rPr>
          <w:rFonts w:cs="Calibri"/>
        </w:rPr>
        <w:t xml:space="preserve">, but </w:t>
      </w:r>
      <w:r w:rsidR="00DE5BAB">
        <w:rPr>
          <w:rFonts w:cs="Calibri"/>
        </w:rPr>
        <w:t xml:space="preserve">p-IRE1α+ </w:t>
      </w:r>
      <w:r w:rsidR="00A22B85">
        <w:rPr>
          <w:rFonts w:cs="Calibri"/>
        </w:rPr>
        <w:t>neurons were</w:t>
      </w:r>
      <w:r w:rsidR="005A0117">
        <w:rPr>
          <w:rFonts w:cs="Calibri"/>
        </w:rPr>
        <w:t xml:space="preserve"> far</w:t>
      </w:r>
      <w:r w:rsidR="00A22B85">
        <w:rPr>
          <w:rFonts w:cs="Calibri"/>
        </w:rPr>
        <w:t xml:space="preserve"> more abundant in</w:t>
      </w:r>
      <w:r w:rsidR="00DE5BAB">
        <w:rPr>
          <w:rFonts w:cs="Calibri"/>
        </w:rPr>
        <w:t xml:space="preserve"> the </w:t>
      </w:r>
      <w:r w:rsidR="005711D3">
        <w:rPr>
          <w:rFonts w:cs="Calibri"/>
        </w:rPr>
        <w:t>CA1 region (B)</w:t>
      </w:r>
      <w:r w:rsidR="00A22B85">
        <w:rPr>
          <w:rFonts w:cs="Calibri"/>
        </w:rPr>
        <w:t xml:space="preserve">. </w:t>
      </w:r>
      <w:r w:rsidR="000E1931">
        <w:rPr>
          <w:rFonts w:cs="Calibri"/>
        </w:rPr>
        <w:t>CK1δ</w:t>
      </w:r>
      <w:r w:rsidR="00302B1D">
        <w:rPr>
          <w:rFonts w:cs="Calibri"/>
        </w:rPr>
        <w:t xml:space="preserve"> immunoreactivity was observed within AON (C) and CA1 (D) neurons.</w:t>
      </w:r>
      <w:r w:rsidR="000E1931">
        <w:rPr>
          <w:rFonts w:cs="Calibri"/>
        </w:rPr>
        <w:t xml:space="preserve"> </w:t>
      </w:r>
      <w:r w:rsidR="005A0117">
        <w:rPr>
          <w:rFonts w:cs="Calibri"/>
        </w:rPr>
        <w:t>Arrows indicate p-IRE1α+ neurons. Scale bar</w:t>
      </w:r>
      <w:r w:rsidR="0000265B">
        <w:rPr>
          <w:rFonts w:cs="Calibri"/>
        </w:rPr>
        <w:t xml:space="preserve">s = 20 </w:t>
      </w:r>
      <w:proofErr w:type="spellStart"/>
      <w:r w:rsidR="0000265B">
        <w:rPr>
          <w:rFonts w:cs="Calibri"/>
        </w:rPr>
        <w:t>μm</w:t>
      </w:r>
      <w:proofErr w:type="spellEnd"/>
      <w:r w:rsidR="0000265B">
        <w:rPr>
          <w:rFonts w:cs="Calibri"/>
        </w:rPr>
        <w:t>.</w:t>
      </w:r>
      <w:r w:rsidR="005A0117">
        <w:rPr>
          <w:rFonts w:cs="Calibri"/>
        </w:rPr>
        <w:t xml:space="preserve"> </w:t>
      </w:r>
    </w:p>
    <w:p w14:paraId="100D1E00" w14:textId="77777777" w:rsidR="008E56DC" w:rsidRPr="002C6FEB" w:rsidRDefault="008E56DC"/>
    <w:sectPr w:rsidR="008E56DC" w:rsidRPr="002C6F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0MTA0MDMxMTYxNTZR0lEKTi0uzszPAykwqgUAV+z+hiwAAAA="/>
  </w:docVars>
  <w:rsids>
    <w:rsidRoot w:val="002C6FEB"/>
    <w:rsid w:val="0000265B"/>
    <w:rsid w:val="00097AE3"/>
    <w:rsid w:val="000E1931"/>
    <w:rsid w:val="000E32E9"/>
    <w:rsid w:val="001E4358"/>
    <w:rsid w:val="001F3503"/>
    <w:rsid w:val="002C6FEB"/>
    <w:rsid w:val="002E4E94"/>
    <w:rsid w:val="002F2AC5"/>
    <w:rsid w:val="00302B1D"/>
    <w:rsid w:val="003451A9"/>
    <w:rsid w:val="004255EE"/>
    <w:rsid w:val="00442223"/>
    <w:rsid w:val="005711D3"/>
    <w:rsid w:val="005A0117"/>
    <w:rsid w:val="00672E17"/>
    <w:rsid w:val="007961E3"/>
    <w:rsid w:val="007B6D4D"/>
    <w:rsid w:val="007B7ED0"/>
    <w:rsid w:val="00863740"/>
    <w:rsid w:val="008E56DC"/>
    <w:rsid w:val="00936465"/>
    <w:rsid w:val="00A22B85"/>
    <w:rsid w:val="00A32C6F"/>
    <w:rsid w:val="00D6187F"/>
    <w:rsid w:val="00D65F42"/>
    <w:rsid w:val="00DE5BAB"/>
    <w:rsid w:val="00E150C0"/>
    <w:rsid w:val="00E5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B1EDB"/>
  <w15:chartTrackingRefBased/>
  <w15:docId w15:val="{C29D198D-3D01-4BD3-B1A0-C0262FF5A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C6FEB"/>
    <w:pPr>
      <w:spacing w:before="100" w:beforeAutospacing="1" w:after="100" w:afterAutospacing="1" w:line="480" w:lineRule="auto"/>
      <w:jc w:val="both"/>
    </w:pPr>
    <w:rPr>
      <w:rFonts w:ascii="Calibri" w:eastAsia="Cambria" w:hAnsi="Calibri" w:cs="Times New Roman"/>
      <w:sz w:val="24"/>
      <w:szCs w:val="24"/>
      <w:lang w:val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1E3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sz w:val="26"/>
      <w:szCs w:val="26"/>
      <w:lang w:val="nl-B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1E3"/>
    <w:pPr>
      <w:keepNext/>
      <w:keepLines/>
      <w:spacing w:before="0" w:beforeAutospacing="0" w:after="0" w:afterAutospacing="0" w:line="360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961E3"/>
    <w:rPr>
      <w:rFonts w:ascii="Calibri" w:eastAsiaTheme="majorEastAsia" w:hAnsi="Calibri" w:cstheme="majorBidi"/>
      <w:b/>
      <w:sz w:val="26"/>
      <w:szCs w:val="26"/>
      <w:lang w:val="nl-BE"/>
    </w:rPr>
  </w:style>
  <w:style w:type="paragraph" w:styleId="Caption">
    <w:name w:val="caption"/>
    <w:basedOn w:val="Normal"/>
    <w:next w:val="Normal"/>
    <w:uiPriority w:val="35"/>
    <w:unhideWhenUsed/>
    <w:qFormat/>
    <w:rsid w:val="00672E17"/>
    <w:pPr>
      <w:spacing w:before="0" w:after="200" w:line="240" w:lineRule="auto"/>
    </w:pPr>
    <w:rPr>
      <w:iCs/>
      <w:sz w:val="20"/>
      <w:szCs w:val="18"/>
      <w:lang w:val="nl-BE"/>
    </w:rPr>
  </w:style>
  <w:style w:type="character" w:customStyle="1" w:styleId="Heading3Char">
    <w:name w:val="Heading 3 Char"/>
    <w:basedOn w:val="DefaultParagraphFont"/>
    <w:link w:val="Heading3"/>
    <w:uiPriority w:val="9"/>
    <w:rsid w:val="007961E3"/>
    <w:rPr>
      <w:rFonts w:asciiTheme="majorHAnsi" w:eastAsiaTheme="majorEastAsia" w:hAnsiTheme="majorHAnsi" w:cstheme="majorBidi"/>
      <w:color w:val="000000" w:themeColor="text1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500A7CA5558A43926FCECE0238CE2C" ma:contentTypeVersion="13" ma:contentTypeDescription="Create a new document." ma:contentTypeScope="" ma:versionID="15932d1a1d1e6b8a639975088894cacc">
  <xsd:schema xmlns:xsd="http://www.w3.org/2001/XMLSchema" xmlns:xs="http://www.w3.org/2001/XMLSchema" xmlns:p="http://schemas.microsoft.com/office/2006/metadata/properties" xmlns:ns3="b61ed4e5-fc37-4fa0-995d-70386a6b3336" xmlns:ns4="f4a05409-acc7-4270-b7ee-d3f1b7e8423d" targetNamespace="http://schemas.microsoft.com/office/2006/metadata/properties" ma:root="true" ma:fieldsID="4dd1ac1ccb5577e32ec9331fd75a0baf" ns3:_="" ns4:_="">
    <xsd:import namespace="b61ed4e5-fc37-4fa0-995d-70386a6b3336"/>
    <xsd:import namespace="f4a05409-acc7-4270-b7ee-d3f1b7e842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ed4e5-fc37-4fa0-995d-70386a6b33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05409-acc7-4270-b7ee-d3f1b7e842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0774E9-41A6-4446-BE3E-EB08FC0426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F365A-C1F2-4310-9340-833529F06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1ed4e5-fc37-4fa0-995d-70386a6b3336"/>
    <ds:schemaRef ds:uri="f4a05409-acc7-4270-b7ee-d3f1b7e842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57741A-6403-4984-B7CD-155B84B39B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Helen (NIH/NINDS) [V]</dc:creator>
  <cp:keywords/>
  <dc:description/>
  <cp:lastModifiedBy>Murray, Helen (NIH/NINDS) [V]</cp:lastModifiedBy>
  <cp:revision>26</cp:revision>
  <dcterms:created xsi:type="dcterms:W3CDTF">2020-06-08T04:18:00Z</dcterms:created>
  <dcterms:modified xsi:type="dcterms:W3CDTF">2020-07-02T21:46:00Z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0x010100BC500A7CA5558A43926FCECE0238CE2C</vt:lpwstr>
  </property>
</Properties>
</file>