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FF94B" w14:textId="37A6E496" w:rsidR="006B57D4" w:rsidRPr="00B33451" w:rsidRDefault="00315597" w:rsidP="00315597">
      <w:pPr>
        <w:jc w:val="center"/>
        <w:rPr>
          <w:rFonts w:ascii="Arial" w:hAnsi="Arial" w:cs="Arial"/>
          <w:b/>
          <w:bCs/>
          <w:sz w:val="28"/>
          <w:szCs w:val="28"/>
        </w:rPr>
      </w:pPr>
      <w:r w:rsidRPr="00B33451">
        <w:rPr>
          <w:rFonts w:ascii="Arial" w:hAnsi="Arial" w:cs="Arial"/>
          <w:b/>
          <w:bCs/>
          <w:sz w:val="28"/>
          <w:szCs w:val="28"/>
        </w:rPr>
        <w:t xml:space="preserve">Appendix </w:t>
      </w:r>
      <w:r w:rsidR="00FD2E3E">
        <w:rPr>
          <w:rFonts w:ascii="Arial" w:hAnsi="Arial" w:cs="Arial"/>
          <w:b/>
          <w:bCs/>
          <w:sz w:val="28"/>
          <w:szCs w:val="28"/>
        </w:rPr>
        <w:t>4</w:t>
      </w:r>
      <w:r w:rsidRPr="00B33451">
        <w:rPr>
          <w:rFonts w:ascii="Arial" w:hAnsi="Arial" w:cs="Arial"/>
          <w:b/>
          <w:bCs/>
          <w:sz w:val="28"/>
          <w:szCs w:val="28"/>
        </w:rPr>
        <w:t>:</w:t>
      </w:r>
      <w:r w:rsidR="00E01CE6" w:rsidRPr="00B33451">
        <w:rPr>
          <w:rFonts w:ascii="Arial" w:hAnsi="Arial" w:cs="Arial"/>
          <w:b/>
          <w:bCs/>
          <w:sz w:val="28"/>
          <w:szCs w:val="28"/>
        </w:rPr>
        <w:t xml:space="preserve"> </w:t>
      </w:r>
      <w:r w:rsidR="00E01CE6" w:rsidRPr="00B33451">
        <w:rPr>
          <w:rFonts w:ascii="Arial" w:hAnsi="Arial" w:cs="Arial"/>
          <w:sz w:val="28"/>
          <w:szCs w:val="28"/>
        </w:rPr>
        <w:t>Definitions of interventions</w:t>
      </w:r>
    </w:p>
    <w:tbl>
      <w:tblPr>
        <w:tblStyle w:val="TableGrid"/>
        <w:tblW w:w="0" w:type="auto"/>
        <w:tblLook w:val="04A0" w:firstRow="1" w:lastRow="0" w:firstColumn="1" w:lastColumn="0" w:noHBand="0" w:noVBand="1"/>
      </w:tblPr>
      <w:tblGrid>
        <w:gridCol w:w="4508"/>
        <w:gridCol w:w="8954"/>
      </w:tblGrid>
      <w:tr w:rsidR="00E01CE6" w14:paraId="4C5EF183" w14:textId="77777777" w:rsidTr="00B15C2D">
        <w:tc>
          <w:tcPr>
            <w:tcW w:w="4508" w:type="dxa"/>
          </w:tcPr>
          <w:p w14:paraId="062EA8D7" w14:textId="73BA70A3" w:rsidR="00E01CE6" w:rsidRPr="00315597" w:rsidRDefault="00B15C2D" w:rsidP="00B15C2D">
            <w:pPr>
              <w:jc w:val="center"/>
              <w:rPr>
                <w:rFonts w:ascii="Arial" w:hAnsi="Arial" w:cs="Arial"/>
                <w:b/>
                <w:bCs/>
              </w:rPr>
            </w:pPr>
            <w:r w:rsidRPr="00315597">
              <w:rPr>
                <w:rFonts w:ascii="Arial" w:hAnsi="Arial" w:cs="Arial"/>
                <w:b/>
                <w:bCs/>
              </w:rPr>
              <w:t>Intervention</w:t>
            </w:r>
          </w:p>
        </w:tc>
        <w:tc>
          <w:tcPr>
            <w:tcW w:w="8954" w:type="dxa"/>
          </w:tcPr>
          <w:p w14:paraId="47100364" w14:textId="446F0FB5" w:rsidR="00E01CE6" w:rsidRPr="00315597" w:rsidRDefault="00B15C2D" w:rsidP="00B15C2D">
            <w:pPr>
              <w:jc w:val="center"/>
              <w:rPr>
                <w:rFonts w:ascii="Arial" w:hAnsi="Arial" w:cs="Arial"/>
                <w:b/>
                <w:bCs/>
              </w:rPr>
            </w:pPr>
            <w:r w:rsidRPr="00315597">
              <w:rPr>
                <w:rFonts w:ascii="Arial" w:hAnsi="Arial" w:cs="Arial"/>
                <w:b/>
                <w:bCs/>
              </w:rPr>
              <w:t>Definition</w:t>
            </w:r>
          </w:p>
        </w:tc>
      </w:tr>
      <w:tr w:rsidR="00E01CE6" w:rsidRPr="005A3BF9" w14:paraId="3B0CA147" w14:textId="77777777" w:rsidTr="00B15C2D">
        <w:tc>
          <w:tcPr>
            <w:tcW w:w="4508" w:type="dxa"/>
          </w:tcPr>
          <w:p w14:paraId="716414CA" w14:textId="504E1FE3" w:rsidR="00E01CE6" w:rsidRPr="00315597" w:rsidRDefault="00B15C2D">
            <w:pPr>
              <w:rPr>
                <w:rFonts w:ascii="Arial" w:hAnsi="Arial" w:cs="Arial"/>
                <w:b/>
                <w:bCs/>
              </w:rPr>
            </w:pPr>
            <w:r w:rsidRPr="00315597">
              <w:rPr>
                <w:rFonts w:ascii="Arial" w:hAnsi="Arial" w:cs="Arial"/>
                <w:b/>
                <w:bCs/>
              </w:rPr>
              <w:t>SELF-MANAGEMENT</w:t>
            </w:r>
          </w:p>
        </w:tc>
        <w:tc>
          <w:tcPr>
            <w:tcW w:w="8954" w:type="dxa"/>
          </w:tcPr>
          <w:p w14:paraId="277E804C" w14:textId="0D24ADA3" w:rsidR="00E01CE6" w:rsidRPr="00315597" w:rsidRDefault="00B15C2D" w:rsidP="005A3BF9">
            <w:pPr>
              <w:contextualSpacing/>
              <w:rPr>
                <w:rFonts w:ascii="Arial" w:hAnsi="Arial" w:cs="Arial"/>
              </w:rPr>
            </w:pPr>
            <w:r w:rsidRPr="00315597">
              <w:rPr>
                <w:rFonts w:ascii="Arial" w:hAnsi="Arial" w:cs="Arial"/>
              </w:rPr>
              <w:t>NHS England describe</w:t>
            </w:r>
            <w:r w:rsidR="00B33451">
              <w:rPr>
                <w:rFonts w:ascii="Arial" w:hAnsi="Arial" w:cs="Arial"/>
              </w:rPr>
              <w:t>s</w:t>
            </w:r>
            <w:r w:rsidRPr="00315597">
              <w:rPr>
                <w:rFonts w:ascii="Arial" w:hAnsi="Arial" w:cs="Arial"/>
              </w:rPr>
              <w:t xml:space="preserve"> (supported) self-management as ‘health and care professionals tailor their approaches to working with people, based on the person’s individual assets, needs and preferences, as well as taking account of any inequalities and accessibility barriers, and so working in a personalized way based on ‘what matters’ to the person. It also means ensuring approaches such as health coaching, peer support and self-management education are systematically put in place to help build knowledge, skills and confidence.’ </w:t>
            </w:r>
            <w:r w:rsidR="00315597" w:rsidRPr="00315597">
              <w:rPr>
                <w:rFonts w:ascii="Arial" w:hAnsi="Arial" w:cs="Arial"/>
              </w:rPr>
              <w:t>(NHS England</w:t>
            </w:r>
            <w:r w:rsidR="00B33451">
              <w:rPr>
                <w:rFonts w:ascii="Arial" w:hAnsi="Arial" w:cs="Arial"/>
              </w:rPr>
              <w:t>)*</w:t>
            </w:r>
          </w:p>
        </w:tc>
      </w:tr>
      <w:tr w:rsidR="00E01CE6" w:rsidRPr="005A3BF9" w14:paraId="2321FAAF" w14:textId="77777777" w:rsidTr="00B15C2D">
        <w:tc>
          <w:tcPr>
            <w:tcW w:w="4508" w:type="dxa"/>
          </w:tcPr>
          <w:p w14:paraId="6E93E713" w14:textId="6A0953B0" w:rsidR="00E01CE6" w:rsidRPr="00315597" w:rsidRDefault="00837203" w:rsidP="00837203">
            <w:pPr>
              <w:tabs>
                <w:tab w:val="left" w:pos="3288"/>
              </w:tabs>
              <w:rPr>
                <w:rFonts w:ascii="Arial" w:hAnsi="Arial" w:cs="Arial"/>
                <w:b/>
                <w:bCs/>
                <w:color w:val="000000" w:themeColor="text1"/>
              </w:rPr>
            </w:pPr>
            <w:r w:rsidRPr="00315597">
              <w:rPr>
                <w:rFonts w:ascii="Arial" w:hAnsi="Arial" w:cs="Arial"/>
                <w:b/>
                <w:bCs/>
                <w:color w:val="000000" w:themeColor="text1"/>
              </w:rPr>
              <w:t xml:space="preserve">CASE MANAGEMENT </w:t>
            </w:r>
          </w:p>
        </w:tc>
        <w:tc>
          <w:tcPr>
            <w:tcW w:w="8954" w:type="dxa"/>
          </w:tcPr>
          <w:p w14:paraId="3B14AC47" w14:textId="397DEE2B" w:rsidR="00E01CE6" w:rsidRPr="00315597" w:rsidRDefault="00837203" w:rsidP="005A3BF9">
            <w:pPr>
              <w:contextualSpacing/>
              <w:rPr>
                <w:rFonts w:ascii="Arial" w:hAnsi="Arial" w:cs="Arial"/>
                <w:color w:val="000000" w:themeColor="text1"/>
                <w:vertAlign w:val="superscript"/>
              </w:rPr>
            </w:pPr>
            <w:r w:rsidRPr="00315597">
              <w:rPr>
                <w:rFonts w:ascii="Arial" w:hAnsi="Arial" w:cs="Arial"/>
                <w:color w:val="000000" w:themeColor="text1"/>
                <w:shd w:val="clear" w:color="auto" w:fill="FFFFFF"/>
              </w:rPr>
              <w:t>Case management (CM) is the process of planning, coordinating and reviewing the care of an individual. We used the definition cited by the King's Fund in the UK ‘A collaborative process of assessment, planning, facilitation, care coordination, evaluation, and advocacy for options and services to meet an individual's and family's comprehensive health needs through communication and available resources to promote quality cost-effective outcomes’.[Kings fund]</w:t>
            </w:r>
            <w:r w:rsidRPr="00315597">
              <w:rPr>
                <w:rFonts w:ascii="Arial" w:hAnsi="Arial" w:cs="Arial"/>
                <w:color w:val="000000" w:themeColor="text1"/>
              </w:rPr>
              <w:t xml:space="preserve"> </w:t>
            </w:r>
            <w:r w:rsidR="00315597">
              <w:rPr>
                <w:rFonts w:ascii="Arial" w:hAnsi="Arial" w:cs="Arial"/>
                <w:color w:val="000000" w:themeColor="text1"/>
              </w:rPr>
              <w:t>(</w:t>
            </w:r>
            <w:r w:rsidR="00D64E13" w:rsidRPr="00315597">
              <w:rPr>
                <w:rFonts w:ascii="Arial" w:hAnsi="Arial" w:cs="Arial"/>
                <w:color w:val="000000" w:themeColor="text1"/>
              </w:rPr>
              <w:t>Huntley et al. 2013, 2016</w:t>
            </w:r>
            <w:r w:rsidR="00315597">
              <w:rPr>
                <w:rFonts w:ascii="Arial" w:hAnsi="Arial" w:cs="Arial"/>
                <w:color w:val="000000" w:themeColor="text1"/>
              </w:rPr>
              <w:t>)</w:t>
            </w:r>
            <w:r w:rsidR="00315597" w:rsidRPr="00315597">
              <w:rPr>
                <w:rFonts w:ascii="Arial" w:hAnsi="Arial" w:cs="Arial"/>
                <w:color w:val="000000" w:themeColor="text1"/>
                <w:vertAlign w:val="superscript"/>
              </w:rPr>
              <w:t>39.4</w:t>
            </w:r>
            <w:r w:rsidR="00A20154">
              <w:rPr>
                <w:rFonts w:ascii="Arial" w:hAnsi="Arial" w:cs="Arial"/>
                <w:color w:val="000000" w:themeColor="text1"/>
                <w:vertAlign w:val="superscript"/>
              </w:rPr>
              <w:t>1</w:t>
            </w:r>
          </w:p>
        </w:tc>
      </w:tr>
      <w:tr w:rsidR="00E01CE6" w:rsidRPr="005A3BF9" w14:paraId="17900E9B" w14:textId="77777777" w:rsidTr="00B15C2D">
        <w:tc>
          <w:tcPr>
            <w:tcW w:w="4508" w:type="dxa"/>
          </w:tcPr>
          <w:p w14:paraId="699ACBB6" w14:textId="26246CEC" w:rsidR="00E01CE6" w:rsidRPr="00315597" w:rsidRDefault="00C836D6">
            <w:pPr>
              <w:rPr>
                <w:rFonts w:ascii="Arial" w:hAnsi="Arial" w:cs="Arial"/>
                <w:b/>
                <w:bCs/>
                <w:color w:val="000000" w:themeColor="text1"/>
              </w:rPr>
            </w:pPr>
            <w:r w:rsidRPr="00315597">
              <w:rPr>
                <w:rFonts w:ascii="Arial" w:hAnsi="Arial" w:cs="Arial"/>
                <w:b/>
                <w:bCs/>
                <w:color w:val="000000" w:themeColor="text1"/>
              </w:rPr>
              <w:t xml:space="preserve">TRANSITIONAL CARE </w:t>
            </w:r>
          </w:p>
        </w:tc>
        <w:tc>
          <w:tcPr>
            <w:tcW w:w="8954" w:type="dxa"/>
          </w:tcPr>
          <w:p w14:paraId="7285F189" w14:textId="7BF2A7E2" w:rsidR="00E01CE6" w:rsidRPr="00315597" w:rsidRDefault="00C836D6" w:rsidP="005A3BF9">
            <w:pPr>
              <w:autoSpaceDE w:val="0"/>
              <w:autoSpaceDN w:val="0"/>
              <w:adjustRightInd w:val="0"/>
              <w:contextualSpacing/>
              <w:rPr>
                <w:rFonts w:ascii="Arial" w:hAnsi="Arial" w:cs="Arial"/>
                <w:color w:val="000000" w:themeColor="text1"/>
              </w:rPr>
            </w:pPr>
            <w:r w:rsidRPr="00315597">
              <w:rPr>
                <w:rFonts w:ascii="Arial" w:hAnsi="Arial" w:cs="Arial"/>
                <w:color w:val="000000" w:themeColor="text1"/>
              </w:rPr>
              <w:t>Transitional care that includes hospital discharge and follow-up at the next location of care in addition to engagement of the person and carer in these processes. [Bauer, Fitzgerald, Haesler, &amp; Manfrin, 2009]</w:t>
            </w:r>
            <w:r w:rsidR="00BC7F78" w:rsidRPr="00315597">
              <w:rPr>
                <w:rFonts w:ascii="Arial" w:hAnsi="Arial" w:cs="Arial"/>
                <w:color w:val="000000" w:themeColor="text1"/>
              </w:rPr>
              <w:t xml:space="preserve"> </w:t>
            </w:r>
            <w:r w:rsidR="00315597">
              <w:rPr>
                <w:rFonts w:ascii="Arial" w:hAnsi="Arial" w:cs="Arial"/>
                <w:color w:val="000000" w:themeColor="text1"/>
              </w:rPr>
              <w:t>(</w:t>
            </w:r>
            <w:r w:rsidR="00BC7F78" w:rsidRPr="00315597">
              <w:rPr>
                <w:rFonts w:ascii="Arial" w:hAnsi="Arial" w:cs="Arial"/>
                <w:color w:val="000000" w:themeColor="text1"/>
              </w:rPr>
              <w:t>Allen et al. 2017</w:t>
            </w:r>
            <w:r w:rsidR="00315597">
              <w:rPr>
                <w:rFonts w:ascii="Arial" w:hAnsi="Arial" w:cs="Arial"/>
                <w:color w:val="000000" w:themeColor="text1"/>
              </w:rPr>
              <w:t>)</w:t>
            </w:r>
            <w:r w:rsidR="00315597" w:rsidRPr="00315597">
              <w:rPr>
                <w:rFonts w:ascii="Arial" w:hAnsi="Arial" w:cs="Arial"/>
                <w:color w:val="000000" w:themeColor="text1"/>
                <w:vertAlign w:val="superscript"/>
              </w:rPr>
              <w:t>6</w:t>
            </w:r>
            <w:r w:rsidR="00A20154">
              <w:rPr>
                <w:rFonts w:ascii="Arial" w:hAnsi="Arial" w:cs="Arial"/>
                <w:color w:val="000000" w:themeColor="text1"/>
                <w:vertAlign w:val="superscript"/>
              </w:rPr>
              <w:t>0</w:t>
            </w:r>
          </w:p>
        </w:tc>
      </w:tr>
      <w:tr w:rsidR="00E01CE6" w:rsidRPr="005A3BF9" w14:paraId="15D15F03" w14:textId="77777777" w:rsidTr="00B15C2D">
        <w:tc>
          <w:tcPr>
            <w:tcW w:w="4508" w:type="dxa"/>
          </w:tcPr>
          <w:p w14:paraId="0C8D1146" w14:textId="4ED1776D" w:rsidR="00E01CE6" w:rsidRPr="00315597" w:rsidRDefault="009F3AC8">
            <w:pPr>
              <w:rPr>
                <w:rFonts w:ascii="Arial" w:hAnsi="Arial" w:cs="Arial"/>
                <w:b/>
                <w:bCs/>
                <w:color w:val="000000" w:themeColor="text1"/>
              </w:rPr>
            </w:pPr>
            <w:r w:rsidRPr="00315597">
              <w:rPr>
                <w:rFonts w:ascii="Arial" w:hAnsi="Arial" w:cs="Arial"/>
                <w:b/>
                <w:bCs/>
                <w:color w:val="000000" w:themeColor="text1"/>
              </w:rPr>
              <w:t>REABLEMENT</w:t>
            </w:r>
          </w:p>
        </w:tc>
        <w:tc>
          <w:tcPr>
            <w:tcW w:w="8954" w:type="dxa"/>
          </w:tcPr>
          <w:p w14:paraId="610FBFB3" w14:textId="1E4E4C63" w:rsidR="009F3AC8" w:rsidRPr="00315597" w:rsidRDefault="009F3AC8" w:rsidP="005A3BF9">
            <w:pPr>
              <w:autoSpaceDE w:val="0"/>
              <w:autoSpaceDN w:val="0"/>
              <w:adjustRightInd w:val="0"/>
              <w:contextualSpacing/>
              <w:rPr>
                <w:rFonts w:ascii="Arial" w:hAnsi="Arial" w:cs="Arial"/>
                <w:iCs/>
                <w:color w:val="000000" w:themeColor="text1"/>
              </w:rPr>
            </w:pPr>
            <w:r w:rsidRPr="00315597">
              <w:rPr>
                <w:rFonts w:ascii="Arial" w:hAnsi="Arial" w:cs="Arial"/>
                <w:iCs/>
                <w:color w:val="000000" w:themeColor="text1"/>
              </w:rPr>
              <w:t>“Reablement is a home care approach aiming at improving services for older people and the concept is gaining increasing attention. Various terms</w:t>
            </w:r>
            <w:r w:rsidRPr="00315597">
              <w:rPr>
                <w:rFonts w:ascii="Arial" w:hAnsi="Arial" w:cs="Arial"/>
                <w:color w:val="000000" w:themeColor="text1"/>
              </w:rPr>
              <w:t xml:space="preserve"> </w:t>
            </w:r>
            <w:r w:rsidRPr="00315597">
              <w:rPr>
                <w:rFonts w:ascii="Arial" w:hAnsi="Arial" w:cs="Arial"/>
                <w:iCs/>
                <w:color w:val="000000" w:themeColor="text1"/>
              </w:rPr>
              <w:t>or re</w:t>
            </w:r>
            <w:r w:rsidR="007A7EEE" w:rsidRPr="00315597">
              <w:rPr>
                <w:rFonts w:ascii="Arial" w:hAnsi="Arial" w:cs="Arial"/>
                <w:iCs/>
                <w:color w:val="000000" w:themeColor="text1"/>
              </w:rPr>
              <w:t>a</w:t>
            </w:r>
            <w:r w:rsidRPr="00315597">
              <w:rPr>
                <w:rFonts w:ascii="Arial" w:hAnsi="Arial" w:cs="Arial"/>
                <w:iCs/>
                <w:color w:val="000000" w:themeColor="text1"/>
              </w:rPr>
              <w:t>blement include ‘‘restorative home care’’ programs (Ryburn et al., 2009) or, in Scandinavian countries, ‘‘every-day rehabilitation’’. The term is not consistently deﬁned and there appear to be di</w:t>
            </w:r>
            <w:r w:rsidRPr="00315597">
              <w:rPr>
                <w:rFonts w:ascii="Cambria Math" w:hAnsi="Cambria Math" w:cs="Cambria Math"/>
                <w:iCs/>
                <w:color w:val="000000" w:themeColor="text1"/>
              </w:rPr>
              <w:t>ﬀ</w:t>
            </w:r>
            <w:r w:rsidRPr="00315597">
              <w:rPr>
                <w:rFonts w:ascii="Arial" w:hAnsi="Arial" w:cs="Arial"/>
                <w:iCs/>
                <w:color w:val="000000" w:themeColor="text1"/>
              </w:rPr>
              <w:t>erences in what constitutes ‘‘everyday rehabilitation’’ between di</w:t>
            </w:r>
            <w:r w:rsidRPr="00315597">
              <w:rPr>
                <w:rFonts w:ascii="Cambria Math" w:hAnsi="Cambria Math" w:cs="Cambria Math"/>
                <w:iCs/>
                <w:color w:val="000000" w:themeColor="text1"/>
              </w:rPr>
              <w:t>ﬀ</w:t>
            </w:r>
            <w:r w:rsidRPr="00315597">
              <w:rPr>
                <w:rFonts w:ascii="Arial" w:hAnsi="Arial" w:cs="Arial"/>
                <w:iCs/>
                <w:color w:val="000000" w:themeColor="text1"/>
              </w:rPr>
              <w:t>erent national contexts, and also di</w:t>
            </w:r>
            <w:r w:rsidRPr="00315597">
              <w:rPr>
                <w:rFonts w:ascii="Cambria Math" w:hAnsi="Cambria Math" w:cs="Cambria Math"/>
                <w:iCs/>
                <w:color w:val="000000" w:themeColor="text1"/>
              </w:rPr>
              <w:t>ﬀ</w:t>
            </w:r>
            <w:r w:rsidRPr="00315597">
              <w:rPr>
                <w:rFonts w:ascii="Arial" w:hAnsi="Arial" w:cs="Arial"/>
                <w:iCs/>
                <w:color w:val="000000" w:themeColor="text1"/>
              </w:rPr>
              <w:t xml:space="preserve">erent models for such services.”- </w:t>
            </w:r>
            <w:r w:rsidR="00315597">
              <w:rPr>
                <w:rFonts w:ascii="Arial" w:hAnsi="Arial" w:cs="Arial"/>
                <w:iCs/>
                <w:color w:val="000000" w:themeColor="text1"/>
              </w:rPr>
              <w:t>(</w:t>
            </w:r>
            <w:r w:rsidRPr="00315597">
              <w:rPr>
                <w:rFonts w:ascii="Arial" w:hAnsi="Arial" w:cs="Arial"/>
                <w:iCs/>
                <w:color w:val="000000" w:themeColor="text1"/>
              </w:rPr>
              <w:t>Petterson 2017</w:t>
            </w:r>
            <w:r w:rsidR="00315597">
              <w:rPr>
                <w:rFonts w:ascii="Arial" w:hAnsi="Arial" w:cs="Arial"/>
                <w:iCs/>
                <w:color w:val="000000" w:themeColor="text1"/>
              </w:rPr>
              <w:t>)</w:t>
            </w:r>
            <w:r w:rsidR="00315597" w:rsidRPr="00315597">
              <w:rPr>
                <w:rFonts w:ascii="Arial" w:hAnsi="Arial" w:cs="Arial"/>
                <w:iCs/>
                <w:color w:val="000000" w:themeColor="text1"/>
                <w:vertAlign w:val="superscript"/>
              </w:rPr>
              <w:t>7</w:t>
            </w:r>
            <w:r w:rsidR="00A20154">
              <w:rPr>
                <w:rFonts w:ascii="Arial" w:hAnsi="Arial" w:cs="Arial"/>
                <w:iCs/>
                <w:color w:val="000000" w:themeColor="text1"/>
                <w:vertAlign w:val="superscript"/>
              </w:rPr>
              <w:t>0</w:t>
            </w:r>
            <w:r w:rsidRPr="00315597">
              <w:rPr>
                <w:rFonts w:ascii="Arial" w:hAnsi="Arial" w:cs="Arial"/>
                <w:iCs/>
                <w:color w:val="000000" w:themeColor="text1"/>
              </w:rPr>
              <w:t xml:space="preserve"> </w:t>
            </w:r>
          </w:p>
          <w:p w14:paraId="1ADC706A" w14:textId="000A72B8" w:rsidR="00E01CE6" w:rsidRPr="00315597" w:rsidRDefault="00406273" w:rsidP="005A3BF9">
            <w:pPr>
              <w:autoSpaceDE w:val="0"/>
              <w:autoSpaceDN w:val="0"/>
              <w:adjustRightInd w:val="0"/>
              <w:contextualSpacing/>
              <w:rPr>
                <w:rFonts w:ascii="Arial" w:hAnsi="Arial" w:cs="Arial"/>
                <w:iCs/>
                <w:color w:val="000000" w:themeColor="text1"/>
              </w:rPr>
            </w:pPr>
            <w:r w:rsidRPr="00315597">
              <w:rPr>
                <w:rFonts w:ascii="Arial" w:hAnsi="Arial" w:cs="Arial"/>
                <w:iCs/>
                <w:color w:val="000000" w:themeColor="text1"/>
              </w:rPr>
              <w:t xml:space="preserve">“The intervention did not need to be called reablement or restorative care, but had to promote functional independence, be of short duration (6–12 weeks) and be provided by paid workers as part of homecare services. The intervention had to be multidisciplinary in nature.”- </w:t>
            </w:r>
            <w:r w:rsidR="00315597">
              <w:rPr>
                <w:rFonts w:ascii="Arial" w:hAnsi="Arial" w:cs="Arial"/>
                <w:iCs/>
                <w:color w:val="000000" w:themeColor="text1"/>
              </w:rPr>
              <w:t>(</w:t>
            </w:r>
            <w:r w:rsidRPr="00315597">
              <w:rPr>
                <w:rFonts w:ascii="Arial" w:hAnsi="Arial" w:cs="Arial"/>
                <w:iCs/>
                <w:color w:val="000000" w:themeColor="text1"/>
              </w:rPr>
              <w:t>Tessier 2016</w:t>
            </w:r>
            <w:r w:rsidR="00315597">
              <w:rPr>
                <w:rFonts w:ascii="Arial" w:hAnsi="Arial" w:cs="Arial"/>
                <w:iCs/>
                <w:color w:val="000000" w:themeColor="text1"/>
              </w:rPr>
              <w:t>)</w:t>
            </w:r>
            <w:r w:rsidR="00315597" w:rsidRPr="00315597">
              <w:rPr>
                <w:rFonts w:ascii="Arial" w:hAnsi="Arial" w:cs="Arial"/>
                <w:iCs/>
                <w:color w:val="000000" w:themeColor="text1"/>
                <w:vertAlign w:val="superscript"/>
              </w:rPr>
              <w:t>7</w:t>
            </w:r>
            <w:r w:rsidR="00A20154">
              <w:rPr>
                <w:rFonts w:ascii="Arial" w:hAnsi="Arial" w:cs="Arial"/>
                <w:iCs/>
                <w:color w:val="000000" w:themeColor="text1"/>
                <w:vertAlign w:val="superscript"/>
              </w:rPr>
              <w:t>1</w:t>
            </w:r>
            <w:r w:rsidRPr="00315597">
              <w:rPr>
                <w:rFonts w:ascii="Arial" w:hAnsi="Arial" w:cs="Arial"/>
                <w:iCs/>
                <w:color w:val="000000" w:themeColor="text1"/>
              </w:rPr>
              <w:t xml:space="preserve"> </w:t>
            </w:r>
          </w:p>
        </w:tc>
      </w:tr>
      <w:tr w:rsidR="00E01CE6" w:rsidRPr="005A3BF9" w14:paraId="0E351D40" w14:textId="77777777" w:rsidTr="00B15C2D">
        <w:tc>
          <w:tcPr>
            <w:tcW w:w="4508" w:type="dxa"/>
          </w:tcPr>
          <w:p w14:paraId="1C36BB07" w14:textId="6EC25576" w:rsidR="00E01CE6" w:rsidRPr="00315597" w:rsidRDefault="00406273">
            <w:pPr>
              <w:rPr>
                <w:rFonts w:ascii="Arial" w:hAnsi="Arial" w:cs="Arial"/>
                <w:b/>
                <w:bCs/>
                <w:color w:val="000000" w:themeColor="text1"/>
              </w:rPr>
            </w:pPr>
            <w:r w:rsidRPr="00315597">
              <w:rPr>
                <w:rFonts w:ascii="Arial" w:hAnsi="Arial" w:cs="Arial"/>
                <w:b/>
                <w:bCs/>
                <w:color w:val="000000" w:themeColor="text1"/>
              </w:rPr>
              <w:t>S</w:t>
            </w:r>
            <w:r w:rsidR="005A3BF9" w:rsidRPr="00315597">
              <w:rPr>
                <w:rFonts w:ascii="Arial" w:hAnsi="Arial" w:cs="Arial"/>
                <w:b/>
                <w:bCs/>
                <w:color w:val="000000" w:themeColor="text1"/>
              </w:rPr>
              <w:t xml:space="preserve">OCIAL SUPPORT </w:t>
            </w:r>
          </w:p>
        </w:tc>
        <w:tc>
          <w:tcPr>
            <w:tcW w:w="8954" w:type="dxa"/>
          </w:tcPr>
          <w:p w14:paraId="7AB1B336" w14:textId="300CA333" w:rsidR="00E01CE6" w:rsidRPr="00315597" w:rsidRDefault="00406273" w:rsidP="005A3BF9">
            <w:pPr>
              <w:spacing w:after="160"/>
              <w:contextualSpacing/>
              <w:rPr>
                <w:rFonts w:ascii="Arial" w:hAnsi="Arial" w:cs="Arial"/>
                <w:color w:val="000000" w:themeColor="text1"/>
              </w:rPr>
            </w:pPr>
            <w:r w:rsidRPr="00315597">
              <w:rPr>
                <w:rFonts w:ascii="Arial" w:hAnsi="Arial" w:cs="Arial"/>
                <w:color w:val="000000" w:themeColor="text1"/>
              </w:rPr>
              <w:t xml:space="preserve">A useful definition of social support is modified from Gale </w:t>
            </w:r>
            <w:r w:rsidRPr="00315597">
              <w:rPr>
                <w:rFonts w:ascii="Arial" w:hAnsi="Arial" w:cs="Arial"/>
                <w:i/>
                <w:color w:val="000000" w:themeColor="text1"/>
              </w:rPr>
              <w:t>et al.</w:t>
            </w:r>
            <w:r w:rsidRPr="00315597">
              <w:rPr>
                <w:rFonts w:ascii="Arial" w:hAnsi="Arial" w:cs="Arial"/>
                <w:color w:val="000000" w:themeColor="text1"/>
              </w:rPr>
              <w:t xml:space="preserve"> 2018 who describe </w:t>
            </w:r>
            <w:r w:rsidRPr="00315597">
              <w:rPr>
                <w:rFonts w:ascii="Arial" w:hAnsi="Arial" w:cs="Arial"/>
                <w:i/>
                <w:color w:val="000000" w:themeColor="text1"/>
              </w:rPr>
              <w:t>synthetic social support</w:t>
            </w:r>
            <w:r w:rsidRPr="00315597">
              <w:rPr>
                <w:rFonts w:ascii="Arial" w:hAnsi="Arial" w:cs="Arial"/>
                <w:color w:val="000000" w:themeColor="text1"/>
              </w:rPr>
              <w:t>; synthetic because it is distinct from the support embedded in spontaneous social networks: it is non-reciprocal, it offered on a strictly time limited basis and lay health/social workers are accountable for the relationship and the social networks produced are targeted rather than spontaneous. [Gale 2018]</w:t>
            </w:r>
            <w:r w:rsidR="00315597" w:rsidRPr="00315597">
              <w:rPr>
                <w:rFonts w:ascii="Arial" w:hAnsi="Arial" w:cs="Arial"/>
                <w:color w:val="000000" w:themeColor="text1"/>
              </w:rPr>
              <w:t>*</w:t>
            </w:r>
          </w:p>
        </w:tc>
      </w:tr>
      <w:tr w:rsidR="00E01CE6" w:rsidRPr="005A3BF9" w14:paraId="73AB2539" w14:textId="77777777" w:rsidTr="00B15C2D">
        <w:tc>
          <w:tcPr>
            <w:tcW w:w="4508" w:type="dxa"/>
          </w:tcPr>
          <w:p w14:paraId="26AFD2D4" w14:textId="460C516B" w:rsidR="00E01CE6" w:rsidRPr="00315597" w:rsidRDefault="00222204">
            <w:pPr>
              <w:rPr>
                <w:rFonts w:ascii="Arial" w:hAnsi="Arial" w:cs="Arial"/>
                <w:b/>
                <w:bCs/>
                <w:color w:val="000000" w:themeColor="text1"/>
              </w:rPr>
            </w:pPr>
            <w:r w:rsidRPr="00315597">
              <w:rPr>
                <w:rFonts w:ascii="Arial" w:hAnsi="Arial" w:cs="Arial"/>
                <w:b/>
                <w:bCs/>
                <w:color w:val="000000" w:themeColor="text1"/>
              </w:rPr>
              <w:lastRenderedPageBreak/>
              <w:t>REHABILITATION</w:t>
            </w:r>
          </w:p>
        </w:tc>
        <w:tc>
          <w:tcPr>
            <w:tcW w:w="8954" w:type="dxa"/>
          </w:tcPr>
          <w:p w14:paraId="69F58644" w14:textId="17AFC123" w:rsidR="008142C7" w:rsidRPr="00315597" w:rsidRDefault="008142C7" w:rsidP="008142C7">
            <w:pPr>
              <w:rPr>
                <w:rFonts w:ascii="Arial" w:hAnsi="Arial" w:cs="Arial"/>
                <w:color w:val="000000" w:themeColor="text1"/>
                <w:shd w:val="clear" w:color="auto" w:fill="FFFFFF"/>
              </w:rPr>
            </w:pPr>
            <w:r w:rsidRPr="00315597">
              <w:rPr>
                <w:rFonts w:ascii="Arial" w:hAnsi="Arial" w:cs="Arial"/>
                <w:color w:val="000000" w:themeColor="text1"/>
                <w:shd w:val="clear" w:color="auto" w:fill="FFFFFF"/>
              </w:rPr>
              <w:t>The American Thoracic Society and the European Respiratory Society define pulmonary rehabilitation (PR) as “a comprehensive intervention based on a thorough patient assessment followed by patient-tailored therapies, which include, but are not limited to, exercise training, education, and behavior change. The intention of pulmonary rehabilitation is to improve the physical and psychological condition of people and to promote long-term adherence of health-enhancing behaviors.” (Moore et al. 2016)</w:t>
            </w:r>
            <w:r w:rsidR="00315597" w:rsidRPr="00315597">
              <w:rPr>
                <w:rFonts w:ascii="Arial" w:hAnsi="Arial" w:cs="Arial"/>
                <w:color w:val="000000" w:themeColor="text1"/>
                <w:shd w:val="clear" w:color="auto" w:fill="FFFFFF"/>
                <w:vertAlign w:val="superscript"/>
              </w:rPr>
              <w:t>27</w:t>
            </w:r>
          </w:p>
          <w:p w14:paraId="17A33AB7" w14:textId="6C104523" w:rsidR="008142C7" w:rsidRPr="00315597" w:rsidRDefault="008142C7" w:rsidP="008142C7">
            <w:pPr>
              <w:rPr>
                <w:rFonts w:ascii="Arial" w:hAnsi="Arial" w:cs="Arial"/>
                <w:color w:val="000000" w:themeColor="text1"/>
                <w:shd w:val="clear" w:color="auto" w:fill="FFFFFF"/>
              </w:rPr>
            </w:pPr>
          </w:p>
          <w:p w14:paraId="6B1F7558" w14:textId="754E0D78" w:rsidR="008142C7" w:rsidRPr="00315597" w:rsidRDefault="008142C7" w:rsidP="008142C7">
            <w:pPr>
              <w:rPr>
                <w:rFonts w:ascii="Arial" w:hAnsi="Arial" w:cs="Arial"/>
                <w:color w:val="000000" w:themeColor="text1"/>
              </w:rPr>
            </w:pPr>
            <w:r w:rsidRPr="00315597">
              <w:rPr>
                <w:rFonts w:ascii="Arial" w:hAnsi="Arial" w:cs="Arial"/>
                <w:color w:val="000000" w:themeColor="text1"/>
              </w:rPr>
              <w:t>Pulmonary rehabilitation is defined as “a comprehensive intervention based on a thorough patient assessment followed by patient-tailored therapies that include, but are not limited to, exercise training, education, and behavior change, designed to improve the physical and psychological condition of people with chronic respiratory disease and to promote the long-term adherence to health-enhancing behaviors” (Jenkins et al. 2018)</w:t>
            </w:r>
            <w:r w:rsidR="00315597" w:rsidRPr="00315597">
              <w:rPr>
                <w:rFonts w:ascii="Arial" w:hAnsi="Arial" w:cs="Arial"/>
                <w:color w:val="000000" w:themeColor="text1"/>
                <w:vertAlign w:val="superscript"/>
              </w:rPr>
              <w:t>29</w:t>
            </w:r>
          </w:p>
          <w:p w14:paraId="7BCD7501" w14:textId="140E906A" w:rsidR="008142C7" w:rsidRPr="00315597" w:rsidRDefault="008142C7" w:rsidP="008142C7">
            <w:pPr>
              <w:rPr>
                <w:rFonts w:ascii="Arial" w:hAnsi="Arial" w:cs="Arial"/>
                <w:color w:val="000000" w:themeColor="text1"/>
              </w:rPr>
            </w:pPr>
          </w:p>
          <w:p w14:paraId="0DC6FF76" w14:textId="1762E361" w:rsidR="008142C7" w:rsidRPr="00315597" w:rsidRDefault="008142C7" w:rsidP="008142C7">
            <w:pPr>
              <w:rPr>
                <w:rFonts w:ascii="Arial" w:hAnsi="Arial" w:cs="Arial"/>
                <w:color w:val="000000" w:themeColor="text1"/>
              </w:rPr>
            </w:pPr>
            <w:r w:rsidRPr="00315597">
              <w:rPr>
                <w:rFonts w:ascii="Arial" w:hAnsi="Arial" w:cs="Arial"/>
                <w:color w:val="000000" w:themeColor="text1"/>
                <w:shd w:val="clear" w:color="auto" w:fill="FFFFFF"/>
              </w:rPr>
              <w:t>We focused on supervised exercise training because this component has been shown to be integral to success in PR. In addition, we felt that an evaluation of this type of intervention was warranted, given the time and resources required for delivery. Given that the effects of PR have been shown to diminish within 6 to 12 months, we defined maintenance exercise as physical training (aerobic and/or resistance) at least once monthly for ≥ 6 months (Beauchamp et al. 2013)</w:t>
            </w:r>
            <w:r w:rsidR="00315597" w:rsidRPr="00315597">
              <w:rPr>
                <w:rFonts w:ascii="Arial" w:hAnsi="Arial" w:cs="Arial"/>
                <w:color w:val="000000" w:themeColor="text1"/>
                <w:shd w:val="clear" w:color="auto" w:fill="FFFFFF"/>
                <w:vertAlign w:val="superscript"/>
              </w:rPr>
              <w:t>30</w:t>
            </w:r>
          </w:p>
          <w:p w14:paraId="47393491" w14:textId="26C79E3C" w:rsidR="008142C7" w:rsidRPr="00315597" w:rsidRDefault="008142C7" w:rsidP="008142C7">
            <w:pPr>
              <w:rPr>
                <w:rFonts w:ascii="Arial" w:hAnsi="Arial" w:cs="Arial"/>
                <w:color w:val="000000" w:themeColor="text1"/>
              </w:rPr>
            </w:pPr>
          </w:p>
          <w:p w14:paraId="448C55AE" w14:textId="3B7DB627" w:rsidR="008142C7" w:rsidRPr="00315597" w:rsidRDefault="008142C7" w:rsidP="008142C7">
            <w:pPr>
              <w:rPr>
                <w:rFonts w:ascii="Arial" w:hAnsi="Arial" w:cs="Arial"/>
                <w:color w:val="000000" w:themeColor="text1"/>
              </w:rPr>
            </w:pPr>
            <w:r w:rsidRPr="00315597">
              <w:rPr>
                <w:rFonts w:ascii="Arial" w:hAnsi="Arial" w:cs="Arial"/>
                <w:color w:val="000000" w:themeColor="text1"/>
                <w:shd w:val="clear" w:color="auto" w:fill="FFFFFF"/>
              </w:rPr>
              <w:t>respiratory muscle training and Breathing control exercises of slow and deep breathing, diaphragmatic breathing, pursed lip breathing, relaxation techniques and body position exercises in humans evaluating the effects on breathlessness or dyspnea, other symptoms and quality of life in adult patients (&gt;18 years) at all stages of COPD (Borge et al. 201</w:t>
            </w:r>
            <w:r w:rsidR="00473681" w:rsidRPr="00315597">
              <w:rPr>
                <w:rFonts w:ascii="Arial" w:hAnsi="Arial" w:cs="Arial"/>
                <w:color w:val="000000" w:themeColor="text1"/>
                <w:shd w:val="clear" w:color="auto" w:fill="FFFFFF"/>
              </w:rPr>
              <w:t>4</w:t>
            </w:r>
            <w:r w:rsidRPr="00315597">
              <w:rPr>
                <w:rFonts w:ascii="Arial" w:hAnsi="Arial" w:cs="Arial"/>
                <w:color w:val="000000" w:themeColor="text1"/>
                <w:shd w:val="clear" w:color="auto" w:fill="FFFFFF"/>
              </w:rPr>
              <w:t>)</w:t>
            </w:r>
            <w:r w:rsidR="00315597" w:rsidRPr="00315597">
              <w:rPr>
                <w:rFonts w:ascii="Arial" w:hAnsi="Arial" w:cs="Arial"/>
                <w:color w:val="000000" w:themeColor="text1"/>
                <w:shd w:val="clear" w:color="auto" w:fill="FFFFFF"/>
                <w:vertAlign w:val="superscript"/>
              </w:rPr>
              <w:t>31</w:t>
            </w:r>
          </w:p>
          <w:p w14:paraId="530E2775" w14:textId="77229345" w:rsidR="008142C7" w:rsidRPr="00315597" w:rsidRDefault="008142C7" w:rsidP="008142C7">
            <w:pPr>
              <w:rPr>
                <w:rFonts w:ascii="Arial" w:hAnsi="Arial" w:cs="Arial"/>
                <w:color w:val="000000" w:themeColor="text1"/>
              </w:rPr>
            </w:pPr>
          </w:p>
          <w:p w14:paraId="0478BEF2" w14:textId="039E0DB3" w:rsidR="00473681" w:rsidRPr="00315597" w:rsidRDefault="00473681" w:rsidP="008142C7">
            <w:pPr>
              <w:rPr>
                <w:rFonts w:ascii="Arial" w:hAnsi="Arial" w:cs="Arial"/>
                <w:color w:val="000000" w:themeColor="text1"/>
              </w:rPr>
            </w:pPr>
            <w:r w:rsidRPr="00315597">
              <w:rPr>
                <w:rFonts w:ascii="Arial" w:hAnsi="Arial" w:cs="Arial"/>
                <w:color w:val="000000" w:themeColor="text1"/>
                <w:shd w:val="clear" w:color="auto" w:fill="FFFFFF"/>
              </w:rPr>
              <w:t>Tai Chi is a traditional Chinese exercise that involves human physical activity, breath expiration and inspiration, and mind regulation. Tai Chi also involves soft movements and coordination of respiration and movement (Wu et al. 2014)</w:t>
            </w:r>
            <w:r w:rsidR="00315597" w:rsidRPr="00315597">
              <w:rPr>
                <w:rFonts w:ascii="Arial" w:hAnsi="Arial" w:cs="Arial"/>
                <w:color w:val="000000" w:themeColor="text1"/>
                <w:shd w:val="clear" w:color="auto" w:fill="FFFFFF"/>
                <w:vertAlign w:val="superscript"/>
              </w:rPr>
              <w:t>32</w:t>
            </w:r>
          </w:p>
          <w:p w14:paraId="4237D9CB" w14:textId="77777777" w:rsidR="00E01CE6" w:rsidRPr="00315597" w:rsidRDefault="00E01CE6" w:rsidP="005A3BF9">
            <w:pPr>
              <w:contextualSpacing/>
              <w:rPr>
                <w:rFonts w:ascii="Arial" w:hAnsi="Arial" w:cs="Arial"/>
                <w:color w:val="000000" w:themeColor="text1"/>
              </w:rPr>
            </w:pPr>
          </w:p>
        </w:tc>
      </w:tr>
      <w:tr w:rsidR="00E01CE6" w:rsidRPr="005A3BF9" w14:paraId="0B406D54" w14:textId="77777777" w:rsidTr="00B15C2D">
        <w:tc>
          <w:tcPr>
            <w:tcW w:w="4508" w:type="dxa"/>
          </w:tcPr>
          <w:p w14:paraId="07BFEBCE" w14:textId="07505A09" w:rsidR="00E01CE6" w:rsidRPr="00315597" w:rsidRDefault="00222204">
            <w:pPr>
              <w:rPr>
                <w:rFonts w:ascii="Arial" w:hAnsi="Arial" w:cs="Arial"/>
                <w:b/>
                <w:bCs/>
                <w:color w:val="000000" w:themeColor="text1"/>
              </w:rPr>
            </w:pPr>
            <w:r w:rsidRPr="00315597">
              <w:rPr>
                <w:rFonts w:ascii="Arial" w:hAnsi="Arial" w:cs="Arial"/>
                <w:b/>
                <w:bCs/>
                <w:color w:val="000000" w:themeColor="text1"/>
              </w:rPr>
              <w:t>MEDICATION REVIEW</w:t>
            </w:r>
          </w:p>
        </w:tc>
        <w:tc>
          <w:tcPr>
            <w:tcW w:w="8954" w:type="dxa"/>
          </w:tcPr>
          <w:p w14:paraId="71CC9515" w14:textId="403F82AB" w:rsidR="007A71D2" w:rsidRPr="00315597" w:rsidRDefault="007A71D2" w:rsidP="007A71D2">
            <w:pPr>
              <w:rPr>
                <w:rFonts w:ascii="Arial" w:hAnsi="Arial" w:cs="Arial"/>
                <w:color w:val="000000" w:themeColor="text1"/>
              </w:rPr>
            </w:pPr>
            <w:r w:rsidRPr="00315597">
              <w:rPr>
                <w:rFonts w:ascii="Arial" w:hAnsi="Arial" w:cs="Arial"/>
                <w:color w:val="000000" w:themeColor="text1"/>
              </w:rPr>
              <w:t>Hospital at home (HaH) is the delivery of hospital ward-level care in the patient’s home as a substitute for routine hospitalization. Patients who have clinical indications for admission to a hospital ward are offered monitoring, face-to-face clinical care from nurses and physicians, diagnostic testing (e.g. laboratory investigations, electrocardiograms, radiography), and intravenous (IV) medication in their homes (Loh et al. 2016)</w:t>
            </w:r>
            <w:r w:rsidR="00B33451" w:rsidRPr="00B33451">
              <w:rPr>
                <w:rFonts w:ascii="Arial" w:hAnsi="Arial" w:cs="Arial"/>
                <w:color w:val="000000" w:themeColor="text1"/>
                <w:vertAlign w:val="superscript"/>
              </w:rPr>
              <w:t>4</w:t>
            </w:r>
            <w:r w:rsidR="00A20154">
              <w:rPr>
                <w:rFonts w:ascii="Arial" w:hAnsi="Arial" w:cs="Arial"/>
                <w:color w:val="000000" w:themeColor="text1"/>
                <w:vertAlign w:val="superscript"/>
              </w:rPr>
              <w:t>5</w:t>
            </w:r>
          </w:p>
          <w:p w14:paraId="2ADD27BC" w14:textId="014A2706" w:rsidR="007A71D2" w:rsidRPr="00315597" w:rsidRDefault="007A71D2" w:rsidP="007A71D2">
            <w:pPr>
              <w:rPr>
                <w:rFonts w:ascii="Arial" w:hAnsi="Arial" w:cs="Arial"/>
                <w:color w:val="000000" w:themeColor="text1"/>
              </w:rPr>
            </w:pPr>
          </w:p>
          <w:p w14:paraId="14C7CED9" w14:textId="01323375" w:rsidR="007A71D2" w:rsidRPr="00315597" w:rsidRDefault="007A71D2" w:rsidP="007A71D2">
            <w:pPr>
              <w:rPr>
                <w:rFonts w:ascii="Arial" w:hAnsi="Arial" w:cs="Arial"/>
                <w:color w:val="000000" w:themeColor="text1"/>
              </w:rPr>
            </w:pPr>
            <w:r w:rsidRPr="00315597">
              <w:rPr>
                <w:rFonts w:ascii="Arial" w:hAnsi="Arial" w:cs="Arial"/>
                <w:color w:val="000000" w:themeColor="text1"/>
              </w:rPr>
              <w:t>Medication review was defined as any kind of systematic assessment of a patient’s medications with the aim to evaluation and optimise his or her drug treatment (National Prescribing Centre Classification) (Wallerstedt et al. 2014)</w:t>
            </w:r>
            <w:r w:rsidR="00B33451" w:rsidRPr="00B33451">
              <w:rPr>
                <w:rFonts w:ascii="Arial" w:hAnsi="Arial" w:cs="Arial"/>
                <w:color w:val="000000" w:themeColor="text1"/>
                <w:vertAlign w:val="superscript"/>
              </w:rPr>
              <w:t>4</w:t>
            </w:r>
            <w:r w:rsidR="00A20154">
              <w:rPr>
                <w:rFonts w:ascii="Arial" w:hAnsi="Arial" w:cs="Arial"/>
                <w:color w:val="000000" w:themeColor="text1"/>
                <w:vertAlign w:val="superscript"/>
              </w:rPr>
              <w:t>7</w:t>
            </w:r>
          </w:p>
          <w:p w14:paraId="0A7FFD14" w14:textId="6B1CA481" w:rsidR="00D2646A" w:rsidRPr="00315597" w:rsidRDefault="00D2646A" w:rsidP="007A71D2">
            <w:pPr>
              <w:rPr>
                <w:rFonts w:ascii="Arial" w:hAnsi="Arial" w:cs="Arial"/>
                <w:color w:val="000000" w:themeColor="text1"/>
              </w:rPr>
            </w:pPr>
          </w:p>
          <w:p w14:paraId="5AE8E0E6" w14:textId="7E153375" w:rsidR="00D2646A" w:rsidRPr="00315597" w:rsidRDefault="00D2646A" w:rsidP="00D2646A">
            <w:pPr>
              <w:rPr>
                <w:rFonts w:ascii="Arial" w:hAnsi="Arial" w:cs="Arial"/>
                <w:color w:val="000000" w:themeColor="text1"/>
              </w:rPr>
            </w:pPr>
            <w:r w:rsidRPr="00315597">
              <w:rPr>
                <w:rFonts w:ascii="Arial" w:hAnsi="Arial" w:cs="Arial"/>
                <w:color w:val="000000" w:themeColor="text1"/>
              </w:rPr>
              <w:t>Polypharmacy has been described as the use of four or more medications (Cooper et al. 2015)</w:t>
            </w:r>
            <w:r w:rsidR="00B33451" w:rsidRPr="00B33451">
              <w:rPr>
                <w:rFonts w:ascii="Arial" w:hAnsi="Arial" w:cs="Arial"/>
                <w:color w:val="000000" w:themeColor="text1"/>
                <w:vertAlign w:val="superscript"/>
              </w:rPr>
              <w:t>4</w:t>
            </w:r>
            <w:r w:rsidR="00A20154">
              <w:rPr>
                <w:rFonts w:ascii="Arial" w:hAnsi="Arial" w:cs="Arial"/>
                <w:color w:val="000000" w:themeColor="text1"/>
                <w:vertAlign w:val="superscript"/>
              </w:rPr>
              <w:t>8</w:t>
            </w:r>
          </w:p>
          <w:p w14:paraId="44DFEA90" w14:textId="455B6D8F" w:rsidR="00D2646A" w:rsidRPr="00315597" w:rsidRDefault="00D2646A" w:rsidP="007A71D2">
            <w:pPr>
              <w:rPr>
                <w:rFonts w:ascii="Arial" w:hAnsi="Arial" w:cs="Arial"/>
                <w:color w:val="000000" w:themeColor="text1"/>
              </w:rPr>
            </w:pPr>
          </w:p>
          <w:p w14:paraId="5F86D480" w14:textId="565AEC12" w:rsidR="00D2646A" w:rsidRPr="00315597" w:rsidRDefault="00D2646A" w:rsidP="007A71D2">
            <w:pPr>
              <w:rPr>
                <w:rFonts w:ascii="Arial" w:hAnsi="Arial" w:cs="Arial"/>
                <w:color w:val="000000" w:themeColor="text1"/>
              </w:rPr>
            </w:pPr>
            <w:r w:rsidRPr="00315597">
              <w:rPr>
                <w:rFonts w:ascii="Arial" w:hAnsi="Arial" w:cs="Arial"/>
                <w:color w:val="000000" w:themeColor="text1"/>
                <w:shd w:val="clear" w:color="auto" w:fill="FFFFFF"/>
              </w:rPr>
              <w:t>Potentially inappropriate prescribing (PIP) is a term that encompasses the prescribing of potentially inappropriate medication (PIM) where risks and costs outweigh potential benefits, as well as potential prescribing omission (PPO), where clinically beneficial medications may not be prescribed for a number of reasons (Taylor et al. 2016)</w:t>
            </w:r>
            <w:r w:rsidR="00A20154" w:rsidRPr="00A20154">
              <w:rPr>
                <w:rFonts w:ascii="Arial" w:hAnsi="Arial" w:cs="Arial"/>
                <w:color w:val="000000" w:themeColor="text1"/>
                <w:shd w:val="clear" w:color="auto" w:fill="FFFFFF"/>
                <w:vertAlign w:val="superscript"/>
              </w:rPr>
              <w:t>49</w:t>
            </w:r>
          </w:p>
          <w:p w14:paraId="68C5E71F" w14:textId="77777777" w:rsidR="00E01CE6" w:rsidRPr="00315597" w:rsidRDefault="00E01CE6" w:rsidP="005A3BF9">
            <w:pPr>
              <w:contextualSpacing/>
              <w:rPr>
                <w:rFonts w:ascii="Arial" w:hAnsi="Arial" w:cs="Arial"/>
                <w:color w:val="000000" w:themeColor="text1"/>
              </w:rPr>
            </w:pPr>
          </w:p>
        </w:tc>
      </w:tr>
      <w:tr w:rsidR="00E01CE6" w:rsidRPr="005A3BF9" w14:paraId="1A9316D4" w14:textId="77777777" w:rsidTr="00B15C2D">
        <w:tc>
          <w:tcPr>
            <w:tcW w:w="4508" w:type="dxa"/>
          </w:tcPr>
          <w:p w14:paraId="41AED38E" w14:textId="4343860B" w:rsidR="00E01CE6" w:rsidRPr="00315597" w:rsidRDefault="00222204">
            <w:pPr>
              <w:rPr>
                <w:rFonts w:ascii="Arial" w:hAnsi="Arial" w:cs="Arial"/>
                <w:b/>
                <w:bCs/>
                <w:color w:val="000000" w:themeColor="text1"/>
              </w:rPr>
            </w:pPr>
            <w:r w:rsidRPr="00315597">
              <w:rPr>
                <w:rFonts w:ascii="Arial" w:hAnsi="Arial" w:cs="Arial"/>
                <w:b/>
                <w:bCs/>
                <w:color w:val="000000" w:themeColor="text1"/>
              </w:rPr>
              <w:lastRenderedPageBreak/>
              <w:t>VACCINATION PROGRAMME</w:t>
            </w:r>
          </w:p>
        </w:tc>
        <w:tc>
          <w:tcPr>
            <w:tcW w:w="8954" w:type="dxa"/>
          </w:tcPr>
          <w:p w14:paraId="15615382" w14:textId="77777777" w:rsidR="00E01CE6" w:rsidRPr="00315597" w:rsidRDefault="00222204" w:rsidP="005A3BF9">
            <w:pPr>
              <w:contextualSpacing/>
              <w:rPr>
                <w:rFonts w:ascii="Arial" w:hAnsi="Arial" w:cs="Arial"/>
                <w:color w:val="000000" w:themeColor="text1"/>
              </w:rPr>
            </w:pPr>
            <w:r w:rsidRPr="00315597">
              <w:rPr>
                <w:rFonts w:ascii="Arial" w:hAnsi="Arial" w:cs="Arial"/>
                <w:color w:val="000000" w:themeColor="text1"/>
              </w:rPr>
              <w:t xml:space="preserve">Strain-specific immune responses to the influenza virus haemagglutinin surface </w:t>
            </w:r>
            <w:r w:rsidR="007A0B1E" w:rsidRPr="00315597">
              <w:rPr>
                <w:rFonts w:ascii="Arial" w:hAnsi="Arial" w:cs="Arial"/>
                <w:color w:val="000000" w:themeColor="text1"/>
              </w:rPr>
              <w:t>glycoprotein measured by a haemagglutination inhibition (HI) test are widely accepted indicators of immunogenicity.</w:t>
            </w:r>
          </w:p>
          <w:p w14:paraId="5009CD48" w14:textId="78AC5AA3" w:rsidR="007A0B1E" w:rsidRPr="00315597" w:rsidRDefault="007A0B1E" w:rsidP="005A3BF9">
            <w:pPr>
              <w:contextualSpacing/>
              <w:rPr>
                <w:rFonts w:ascii="Arial" w:hAnsi="Arial" w:cs="Arial"/>
                <w:color w:val="000000" w:themeColor="text1"/>
              </w:rPr>
            </w:pPr>
            <w:r w:rsidRPr="00315597">
              <w:rPr>
                <w:rFonts w:ascii="Arial" w:hAnsi="Arial" w:cs="Arial"/>
                <w:color w:val="000000" w:themeColor="text1"/>
              </w:rPr>
              <w:t>Seroconversion is at least a 4-fold increase in serum HI titre post-vaccination compared with baseline. The seroconversion rate in a population is considered sufficient for seasonal influenza vaccine by the European Committee for Medicinal Products for Human Use (CHMP) when above 40% in subjects aged 18-60 years and above 30% in subjects older that 60 years.</w:t>
            </w:r>
          </w:p>
          <w:p w14:paraId="2285F23A" w14:textId="77777777" w:rsidR="007A0B1E" w:rsidRPr="00315597" w:rsidRDefault="007A0B1E" w:rsidP="005A3BF9">
            <w:pPr>
              <w:contextualSpacing/>
              <w:rPr>
                <w:rFonts w:ascii="Arial" w:hAnsi="Arial" w:cs="Arial"/>
                <w:color w:val="000000" w:themeColor="text1"/>
              </w:rPr>
            </w:pPr>
            <w:r w:rsidRPr="00315597">
              <w:rPr>
                <w:rFonts w:ascii="Arial" w:hAnsi="Arial" w:cs="Arial"/>
                <w:color w:val="000000" w:themeColor="text1"/>
              </w:rPr>
              <w:t xml:space="preserve">The seroprotection rate is defined as the proportion of the population with HI titres&gt;=1:40 at four weeks post-vaccination. The seroprotection rate in a population is considered sufficient for seasonal influenza vaccines by CHMP when above 70% in subjects aged 18-60 years and above 60% in subjects older than 60 years </w:t>
            </w:r>
            <w:r w:rsidR="00657AED" w:rsidRPr="00315597">
              <w:rPr>
                <w:rFonts w:ascii="Arial" w:hAnsi="Arial" w:cs="Arial"/>
                <w:color w:val="000000" w:themeColor="text1"/>
              </w:rPr>
              <w:t>and by CBER when the lower limit of the 95% CI is at least 70% in 18-60 year olds and at least 60% in subjects older than 60 years.</w:t>
            </w:r>
          </w:p>
          <w:p w14:paraId="0F312B33" w14:textId="77777777" w:rsidR="00657AED" w:rsidRPr="00315597" w:rsidRDefault="00657AED" w:rsidP="005A3BF9">
            <w:pPr>
              <w:contextualSpacing/>
              <w:rPr>
                <w:rFonts w:ascii="Arial" w:hAnsi="Arial" w:cs="Arial"/>
                <w:color w:val="000000" w:themeColor="text1"/>
              </w:rPr>
            </w:pPr>
            <w:r w:rsidRPr="00315597">
              <w:rPr>
                <w:rFonts w:ascii="Arial" w:hAnsi="Arial" w:cs="Arial"/>
                <w:color w:val="000000" w:themeColor="text1"/>
              </w:rPr>
              <w:t>Safety of vaccination was studied by comparing local and systemic effects of influenza and placebo vaccination. COPD exacerbations up to 14 days post-vaccination were considered a possible adverse effect of vaccination.</w:t>
            </w:r>
          </w:p>
          <w:p w14:paraId="6AF6D696" w14:textId="40F1B9DC" w:rsidR="00657AED" w:rsidRPr="00315597" w:rsidRDefault="00657AED" w:rsidP="005A3BF9">
            <w:pPr>
              <w:contextualSpacing/>
              <w:rPr>
                <w:rFonts w:ascii="Arial" w:hAnsi="Arial" w:cs="Arial"/>
                <w:color w:val="000000" w:themeColor="text1"/>
              </w:rPr>
            </w:pPr>
            <w:r w:rsidRPr="00315597">
              <w:rPr>
                <w:rFonts w:ascii="Arial" w:hAnsi="Arial" w:cs="Arial"/>
                <w:color w:val="000000" w:themeColor="text1"/>
              </w:rPr>
              <w:t>Vaccination efficacy is commonly defined as the direct effect of a vaccine measured in pre-licensure randomised clinical trials where vaccination is allocated under optimal conditions, comparing a vaccinated group with a placebo group in the same population (Bekkat- Berkani et al. 2017)</w:t>
            </w:r>
            <w:r w:rsidR="00B33451" w:rsidRPr="00B33451">
              <w:rPr>
                <w:rFonts w:ascii="Arial" w:hAnsi="Arial" w:cs="Arial"/>
                <w:color w:val="000000" w:themeColor="text1"/>
                <w:vertAlign w:val="superscript"/>
              </w:rPr>
              <w:t>5</w:t>
            </w:r>
            <w:r w:rsidR="00A20154">
              <w:rPr>
                <w:rFonts w:ascii="Arial" w:hAnsi="Arial" w:cs="Arial"/>
                <w:color w:val="000000" w:themeColor="text1"/>
                <w:vertAlign w:val="superscript"/>
              </w:rPr>
              <w:t>0</w:t>
            </w:r>
          </w:p>
        </w:tc>
      </w:tr>
      <w:tr w:rsidR="00E01CE6" w:rsidRPr="005A3BF9" w14:paraId="0D973552" w14:textId="77777777" w:rsidTr="00B15C2D">
        <w:tc>
          <w:tcPr>
            <w:tcW w:w="4508" w:type="dxa"/>
          </w:tcPr>
          <w:p w14:paraId="17DF90DE" w14:textId="6A62BE88" w:rsidR="00E01CE6" w:rsidRPr="00315597" w:rsidRDefault="00222204">
            <w:pPr>
              <w:rPr>
                <w:rFonts w:ascii="Arial" w:hAnsi="Arial" w:cs="Arial"/>
                <w:b/>
                <w:bCs/>
                <w:color w:val="000000" w:themeColor="text1"/>
              </w:rPr>
            </w:pPr>
            <w:r w:rsidRPr="00315597">
              <w:rPr>
                <w:rFonts w:ascii="Arial" w:hAnsi="Arial" w:cs="Arial"/>
                <w:b/>
                <w:bCs/>
                <w:color w:val="000000" w:themeColor="text1"/>
              </w:rPr>
              <w:lastRenderedPageBreak/>
              <w:t>HOSPITAL AT HOME</w:t>
            </w:r>
          </w:p>
        </w:tc>
        <w:tc>
          <w:tcPr>
            <w:tcW w:w="8954" w:type="dxa"/>
          </w:tcPr>
          <w:p w14:paraId="53243431" w14:textId="44DBD28D" w:rsidR="00657AED" w:rsidRPr="00315597" w:rsidRDefault="00657AED" w:rsidP="00657AED">
            <w:pPr>
              <w:rPr>
                <w:rFonts w:ascii="Arial" w:hAnsi="Arial" w:cs="Arial"/>
                <w:color w:val="000000" w:themeColor="text1"/>
              </w:rPr>
            </w:pPr>
            <w:r w:rsidRPr="00315597">
              <w:rPr>
                <w:rFonts w:ascii="Arial" w:hAnsi="Arial" w:cs="Arial"/>
                <w:color w:val="000000" w:themeColor="text1"/>
              </w:rPr>
              <w:t>Hospital at home (HaH) is the delivery of hospital ward-level care in the patient’s home as a substitute for routine hospitalization. Patients who have clinical indications for admission to a hospital ward are offered monitoring, face-to-face clinical care from nurses and physicians, diagnostic testing (e.g. laboratory investigations, electrocardiograms, radiography), and intravenous (IV) medication in their homes (Qaddoura et al. 2015)</w:t>
            </w:r>
            <w:r w:rsidR="00B33451" w:rsidRPr="00B33451">
              <w:rPr>
                <w:rFonts w:ascii="Arial" w:hAnsi="Arial" w:cs="Arial"/>
                <w:color w:val="000000" w:themeColor="text1"/>
                <w:vertAlign w:val="superscript"/>
              </w:rPr>
              <w:t>6</w:t>
            </w:r>
            <w:r w:rsidR="00A20154">
              <w:rPr>
                <w:rFonts w:ascii="Arial" w:hAnsi="Arial" w:cs="Arial"/>
                <w:color w:val="000000" w:themeColor="text1"/>
                <w:vertAlign w:val="superscript"/>
              </w:rPr>
              <w:t>7</w:t>
            </w:r>
          </w:p>
          <w:p w14:paraId="76C563EB" w14:textId="77777777" w:rsidR="00E01CE6" w:rsidRPr="00315597" w:rsidRDefault="00E01CE6" w:rsidP="005A3BF9">
            <w:pPr>
              <w:contextualSpacing/>
              <w:rPr>
                <w:rFonts w:ascii="Arial" w:hAnsi="Arial" w:cs="Arial"/>
                <w:color w:val="000000" w:themeColor="text1"/>
              </w:rPr>
            </w:pPr>
          </w:p>
        </w:tc>
      </w:tr>
    </w:tbl>
    <w:p w14:paraId="1B8F5FDB" w14:textId="174BC279" w:rsidR="00E01CE6" w:rsidRDefault="00E01CE6"/>
    <w:p w14:paraId="50705667" w14:textId="0DC3AD74" w:rsidR="00B33451" w:rsidRPr="00B33451" w:rsidRDefault="00B33451">
      <w:pPr>
        <w:rPr>
          <w:rFonts w:ascii="Arial" w:hAnsi="Arial" w:cs="Arial"/>
        </w:rPr>
      </w:pPr>
      <w:r w:rsidRPr="00B33451">
        <w:rPr>
          <w:rFonts w:ascii="Arial" w:hAnsi="Arial" w:cs="Arial"/>
        </w:rPr>
        <w:t xml:space="preserve">*NHS England. Supported self management. </w:t>
      </w:r>
      <w:hyperlink r:id="rId6" w:history="1">
        <w:r w:rsidRPr="00B33451">
          <w:rPr>
            <w:rStyle w:val="Hyperlink"/>
            <w:rFonts w:ascii="Arial" w:hAnsi="Arial" w:cs="Arial"/>
          </w:rPr>
          <w:t>https://www.england.nhs.uk/ourwork/patient-participation/self-care/</w:t>
        </w:r>
      </w:hyperlink>
      <w:r w:rsidRPr="00B33451">
        <w:rPr>
          <w:rFonts w:ascii="Arial" w:hAnsi="Arial" w:cs="Arial"/>
        </w:rPr>
        <w:t>. Accessed 18</w:t>
      </w:r>
      <w:r w:rsidRPr="00B33451">
        <w:rPr>
          <w:rFonts w:ascii="Arial" w:hAnsi="Arial" w:cs="Arial"/>
          <w:vertAlign w:val="superscript"/>
        </w:rPr>
        <w:t>th</w:t>
      </w:r>
      <w:r w:rsidRPr="00B33451">
        <w:rPr>
          <w:rFonts w:ascii="Arial" w:hAnsi="Arial" w:cs="Arial"/>
        </w:rPr>
        <w:t xml:space="preserve"> June 2020</w:t>
      </w:r>
    </w:p>
    <w:p w14:paraId="2F09D691" w14:textId="77777777" w:rsidR="00B33451" w:rsidRPr="00B33451" w:rsidRDefault="00B33451" w:rsidP="00B33451">
      <w:pPr>
        <w:rPr>
          <w:rFonts w:ascii="Arial" w:eastAsia="Times New Roman" w:hAnsi="Arial" w:cs="Arial"/>
          <w:color w:val="000000" w:themeColor="text1"/>
          <w:lang w:eastAsia="en-GB"/>
        </w:rPr>
      </w:pPr>
      <w:r w:rsidRPr="00B33451">
        <w:rPr>
          <w:rFonts w:ascii="Arial" w:hAnsi="Arial" w:cs="Arial"/>
          <w:color w:val="000000" w:themeColor="text1"/>
        </w:rPr>
        <w:t>*</w:t>
      </w:r>
      <w:r w:rsidRPr="00B33451">
        <w:rPr>
          <w:rFonts w:ascii="Arial" w:eastAsia="Times New Roman" w:hAnsi="Arial" w:cs="Arial"/>
          <w:color w:val="000000" w:themeColor="text1"/>
          <w:shd w:val="clear" w:color="auto" w:fill="FCFCFC"/>
          <w:lang w:eastAsia="en-GB"/>
        </w:rPr>
        <w:t>Gale NK, Kenyon S, MacArthur C, et al. Synthetic social support: theorizing lay health worker interventions. Soc Sci Med. 2018;196:96–105.</w:t>
      </w:r>
    </w:p>
    <w:p w14:paraId="05A3A3A1" w14:textId="277935BF" w:rsidR="00B33451" w:rsidRPr="005A3BF9" w:rsidRDefault="00B33451"/>
    <w:sectPr w:rsidR="00B33451" w:rsidRPr="005A3BF9" w:rsidSect="00B15C2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915A8" w14:textId="77777777" w:rsidR="00C55785" w:rsidRDefault="00C55785" w:rsidP="00E01CE6">
      <w:pPr>
        <w:spacing w:after="0" w:line="240" w:lineRule="auto"/>
      </w:pPr>
      <w:r>
        <w:separator/>
      </w:r>
    </w:p>
  </w:endnote>
  <w:endnote w:type="continuationSeparator" w:id="0">
    <w:p w14:paraId="66599E1D" w14:textId="77777777" w:rsidR="00C55785" w:rsidRDefault="00C55785" w:rsidP="00E0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FC777" w14:textId="77777777" w:rsidR="00C55785" w:rsidRDefault="00C55785" w:rsidP="00E01CE6">
      <w:pPr>
        <w:spacing w:after="0" w:line="240" w:lineRule="auto"/>
      </w:pPr>
      <w:r>
        <w:separator/>
      </w:r>
    </w:p>
  </w:footnote>
  <w:footnote w:type="continuationSeparator" w:id="0">
    <w:p w14:paraId="504A914C" w14:textId="77777777" w:rsidR="00C55785" w:rsidRDefault="00C55785" w:rsidP="00E01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E6"/>
    <w:rsid w:val="000B0B9E"/>
    <w:rsid w:val="0011247F"/>
    <w:rsid w:val="00222204"/>
    <w:rsid w:val="00315597"/>
    <w:rsid w:val="00406273"/>
    <w:rsid w:val="00421368"/>
    <w:rsid w:val="00473681"/>
    <w:rsid w:val="004B2C2C"/>
    <w:rsid w:val="00512B19"/>
    <w:rsid w:val="00595C27"/>
    <w:rsid w:val="005A3BF9"/>
    <w:rsid w:val="00657AED"/>
    <w:rsid w:val="007707EE"/>
    <w:rsid w:val="007A0B1E"/>
    <w:rsid w:val="007A71D2"/>
    <w:rsid w:val="007A7EEE"/>
    <w:rsid w:val="008142C7"/>
    <w:rsid w:val="00837203"/>
    <w:rsid w:val="009F3AC8"/>
    <w:rsid w:val="00A156CE"/>
    <w:rsid w:val="00A20154"/>
    <w:rsid w:val="00A52B45"/>
    <w:rsid w:val="00AD1C79"/>
    <w:rsid w:val="00B15C2D"/>
    <w:rsid w:val="00B33451"/>
    <w:rsid w:val="00B83291"/>
    <w:rsid w:val="00BC0F03"/>
    <w:rsid w:val="00BC7F78"/>
    <w:rsid w:val="00C55785"/>
    <w:rsid w:val="00C5677F"/>
    <w:rsid w:val="00C836D6"/>
    <w:rsid w:val="00C93145"/>
    <w:rsid w:val="00D2646A"/>
    <w:rsid w:val="00D64E13"/>
    <w:rsid w:val="00E01CE6"/>
    <w:rsid w:val="00F42514"/>
    <w:rsid w:val="00FC28F3"/>
    <w:rsid w:val="00FD2E3E"/>
    <w:rsid w:val="00FD3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9A2A6"/>
  <w15:chartTrackingRefBased/>
  <w15:docId w15:val="{487771D4-1B7A-416C-A5BA-EB21DBE0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C2D"/>
    <w:rPr>
      <w:rFonts w:ascii="Segoe UI" w:hAnsi="Segoe UI" w:cs="Segoe UI"/>
      <w:sz w:val="18"/>
      <w:szCs w:val="18"/>
    </w:rPr>
  </w:style>
  <w:style w:type="character" w:customStyle="1" w:styleId="bibref">
    <w:name w:val="bibref"/>
    <w:basedOn w:val="DefaultParagraphFont"/>
    <w:rsid w:val="008142C7"/>
  </w:style>
  <w:style w:type="character" w:styleId="Hyperlink">
    <w:name w:val="Hyperlink"/>
    <w:basedOn w:val="DefaultParagraphFont"/>
    <w:uiPriority w:val="99"/>
    <w:unhideWhenUsed/>
    <w:rsid w:val="008142C7"/>
    <w:rPr>
      <w:color w:val="0000FF"/>
      <w:u w:val="single"/>
    </w:rPr>
  </w:style>
  <w:style w:type="character" w:styleId="UnresolvedMention">
    <w:name w:val="Unresolved Mention"/>
    <w:basedOn w:val="DefaultParagraphFont"/>
    <w:uiPriority w:val="99"/>
    <w:semiHidden/>
    <w:unhideWhenUsed/>
    <w:rsid w:val="00315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701">
      <w:bodyDiv w:val="1"/>
      <w:marLeft w:val="0"/>
      <w:marRight w:val="0"/>
      <w:marTop w:val="0"/>
      <w:marBottom w:val="0"/>
      <w:divBdr>
        <w:top w:val="none" w:sz="0" w:space="0" w:color="auto"/>
        <w:left w:val="none" w:sz="0" w:space="0" w:color="auto"/>
        <w:bottom w:val="none" w:sz="0" w:space="0" w:color="auto"/>
        <w:right w:val="none" w:sz="0" w:space="0" w:color="auto"/>
      </w:divBdr>
    </w:div>
    <w:div w:id="141772088">
      <w:bodyDiv w:val="1"/>
      <w:marLeft w:val="0"/>
      <w:marRight w:val="0"/>
      <w:marTop w:val="0"/>
      <w:marBottom w:val="0"/>
      <w:divBdr>
        <w:top w:val="none" w:sz="0" w:space="0" w:color="auto"/>
        <w:left w:val="none" w:sz="0" w:space="0" w:color="auto"/>
        <w:bottom w:val="none" w:sz="0" w:space="0" w:color="auto"/>
        <w:right w:val="none" w:sz="0" w:space="0" w:color="auto"/>
      </w:divBdr>
    </w:div>
    <w:div w:id="204104561">
      <w:bodyDiv w:val="1"/>
      <w:marLeft w:val="0"/>
      <w:marRight w:val="0"/>
      <w:marTop w:val="0"/>
      <w:marBottom w:val="0"/>
      <w:divBdr>
        <w:top w:val="none" w:sz="0" w:space="0" w:color="auto"/>
        <w:left w:val="none" w:sz="0" w:space="0" w:color="auto"/>
        <w:bottom w:val="none" w:sz="0" w:space="0" w:color="auto"/>
        <w:right w:val="none" w:sz="0" w:space="0" w:color="auto"/>
      </w:divBdr>
    </w:div>
    <w:div w:id="648441502">
      <w:bodyDiv w:val="1"/>
      <w:marLeft w:val="0"/>
      <w:marRight w:val="0"/>
      <w:marTop w:val="0"/>
      <w:marBottom w:val="0"/>
      <w:divBdr>
        <w:top w:val="none" w:sz="0" w:space="0" w:color="auto"/>
        <w:left w:val="none" w:sz="0" w:space="0" w:color="auto"/>
        <w:bottom w:val="none" w:sz="0" w:space="0" w:color="auto"/>
        <w:right w:val="none" w:sz="0" w:space="0" w:color="auto"/>
      </w:divBdr>
    </w:div>
    <w:div w:id="762649646">
      <w:bodyDiv w:val="1"/>
      <w:marLeft w:val="0"/>
      <w:marRight w:val="0"/>
      <w:marTop w:val="0"/>
      <w:marBottom w:val="0"/>
      <w:divBdr>
        <w:top w:val="none" w:sz="0" w:space="0" w:color="auto"/>
        <w:left w:val="none" w:sz="0" w:space="0" w:color="auto"/>
        <w:bottom w:val="none" w:sz="0" w:space="0" w:color="auto"/>
        <w:right w:val="none" w:sz="0" w:space="0" w:color="auto"/>
      </w:divBdr>
    </w:div>
    <w:div w:id="836844645">
      <w:bodyDiv w:val="1"/>
      <w:marLeft w:val="0"/>
      <w:marRight w:val="0"/>
      <w:marTop w:val="0"/>
      <w:marBottom w:val="0"/>
      <w:divBdr>
        <w:top w:val="none" w:sz="0" w:space="0" w:color="auto"/>
        <w:left w:val="none" w:sz="0" w:space="0" w:color="auto"/>
        <w:bottom w:val="none" w:sz="0" w:space="0" w:color="auto"/>
        <w:right w:val="none" w:sz="0" w:space="0" w:color="auto"/>
      </w:divBdr>
    </w:div>
    <w:div w:id="889655577">
      <w:bodyDiv w:val="1"/>
      <w:marLeft w:val="0"/>
      <w:marRight w:val="0"/>
      <w:marTop w:val="0"/>
      <w:marBottom w:val="0"/>
      <w:divBdr>
        <w:top w:val="none" w:sz="0" w:space="0" w:color="auto"/>
        <w:left w:val="none" w:sz="0" w:space="0" w:color="auto"/>
        <w:bottom w:val="none" w:sz="0" w:space="0" w:color="auto"/>
        <w:right w:val="none" w:sz="0" w:space="0" w:color="auto"/>
      </w:divBdr>
    </w:div>
    <w:div w:id="917982632">
      <w:bodyDiv w:val="1"/>
      <w:marLeft w:val="0"/>
      <w:marRight w:val="0"/>
      <w:marTop w:val="0"/>
      <w:marBottom w:val="0"/>
      <w:divBdr>
        <w:top w:val="none" w:sz="0" w:space="0" w:color="auto"/>
        <w:left w:val="none" w:sz="0" w:space="0" w:color="auto"/>
        <w:bottom w:val="none" w:sz="0" w:space="0" w:color="auto"/>
        <w:right w:val="none" w:sz="0" w:space="0" w:color="auto"/>
      </w:divBdr>
    </w:div>
    <w:div w:id="1053430109">
      <w:bodyDiv w:val="1"/>
      <w:marLeft w:val="0"/>
      <w:marRight w:val="0"/>
      <w:marTop w:val="0"/>
      <w:marBottom w:val="0"/>
      <w:divBdr>
        <w:top w:val="none" w:sz="0" w:space="0" w:color="auto"/>
        <w:left w:val="none" w:sz="0" w:space="0" w:color="auto"/>
        <w:bottom w:val="none" w:sz="0" w:space="0" w:color="auto"/>
        <w:right w:val="none" w:sz="0" w:space="0" w:color="auto"/>
      </w:divBdr>
    </w:div>
    <w:div w:id="1356496760">
      <w:bodyDiv w:val="1"/>
      <w:marLeft w:val="0"/>
      <w:marRight w:val="0"/>
      <w:marTop w:val="0"/>
      <w:marBottom w:val="0"/>
      <w:divBdr>
        <w:top w:val="none" w:sz="0" w:space="0" w:color="auto"/>
        <w:left w:val="none" w:sz="0" w:space="0" w:color="auto"/>
        <w:bottom w:val="none" w:sz="0" w:space="0" w:color="auto"/>
        <w:right w:val="none" w:sz="0" w:space="0" w:color="auto"/>
      </w:divBdr>
    </w:div>
    <w:div w:id="1507787345">
      <w:bodyDiv w:val="1"/>
      <w:marLeft w:val="0"/>
      <w:marRight w:val="0"/>
      <w:marTop w:val="0"/>
      <w:marBottom w:val="0"/>
      <w:divBdr>
        <w:top w:val="none" w:sz="0" w:space="0" w:color="auto"/>
        <w:left w:val="none" w:sz="0" w:space="0" w:color="auto"/>
        <w:bottom w:val="none" w:sz="0" w:space="0" w:color="auto"/>
        <w:right w:val="none" w:sz="0" w:space="0" w:color="auto"/>
      </w:divBdr>
    </w:div>
    <w:div w:id="1864630845">
      <w:bodyDiv w:val="1"/>
      <w:marLeft w:val="0"/>
      <w:marRight w:val="0"/>
      <w:marTop w:val="0"/>
      <w:marBottom w:val="0"/>
      <w:divBdr>
        <w:top w:val="none" w:sz="0" w:space="0" w:color="auto"/>
        <w:left w:val="none" w:sz="0" w:space="0" w:color="auto"/>
        <w:bottom w:val="none" w:sz="0" w:space="0" w:color="auto"/>
        <w:right w:val="none" w:sz="0" w:space="0" w:color="auto"/>
      </w:divBdr>
    </w:div>
    <w:div w:id="1922174672">
      <w:bodyDiv w:val="1"/>
      <w:marLeft w:val="0"/>
      <w:marRight w:val="0"/>
      <w:marTop w:val="0"/>
      <w:marBottom w:val="0"/>
      <w:divBdr>
        <w:top w:val="none" w:sz="0" w:space="0" w:color="auto"/>
        <w:left w:val="none" w:sz="0" w:space="0" w:color="auto"/>
        <w:bottom w:val="none" w:sz="0" w:space="0" w:color="auto"/>
        <w:right w:val="none" w:sz="0" w:space="0" w:color="auto"/>
      </w:divBdr>
    </w:div>
    <w:div w:id="2050756702">
      <w:bodyDiv w:val="1"/>
      <w:marLeft w:val="0"/>
      <w:marRight w:val="0"/>
      <w:marTop w:val="0"/>
      <w:marBottom w:val="0"/>
      <w:divBdr>
        <w:top w:val="none" w:sz="0" w:space="0" w:color="auto"/>
        <w:left w:val="none" w:sz="0" w:space="0" w:color="auto"/>
        <w:bottom w:val="none" w:sz="0" w:space="0" w:color="auto"/>
        <w:right w:val="none" w:sz="0" w:space="0" w:color="auto"/>
      </w:divBdr>
    </w:div>
    <w:div w:id="2088114551">
      <w:bodyDiv w:val="1"/>
      <w:marLeft w:val="0"/>
      <w:marRight w:val="0"/>
      <w:marTop w:val="0"/>
      <w:marBottom w:val="0"/>
      <w:divBdr>
        <w:top w:val="none" w:sz="0" w:space="0" w:color="auto"/>
        <w:left w:val="none" w:sz="0" w:space="0" w:color="auto"/>
        <w:bottom w:val="none" w:sz="0" w:space="0" w:color="auto"/>
        <w:right w:val="none" w:sz="0" w:space="0" w:color="auto"/>
      </w:divBdr>
    </w:div>
    <w:div w:id="2113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nhs.uk/ourwork/patient-participation/self-car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Huntley</dc:creator>
  <cp:keywords/>
  <dc:description/>
  <cp:lastModifiedBy>Shoba Dawson</cp:lastModifiedBy>
  <cp:revision>17</cp:revision>
  <dcterms:created xsi:type="dcterms:W3CDTF">2020-02-18T07:03:00Z</dcterms:created>
  <dcterms:modified xsi:type="dcterms:W3CDTF">2020-07-22T12:48:00Z</dcterms:modified>
</cp:coreProperties>
</file>