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0BBC" w14:textId="77777777" w:rsidR="00D712A9" w:rsidRPr="00D712A9" w:rsidRDefault="00D712A9" w:rsidP="00D712A9">
      <w:pPr>
        <w:spacing w:after="0" w:line="480" w:lineRule="auto"/>
        <w:rPr>
          <w:rFonts w:ascii="Arial" w:hAnsi="Arial" w:cs="Arial"/>
          <w:b/>
          <w:bCs/>
          <w:sz w:val="24"/>
          <w:szCs w:val="24"/>
        </w:rPr>
      </w:pPr>
      <w:r w:rsidRPr="00D712A9">
        <w:rPr>
          <w:rFonts w:ascii="Arial" w:hAnsi="Arial" w:cs="Arial"/>
          <w:b/>
          <w:bCs/>
          <w:sz w:val="24"/>
          <w:szCs w:val="24"/>
        </w:rPr>
        <w:t xml:space="preserve">Supplemental Table. Rare sequence variants (RSVs) in GnRH-associated genes identified in HA women and controls. </w:t>
      </w:r>
    </w:p>
    <w:p w14:paraId="02ED5D83" w14:textId="633E000A" w:rsidR="00FF2F22" w:rsidRDefault="00D712A9" w:rsidP="00D712A9">
      <w:pPr>
        <w:spacing w:after="0" w:line="480" w:lineRule="auto"/>
        <w:rPr>
          <w:rFonts w:ascii="Arial" w:hAnsi="Arial" w:cs="Arial"/>
          <w:sz w:val="24"/>
          <w:szCs w:val="24"/>
        </w:rPr>
      </w:pPr>
      <w:proofErr w:type="spellStart"/>
      <w:r w:rsidRPr="00EE3B15">
        <w:rPr>
          <w:rFonts w:ascii="Arial" w:hAnsi="Arial" w:cs="Arial"/>
          <w:sz w:val="24"/>
          <w:szCs w:val="24"/>
        </w:rPr>
        <w:t>Chrom</w:t>
      </w:r>
      <w:proofErr w:type="spellEnd"/>
      <w:r w:rsidRPr="00EE3B15">
        <w:rPr>
          <w:rFonts w:ascii="Arial" w:hAnsi="Arial" w:cs="Arial"/>
          <w:sz w:val="24"/>
          <w:szCs w:val="24"/>
        </w:rPr>
        <w:t xml:space="preserve">, chromosome; Ref, reference allele; Alt, alternate allele; Low conf, low confidence. </w:t>
      </w:r>
      <w:proofErr w:type="spellStart"/>
      <w:r w:rsidRPr="00B8644F">
        <w:rPr>
          <w:rFonts w:ascii="Arial" w:hAnsi="Arial" w:cs="Arial"/>
          <w:i/>
          <w:sz w:val="24"/>
          <w:szCs w:val="24"/>
          <w:vertAlign w:val="superscript"/>
        </w:rPr>
        <w:t>a</w:t>
      </w:r>
      <w:r w:rsidRPr="00EE3B15">
        <w:rPr>
          <w:rFonts w:ascii="Arial" w:hAnsi="Arial" w:cs="Arial"/>
          <w:sz w:val="24"/>
          <w:szCs w:val="24"/>
        </w:rPr>
        <w:t>See</w:t>
      </w:r>
      <w:proofErr w:type="spellEnd"/>
      <w:r w:rsidRPr="00EE3B15">
        <w:rPr>
          <w:rFonts w:ascii="Arial" w:hAnsi="Arial" w:cs="Arial"/>
          <w:sz w:val="24"/>
          <w:szCs w:val="24"/>
        </w:rPr>
        <w:t xml:space="preserve"> Supplemental References. </w:t>
      </w:r>
      <w:proofErr w:type="spellStart"/>
      <w:r w:rsidRPr="00B8644F">
        <w:rPr>
          <w:rFonts w:ascii="Arial" w:hAnsi="Arial" w:cs="Arial"/>
          <w:i/>
          <w:sz w:val="24"/>
          <w:szCs w:val="24"/>
          <w:vertAlign w:val="superscript"/>
        </w:rPr>
        <w:t>b</w:t>
      </w:r>
      <w:r w:rsidRPr="00EE3B15">
        <w:rPr>
          <w:rFonts w:ascii="Arial" w:hAnsi="Arial" w:cs="Arial"/>
          <w:sz w:val="24"/>
          <w:szCs w:val="24"/>
        </w:rPr>
        <w:t>Participant</w:t>
      </w:r>
      <w:proofErr w:type="spellEnd"/>
      <w:r w:rsidRPr="00EE3B15">
        <w:rPr>
          <w:rFonts w:ascii="Arial" w:hAnsi="Arial" w:cs="Arial"/>
          <w:sz w:val="24"/>
          <w:szCs w:val="24"/>
        </w:rPr>
        <w:t xml:space="preserve"> and mutation previously reported; </w:t>
      </w:r>
      <w:proofErr w:type="spellStart"/>
      <w:r>
        <w:rPr>
          <w:rFonts w:ascii="Arial" w:hAnsi="Arial" w:cs="Arial"/>
          <w:sz w:val="24"/>
          <w:szCs w:val="24"/>
          <w:vertAlign w:val="superscript"/>
        </w:rPr>
        <w:t>c</w:t>
      </w:r>
      <w:r w:rsidRPr="00EE3B15">
        <w:rPr>
          <w:rFonts w:ascii="Arial" w:hAnsi="Arial" w:cs="Arial"/>
          <w:sz w:val="24"/>
          <w:szCs w:val="24"/>
        </w:rPr>
        <w:t>variant</w:t>
      </w:r>
      <w:proofErr w:type="spellEnd"/>
      <w:r w:rsidRPr="00EE3B15">
        <w:rPr>
          <w:rFonts w:ascii="Arial" w:hAnsi="Arial" w:cs="Arial"/>
          <w:sz w:val="24"/>
          <w:szCs w:val="24"/>
        </w:rPr>
        <w:t xml:space="preserve"> identified in a participant previously reported as mutation negative; </w:t>
      </w:r>
      <w:proofErr w:type="spellStart"/>
      <w:r>
        <w:rPr>
          <w:rFonts w:ascii="Arial" w:hAnsi="Arial" w:cs="Arial"/>
          <w:sz w:val="24"/>
          <w:szCs w:val="24"/>
          <w:vertAlign w:val="superscript"/>
        </w:rPr>
        <w:t>d</w:t>
      </w:r>
      <w:r w:rsidRPr="00EE3B15">
        <w:rPr>
          <w:rFonts w:ascii="Arial" w:hAnsi="Arial" w:cs="Arial"/>
          <w:sz w:val="24"/>
          <w:szCs w:val="24"/>
        </w:rPr>
        <w:t>variant</w:t>
      </w:r>
      <w:proofErr w:type="spellEnd"/>
      <w:r w:rsidRPr="00EE3B15">
        <w:rPr>
          <w:rFonts w:ascii="Arial" w:hAnsi="Arial" w:cs="Arial"/>
          <w:sz w:val="24"/>
          <w:szCs w:val="24"/>
        </w:rPr>
        <w:t xml:space="preserve"> identified in a participant previously reported with a heterozygous </w:t>
      </w:r>
      <w:r w:rsidRPr="00EE3B15">
        <w:rPr>
          <w:rFonts w:ascii="Arial" w:hAnsi="Arial" w:cs="Arial"/>
          <w:i/>
          <w:sz w:val="24"/>
          <w:szCs w:val="24"/>
        </w:rPr>
        <w:t>ANOS1</w:t>
      </w:r>
      <w:r w:rsidRPr="00EE3B15">
        <w:rPr>
          <w:rFonts w:ascii="Arial" w:hAnsi="Arial" w:cs="Arial"/>
          <w:sz w:val="24"/>
          <w:szCs w:val="24"/>
        </w:rPr>
        <w:t xml:space="preserve"> RSV</w:t>
      </w:r>
      <w:r>
        <w:rPr>
          <w:rFonts w:ascii="Arial" w:hAnsi="Arial" w:cs="Arial"/>
          <w:sz w:val="24"/>
          <w:szCs w:val="24"/>
        </w:rPr>
        <w:t>;</w:t>
      </w:r>
      <w:r>
        <w:rPr>
          <w:rFonts w:ascii="Arial" w:hAnsi="Arial" w:cs="Arial"/>
          <w:sz w:val="24"/>
          <w:szCs w:val="24"/>
        </w:rPr>
        <w:fldChar w:fldCharType="begin">
          <w:fldData xml:space="preserve">PEVuZE5vdGU+PENpdGU+PEF1dGhvcj5DYXJvbmlhPC9BdXRob3I+PFllYXI+MjAxMTwvWWVhcj48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b2RpY2FsPjxwYWdlcz4yMTUtMjU8L3BhZ2VzPjx2b2x1bWU+MzY0PC92b2x1bWU+PG51bWJlcj4z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ZXM+MjE1LTI1PC9wYWdlcz48dm9sdW1lPjM2NDwvdm9sdW1lPjxudW1iZXI+MzwvbnVtYmVyPjxl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==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PEVuZE5vdGU+PENpdGU+PEF1dGhvcj5DYXJvbmlhPC9BdXRob3I+PFllYXI+MjAxMTwvWWVhcj48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b2RpY2FsPjxwYWdlcz4yMTUtMjU8L3BhZ2VzPjx2b2x1bWU+MzY0PC92b2x1bWU+PG51bWJlcj4z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ZXM+MjE1LTI1PC9wYWdlcz48dm9sdW1lPjM2NDwvdm9sdW1lPjxudW1iZXI+MzwvbnVtYmVyPjxl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==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(29)</w:t>
      </w:r>
      <w:r>
        <w:rPr>
          <w:rFonts w:ascii="Arial" w:hAnsi="Arial" w:cs="Arial"/>
          <w:sz w:val="24"/>
          <w:szCs w:val="24"/>
        </w:rPr>
        <w:fldChar w:fldCharType="end"/>
      </w:r>
      <w:r w:rsidRPr="00EE3B15">
        <w:rPr>
          <w:rFonts w:ascii="Arial" w:hAnsi="Arial" w:cs="Arial"/>
          <w:sz w:val="24"/>
          <w:szCs w:val="24"/>
        </w:rPr>
        <w:t> </w:t>
      </w:r>
      <w:proofErr w:type="spellStart"/>
      <w:r>
        <w:rPr>
          <w:rFonts w:ascii="Arial" w:hAnsi="Arial" w:cs="Arial"/>
          <w:sz w:val="24"/>
          <w:szCs w:val="24"/>
          <w:vertAlign w:val="superscript"/>
        </w:rPr>
        <w:t>e</w:t>
      </w:r>
      <w:r w:rsidRPr="00EE3B15">
        <w:rPr>
          <w:rFonts w:ascii="Arial" w:hAnsi="Arial" w:cs="Arial"/>
          <w:sz w:val="24"/>
          <w:szCs w:val="24"/>
        </w:rPr>
        <w:t>Homozygous</w:t>
      </w:r>
      <w:proofErr w:type="spellEnd"/>
      <w:r w:rsidRPr="00EE3B15">
        <w:rPr>
          <w:rFonts w:ascii="Arial" w:hAnsi="Arial" w:cs="Arial"/>
          <w:sz w:val="24"/>
          <w:szCs w:val="24"/>
        </w:rPr>
        <w:t xml:space="preserve"> variant in one participant</w:t>
      </w:r>
    </w:p>
    <w:p w14:paraId="5C9471D2" w14:textId="45DF7E99" w:rsidR="00DE4772" w:rsidRPr="00DE4772" w:rsidRDefault="00DE4772" w:rsidP="00D712A9">
      <w:pPr>
        <w:spacing w:after="0" w:line="480" w:lineRule="auto"/>
        <w:rPr>
          <w:rFonts w:ascii="Arial" w:hAnsi="Arial" w:cs="Arial"/>
          <w:sz w:val="24"/>
          <w:szCs w:val="24"/>
        </w:rPr>
      </w:pPr>
    </w:p>
    <w:p w14:paraId="259654DD" w14:textId="77777777" w:rsidR="00DE4772" w:rsidRPr="00DE4772" w:rsidRDefault="00DE4772" w:rsidP="00DE4772">
      <w:pPr>
        <w:pStyle w:val="EndNoteBibliography"/>
        <w:spacing w:after="0"/>
        <w:rPr>
          <w:rFonts w:ascii="Arial" w:hAnsi="Arial" w:cs="Arial"/>
          <w:b/>
          <w:sz w:val="24"/>
          <w:szCs w:val="24"/>
        </w:rPr>
      </w:pPr>
      <w:bookmarkStart w:id="0" w:name="_GoBack"/>
      <w:bookmarkEnd w:id="0"/>
      <w:r w:rsidRPr="00DE4772">
        <w:rPr>
          <w:rFonts w:ascii="Arial" w:hAnsi="Arial" w:cs="Arial"/>
          <w:b/>
          <w:sz w:val="24"/>
          <w:szCs w:val="24"/>
        </w:rPr>
        <w:t>Supplemental References</w:t>
      </w:r>
    </w:p>
    <w:p w14:paraId="13427469" w14:textId="77777777" w:rsidR="00DE4772" w:rsidRPr="00DE4772" w:rsidRDefault="00DE4772" w:rsidP="00DE4772">
      <w:pPr>
        <w:pStyle w:val="EndNoteBibliography"/>
        <w:spacing w:after="0"/>
        <w:rPr>
          <w:rFonts w:ascii="Arial" w:hAnsi="Arial" w:cs="Arial"/>
          <w:sz w:val="24"/>
          <w:szCs w:val="24"/>
        </w:rPr>
      </w:pPr>
    </w:p>
    <w:p w14:paraId="7778969D"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fldChar w:fldCharType="begin"/>
      </w:r>
      <w:r w:rsidRPr="00DE4772">
        <w:rPr>
          <w:rFonts w:ascii="Arial" w:hAnsi="Arial" w:cs="Arial"/>
          <w:sz w:val="24"/>
          <w:szCs w:val="24"/>
        </w:rPr>
        <w:instrText xml:space="preserve"> ADDIN EN.REFLIST </w:instrText>
      </w:r>
      <w:r w:rsidRPr="00DE4772">
        <w:rPr>
          <w:rFonts w:ascii="Arial" w:hAnsi="Arial" w:cs="Arial"/>
          <w:sz w:val="24"/>
          <w:szCs w:val="24"/>
        </w:rPr>
        <w:fldChar w:fldCharType="separate"/>
      </w:r>
      <w:r w:rsidRPr="00DE4772">
        <w:rPr>
          <w:rFonts w:ascii="Arial" w:hAnsi="Arial" w:cs="Arial"/>
          <w:sz w:val="24"/>
          <w:szCs w:val="24"/>
        </w:rPr>
        <w:t>1.</w:t>
      </w:r>
      <w:r w:rsidRPr="00DE4772">
        <w:rPr>
          <w:rFonts w:ascii="Arial" w:hAnsi="Arial" w:cs="Arial"/>
          <w:sz w:val="24"/>
          <w:szCs w:val="24"/>
        </w:rPr>
        <w:tab/>
        <w:t xml:space="preserve">Xu C, Messina A, Somm E, Miraoui H, Kinnunen T, Acierno J, et al. </w:t>
      </w:r>
      <w:r w:rsidRPr="00DE4772">
        <w:rPr>
          <w:rFonts w:ascii="Arial" w:hAnsi="Arial" w:cs="Arial"/>
          <w:i/>
          <w:sz w:val="24"/>
          <w:szCs w:val="24"/>
        </w:rPr>
        <w:t>KLB</w:t>
      </w:r>
      <w:r w:rsidRPr="00DE4772">
        <w:rPr>
          <w:rFonts w:ascii="Arial" w:hAnsi="Arial" w:cs="Arial"/>
          <w:sz w:val="24"/>
          <w:szCs w:val="24"/>
        </w:rPr>
        <w:t>, encoding β-Klotho, is mutated in patients with congenital hypogonadotropic hypogonadism. EMBO Mol Med. 2017;9(10):1379-97. doi: 10.15252/emmm.201607376. PubMed PMID: 28754744; PubMed Central PMCID: PMCPMC5623842.</w:t>
      </w:r>
    </w:p>
    <w:p w14:paraId="68370742"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w:t>
      </w:r>
      <w:r w:rsidRPr="00DE4772">
        <w:rPr>
          <w:rFonts w:ascii="Arial" w:hAnsi="Arial" w:cs="Arial"/>
          <w:sz w:val="24"/>
          <w:szCs w:val="24"/>
        </w:rPr>
        <w:tab/>
        <w:t>Choi JH, Balasubramanian R, Lee PH, Shaw ND, Hall JE, Plummer L, et al. Expanding the Spectrum of Founder Mutations Causing Isolated Gonadotropin-Releasing Hormone Deficiency. J Clin Endocrinol Metab. 2015;100(10):E1378-85. Epub 2015/07/24. doi: 10.1210/jc.2015-2262. PubMed PMID: 26207952; PubMed Central PMCID: PMCPMC4596034.</w:t>
      </w:r>
    </w:p>
    <w:p w14:paraId="221E637E"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3.</w:t>
      </w:r>
      <w:r w:rsidRPr="00DE4772">
        <w:rPr>
          <w:rFonts w:ascii="Arial" w:hAnsi="Arial" w:cs="Arial"/>
          <w:sz w:val="24"/>
          <w:szCs w:val="24"/>
        </w:rPr>
        <w:tab/>
        <w:t>Fathi AK, Hu S, Fu X, Huang S, Liang Y, Ning Q, et al. Molecular defects of the GnRH-receptor gene in Chinese patients with idiopathic hypogonadotropic hypogonadism and the severity of hypogonadism. J Pediatr Endocrinol Metab. 2012;25(7-8):659-68. doi: 10.1515/jpem-2012-0087. PubMed PMID: 23155690.</w:t>
      </w:r>
    </w:p>
    <w:p w14:paraId="02DB9D90"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4.</w:t>
      </w:r>
      <w:r w:rsidRPr="00DE4772">
        <w:rPr>
          <w:rFonts w:ascii="Arial" w:hAnsi="Arial" w:cs="Arial"/>
          <w:sz w:val="24"/>
          <w:szCs w:val="24"/>
        </w:rPr>
        <w:tab/>
        <w:t>Francou B, Paul C, Amazit L, Cartes A, Bouvattier C, Albarel F, et al. Prevalence of KISS1 Receptor mutations in a series of 603 patients with normosmic congenital hypogonadotrophic hypogonadism and characterization of novel mutations: a single-centre study. Hum Reprod. 2016;31(6):1363-74. Epub 2016/04/19. doi: 10.1093/humrep/dew073. PubMed PMID: 27094476.</w:t>
      </w:r>
    </w:p>
    <w:p w14:paraId="3E38470C"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5.</w:t>
      </w:r>
      <w:r w:rsidRPr="00DE4772">
        <w:rPr>
          <w:rFonts w:ascii="Arial" w:hAnsi="Arial" w:cs="Arial"/>
          <w:sz w:val="24"/>
          <w:szCs w:val="24"/>
        </w:rPr>
        <w:tab/>
        <w:t>Miraoui H, Dwyer AA, Sykiotis GP, Plummer L, Chung W, Feng B, et al. Mutations in FGF17, IL17RD, DUSP6, SPRY4, and FLRT3 are identified in individuals with congenital hypogonadotropic hypogonadism. Am J Hum Genet. 2013;92(5):725-43. doi: 10.1016/j.ajhg.2013.04.008. PubMed PMID: 23643382; PubMed Central PMCID: PMCPMC3644636.</w:t>
      </w:r>
    </w:p>
    <w:p w14:paraId="100A77DF"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6.</w:t>
      </w:r>
      <w:r w:rsidRPr="00DE4772">
        <w:rPr>
          <w:rFonts w:ascii="Arial" w:hAnsi="Arial" w:cs="Arial"/>
          <w:sz w:val="24"/>
          <w:szCs w:val="24"/>
        </w:rPr>
        <w:tab/>
        <w:t>Hanchate NK, Giacobini P, Lhuillier P, Parkash J, Espy C, Fouveaut C, et al. SEMA3A, a gene involved in axonal pathfinding, is mutated in patients with Kallmann syndrome. PLoS Genet. 2012;8(8):e1002896. Epub 2012/08/23. doi: 10.1371/journal.pgen.1002896. PubMed PMID: 22927827; PubMed Central PMCID: PMCPMC3426548.</w:t>
      </w:r>
    </w:p>
    <w:p w14:paraId="7CA56EB0"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lastRenderedPageBreak/>
        <w:t>7.</w:t>
      </w:r>
      <w:r w:rsidRPr="00DE4772">
        <w:rPr>
          <w:rFonts w:ascii="Arial" w:hAnsi="Arial" w:cs="Arial"/>
          <w:sz w:val="24"/>
          <w:szCs w:val="24"/>
        </w:rPr>
        <w:tab/>
        <w:t>Costa-Barbosa FA, Balasubramanian R, Keefe KW, Shaw ND, Al-Tassan N, Plummer L, et al. Prioritizing genetic testing in patients with Kallmann syndrome using clinical phenotypes. J Clin Endocrinol Metab. 2013;98(5):E943-53. Epub 2013/03/26. doi: 10.1210/jc.2012-4116. PubMed PMID: 23533228; PubMed Central PMCID: PMCPMC3644607.</w:t>
      </w:r>
    </w:p>
    <w:p w14:paraId="71945D7B"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8.</w:t>
      </w:r>
      <w:r w:rsidRPr="00DE4772">
        <w:rPr>
          <w:rFonts w:ascii="Arial" w:hAnsi="Arial" w:cs="Arial"/>
          <w:sz w:val="24"/>
          <w:szCs w:val="24"/>
        </w:rPr>
        <w:tab/>
        <w:t>Cassatella D, Howard SR, Acierno JS, Xu C, Papadakis GE, Santoni FA, et al. Congenital hypogonadotropic hypogonadism and constitutional delay of growth and puberty have distinct genetic architectures. Eur J Endocrinol. 2018;178(4):377-88. Epub 2018/02/01. doi: 10.1530/EJE-17-0568. PubMed PMID: 29419413; PubMed Central PMCID: PMCPMC5863472.</w:t>
      </w:r>
    </w:p>
    <w:p w14:paraId="63D32826"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9.</w:t>
      </w:r>
      <w:r w:rsidRPr="00DE4772">
        <w:rPr>
          <w:rFonts w:ascii="Arial" w:hAnsi="Arial" w:cs="Arial"/>
          <w:sz w:val="24"/>
          <w:szCs w:val="24"/>
        </w:rPr>
        <w:tab/>
        <w:t>Marcos S, Sarfati J, Leroy C, Fouveaut C, Parent P, Metz C, et al. The prevalence of CHD7 missense versus truncating mutations is higher in patients with Kallmann syndrome than in typical CHARGE patients. J Clin Endocrinol Metab. 2014;99(10):E2138-43. Epub 2014/07/31. doi: 10.1210/jc.2014-2110. PubMed PMID: 25077900.</w:t>
      </w:r>
    </w:p>
    <w:p w14:paraId="36B82C5F"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10.</w:t>
      </w:r>
      <w:r w:rsidRPr="00DE4772">
        <w:rPr>
          <w:rFonts w:ascii="Arial" w:hAnsi="Arial" w:cs="Arial"/>
          <w:sz w:val="24"/>
          <w:szCs w:val="24"/>
        </w:rPr>
        <w:tab/>
        <w:t>Landrum MJ, Lee JM, Benson M, Brown GR, Chao C, Chitipiralla S, et al. ClinVar: improving access to variant interpretations and supporting evidence. Nucleic Acids Res. 2018;46(D1):D1062-D7. doi: 10.1093/nar/gkx1153. PubMed PMID: 29165669; PubMed Central PMCID: PMCPMC5753237.</w:t>
      </w:r>
    </w:p>
    <w:p w14:paraId="528B07EF"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11.</w:t>
      </w:r>
      <w:r w:rsidRPr="00DE4772">
        <w:rPr>
          <w:rFonts w:ascii="Arial" w:hAnsi="Arial" w:cs="Arial"/>
          <w:sz w:val="24"/>
          <w:szCs w:val="24"/>
        </w:rPr>
        <w:tab/>
        <w:t>Bouilly J, Messina A, Papadakis G, Cassatella D, Xu C, Acierno JS, et al. DCC/NTN1 complex mutations in patients with congenital hypogonadotropic hypogonadism impair GnRH neuron development. Hum Mol Genet. 2018;27(2):359-72. doi: 10.1093/hmg/ddx408. PubMed PMID: 29202173.</w:t>
      </w:r>
    </w:p>
    <w:p w14:paraId="3ABC4A58" w14:textId="77777777" w:rsidR="00DE4772" w:rsidRPr="00DE4772" w:rsidRDefault="00DE4772" w:rsidP="00DE4772">
      <w:pPr>
        <w:pStyle w:val="EndNoteBibliography"/>
        <w:rPr>
          <w:rFonts w:ascii="Arial" w:hAnsi="Arial" w:cs="Arial"/>
          <w:sz w:val="24"/>
          <w:szCs w:val="24"/>
        </w:rPr>
      </w:pPr>
      <w:r w:rsidRPr="00DE4772">
        <w:rPr>
          <w:rFonts w:ascii="Arial" w:hAnsi="Arial" w:cs="Arial"/>
          <w:sz w:val="24"/>
          <w:szCs w:val="24"/>
        </w:rPr>
        <w:t>12.</w:t>
      </w:r>
      <w:r w:rsidRPr="00DE4772">
        <w:rPr>
          <w:rFonts w:ascii="Arial" w:hAnsi="Arial" w:cs="Arial"/>
          <w:sz w:val="24"/>
          <w:szCs w:val="24"/>
        </w:rPr>
        <w:tab/>
        <w:t>Sykiotis GP, Plummer L, Hughes VA, Au M, Durrani S, Nayak-Young S, et al. Oligogenic basis of isolated gonadotropin-releasing hormone deficiency. Proc Natl Acad Sci U S A. 2010;107(34):15140-4. doi: 1009622107 [pii]</w:t>
      </w:r>
    </w:p>
    <w:p w14:paraId="647CE8BC" w14:textId="77777777" w:rsidR="00DE4772" w:rsidRPr="00DE4772" w:rsidRDefault="00DE4772" w:rsidP="00DE4772">
      <w:pPr>
        <w:pStyle w:val="EndNoteBibliography"/>
        <w:rPr>
          <w:rFonts w:ascii="Arial" w:hAnsi="Arial" w:cs="Arial"/>
          <w:sz w:val="24"/>
          <w:szCs w:val="24"/>
        </w:rPr>
      </w:pPr>
      <w:r w:rsidRPr="00DE4772">
        <w:rPr>
          <w:rFonts w:ascii="Arial" w:hAnsi="Arial" w:cs="Arial"/>
          <w:sz w:val="24"/>
          <w:szCs w:val="24"/>
        </w:rPr>
        <w:t>10.1073/pnas.1009622107. PubMed PMID: 20696889; PubMed Central PMCID: PMCPMC2930591.</w:t>
      </w:r>
    </w:p>
    <w:p w14:paraId="26F95B2D"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13.</w:t>
      </w:r>
      <w:r w:rsidRPr="00DE4772">
        <w:rPr>
          <w:rFonts w:ascii="Arial" w:hAnsi="Arial" w:cs="Arial"/>
          <w:sz w:val="24"/>
          <w:szCs w:val="24"/>
        </w:rPr>
        <w:tab/>
        <w:t>Cox KH, Oliveira LMB, Plummer L, Corbin B, Gardella T, Balasubramanian R, et al. Modeling mutant/wild-type interactions to ascertain pathogenicity of PROKR2 missense variants in patients with isolated GnRH deficiency. Hum Mol Genet. 2018;27(2):338-50. doi: 10.1093/hmg/ddx404. PubMed PMID: 29161432; PubMed Central PMCID: PMCPMC5886255.</w:t>
      </w:r>
    </w:p>
    <w:p w14:paraId="472B8FE2"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14.</w:t>
      </w:r>
      <w:r w:rsidRPr="00DE4772">
        <w:rPr>
          <w:rFonts w:ascii="Arial" w:hAnsi="Arial" w:cs="Arial"/>
          <w:sz w:val="24"/>
          <w:szCs w:val="24"/>
        </w:rPr>
        <w:tab/>
        <w:t>Dodé C, Teixeira L, Levilliers J, Fouveaut C, Bouchard P, Kottler ML, et al. Kallmann syndrome: mutations in the genes encoding prokineticin-2 and prokineticin receptor-2. PLoS Genet. 2006;2(10):e175. Epub 2006/09/01. doi: 10.1371/journal.pgen.0020175. PubMed PMID: 17054399; PubMed Central PMCID: PMCPMC1617130.</w:t>
      </w:r>
    </w:p>
    <w:p w14:paraId="6D3BB654"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15.</w:t>
      </w:r>
      <w:r w:rsidRPr="00DE4772">
        <w:rPr>
          <w:rFonts w:ascii="Arial" w:hAnsi="Arial" w:cs="Arial"/>
          <w:sz w:val="24"/>
          <w:szCs w:val="24"/>
        </w:rPr>
        <w:tab/>
        <w:t>Monnier C, Dodé C, Fabre L, Teixeira L, Labesse G, Pin JP, et al. PROKR2 missense mutations associated with Kallmann syndrome impair receptor signalling activity. Hum Mol Genet. 2009;18(1):75-81. Epub 2008/09/29. doi: 10.1093/hmg/ddn318. PubMed PMID: 18826963; PubMed Central PMCID: PMCPMC3298864.</w:t>
      </w:r>
    </w:p>
    <w:p w14:paraId="26CE9D91"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16.</w:t>
      </w:r>
      <w:r w:rsidRPr="00DE4772">
        <w:rPr>
          <w:rFonts w:ascii="Arial" w:hAnsi="Arial" w:cs="Arial"/>
          <w:sz w:val="24"/>
          <w:szCs w:val="24"/>
        </w:rPr>
        <w:tab/>
        <w:t xml:space="preserve">Quaynor SD, Kim HG, Cappello EM, Williams T, Chorich LP, Bick DP, et al. The prevalence of digenic mutations in patients with normosmic hypogonadotropic </w:t>
      </w:r>
      <w:r w:rsidRPr="00DE4772">
        <w:rPr>
          <w:rFonts w:ascii="Arial" w:hAnsi="Arial" w:cs="Arial"/>
          <w:sz w:val="24"/>
          <w:szCs w:val="24"/>
        </w:rPr>
        <w:lastRenderedPageBreak/>
        <w:t>hypogonadism and Kallmann syndrome. Fertil Steril. 2011;96(6):1424-30.e6. doi: 10.1016/j.fertnstert.2011.09.046. PubMed PMID: 22035731; PubMed Central PMCID: PMCPMC3573697.</w:t>
      </w:r>
    </w:p>
    <w:p w14:paraId="5F7F90A0"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17.</w:t>
      </w:r>
      <w:r w:rsidRPr="00DE4772">
        <w:rPr>
          <w:rFonts w:ascii="Arial" w:hAnsi="Arial" w:cs="Arial"/>
          <w:sz w:val="24"/>
          <w:szCs w:val="24"/>
        </w:rPr>
        <w:tab/>
        <w:t>Stamou MI, Varnavas P, Kentrou M, Adamidou F, Voutetakis A, Jing J, et al. Isolated GNRH deficiency: genotypic and phenotypic characteristics of the genetically heterogeneous Greek population. Eur J Endocrinol. 2017;176(3):L1-L5. Epub 2016/11/24. doi: 10.1530/EJE-16-0505. PubMed PMID: 27884859; PubMed Central PMCID: PMCPMC5881574.</w:t>
      </w:r>
    </w:p>
    <w:p w14:paraId="3BDC38DF"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18.</w:t>
      </w:r>
      <w:r w:rsidRPr="00DE4772">
        <w:rPr>
          <w:rFonts w:ascii="Arial" w:hAnsi="Arial" w:cs="Arial"/>
          <w:sz w:val="24"/>
          <w:szCs w:val="24"/>
        </w:rPr>
        <w:tab/>
        <w:t>Chan YM, Broder-Fingert S, Paraschos S, Lapatto R, Au M, Hughes V, et al. GnRH-Deficient Phenotypes in Humans and Mice with Heterozygous Variants in KISS1/Kiss1. J Clin Endocrinol Metab. 2011. doi: jc.2011-0518 [pii]</w:t>
      </w:r>
    </w:p>
    <w:p w14:paraId="0A7E8853" w14:textId="77777777" w:rsidR="00DE4772" w:rsidRPr="00DE4772" w:rsidRDefault="00DE4772" w:rsidP="00DE4772">
      <w:pPr>
        <w:pStyle w:val="EndNoteBibliography"/>
        <w:rPr>
          <w:rFonts w:ascii="Arial" w:hAnsi="Arial" w:cs="Arial"/>
          <w:sz w:val="24"/>
          <w:szCs w:val="24"/>
        </w:rPr>
      </w:pPr>
      <w:r w:rsidRPr="00DE4772">
        <w:rPr>
          <w:rFonts w:ascii="Arial" w:hAnsi="Arial" w:cs="Arial"/>
          <w:sz w:val="24"/>
          <w:szCs w:val="24"/>
        </w:rPr>
        <w:t>10.1210/jc.2011-0518. PubMed PMID: 21880801.</w:t>
      </w:r>
    </w:p>
    <w:p w14:paraId="33408C4E"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19.</w:t>
      </w:r>
      <w:r w:rsidRPr="00DE4772">
        <w:rPr>
          <w:rFonts w:ascii="Arial" w:hAnsi="Arial" w:cs="Arial"/>
          <w:sz w:val="24"/>
          <w:szCs w:val="24"/>
        </w:rPr>
        <w:tab/>
        <w:t>Gianetti E, Tusset C, Noel SD, Au MG, Dwyer AA, Hughes VA, et al. TAC3/TACR3 mutations reveal preferential activation of gonadotropin-releasing hormone release by neurokinin B in neonatal life followed by reversal in adulthood. J Clin Endocrinol Metab. 2010;95(6):2857-67. Epub 2010/03/23. doi: 10.1210/jc.2009-2320. PubMed PMID: 20332248; PubMed Central PMCID: PMCPMC2902066.</w:t>
      </w:r>
    </w:p>
    <w:p w14:paraId="4E534FFF"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20.</w:t>
      </w:r>
      <w:r w:rsidRPr="00DE4772">
        <w:rPr>
          <w:rFonts w:ascii="Arial" w:hAnsi="Arial" w:cs="Arial"/>
          <w:sz w:val="24"/>
          <w:szCs w:val="24"/>
        </w:rPr>
        <w:tab/>
        <w:t>Kim HG, Ahn JW, Kurth I, Ullmann R, Kim HT, Kulharya A, et al. WDR11, a WD protein that interacts with transcription factor EMX1, is mutated in idiopathic hypogonadotropic hypogonadism and Kallmann syndrome. Am J Hum Genet. 2010;87(4):465-79. doi: 10.1016/j.ajhg.2010.08.018. PubMed PMID: 20887964; PubMed Central PMCID: PMCPMC2948809.</w:t>
      </w:r>
    </w:p>
    <w:p w14:paraId="6D30C44C"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21.</w:t>
      </w:r>
      <w:r w:rsidRPr="00DE4772">
        <w:rPr>
          <w:rFonts w:ascii="Arial" w:hAnsi="Arial" w:cs="Arial"/>
          <w:sz w:val="24"/>
          <w:szCs w:val="24"/>
        </w:rPr>
        <w:tab/>
        <w:t>Kim YJ, Osborn DP, Lee JY, Araki M, Araki K, Mohun T, et al. WDR11-mediated Hedgehog signalling defects underlie a new ciliopathy related to Kallmann syndrome. EMBO Rep. 2018;19(2):269-89. Epub 2017/12/20. doi: 10.15252/embr.201744632. PubMed PMID: 29263200; PubMed Central PMCID: PMCPMC5797970.</w:t>
      </w:r>
    </w:p>
    <w:p w14:paraId="02E78F93"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22.</w:t>
      </w:r>
      <w:r w:rsidRPr="00DE4772">
        <w:rPr>
          <w:rFonts w:ascii="Arial" w:hAnsi="Arial" w:cs="Arial"/>
          <w:sz w:val="24"/>
          <w:szCs w:val="24"/>
        </w:rPr>
        <w:tab/>
        <w:t>Zhou C, Niu Y, Xu H, Li Z, Wang T, Yang W, et al. Mutation profiles and clinical characteristics of Chinese males with isolated hypogonadotropic hypogonadism. Fertil Steril. 2018;110(3):486-95.e5. doi: 10.1016/j.fertnstert.2018.04.010. PubMed PMID: 30098700.</w:t>
      </w:r>
    </w:p>
    <w:p w14:paraId="087BA68A"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23.</w:t>
      </w:r>
      <w:r w:rsidRPr="00DE4772">
        <w:rPr>
          <w:rFonts w:ascii="Arial" w:hAnsi="Arial" w:cs="Arial"/>
          <w:sz w:val="24"/>
          <w:szCs w:val="24"/>
        </w:rPr>
        <w:tab/>
        <w:t>Semple RK, Achermann JC, Ellery J, Farooqi IS, Karet FE, Stanhope RG, et al. Two novel missense mutations in g protein-coupled receptor 54 in a patient with hypogonadotropic hypogonadism. J Clin Endocrinol Metab. 2005;90(3):1849-55. Epub 2004/12/14. doi: 10.1210/jc.2004-1418. PubMed PMID: 15598687.</w:t>
      </w:r>
    </w:p>
    <w:p w14:paraId="0AB0AF17"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24.</w:t>
      </w:r>
      <w:r w:rsidRPr="00DE4772">
        <w:rPr>
          <w:rFonts w:ascii="Arial" w:hAnsi="Arial" w:cs="Arial"/>
          <w:sz w:val="24"/>
          <w:szCs w:val="24"/>
        </w:rPr>
        <w:tab/>
        <w:t>Salian-Mehta S, Xu M, Knox AJ, Plummer L, Slavov D, Taylor M, et al. Functional consequences of AXL sequence variants in hypogonadotropic hypogonadism. J Clin Endocrinol Metab. 2014;99(4):1452-60. Epub 2014/01/29. doi: 10.1210/jc.2013-3426. PubMed PMID: 24476074; PubMed Central PMCID: PMCPMC3973777.</w:t>
      </w:r>
    </w:p>
    <w:p w14:paraId="3739BD3E"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25.</w:t>
      </w:r>
      <w:r w:rsidRPr="00DE4772">
        <w:rPr>
          <w:rFonts w:ascii="Arial" w:hAnsi="Arial" w:cs="Arial"/>
          <w:sz w:val="24"/>
          <w:szCs w:val="24"/>
        </w:rPr>
        <w:tab/>
        <w:t>Avbelj Stefanija M, Jeanpierre M, Sykiotis GP, Young J, Quinton R, Abreu AP, et al. An ancient founder mutation in PROKR2 impairs human reproduction. Hum Mol Genet. 2012;21(19):4314-24. Epub 2012/07/05. doi: 10.1093/hmg/dds264. PubMed PMID: 22773735; PubMed Central PMCID: PMCPMC3441126.</w:t>
      </w:r>
    </w:p>
    <w:p w14:paraId="3D1DD170"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26.</w:t>
      </w:r>
      <w:r w:rsidRPr="00DE4772">
        <w:rPr>
          <w:rFonts w:ascii="Arial" w:hAnsi="Arial" w:cs="Arial"/>
          <w:sz w:val="24"/>
          <w:szCs w:val="24"/>
        </w:rPr>
        <w:tab/>
        <w:t xml:space="preserve">Cole LW, Sidis Y, Zhang C, Quinton R, Plummer L, Pignatelli D, et al. Mutations in prokineticin 2 and prokineticin receptor 2 genes in human gonadotrophin-releasing hormone deficiency: molecular genetics and clinical spectrum. J Clin Endocrinol Metab. </w:t>
      </w:r>
      <w:r w:rsidRPr="00DE4772">
        <w:rPr>
          <w:rFonts w:ascii="Arial" w:hAnsi="Arial" w:cs="Arial"/>
          <w:sz w:val="24"/>
          <w:szCs w:val="24"/>
        </w:rPr>
        <w:lastRenderedPageBreak/>
        <w:t>2008;93(9):3551-9. Epub 2008/06/17. doi: 10.1210/jc.2007-2654. PubMed PMID: 18559922; PubMed Central PMCID: PMCPMC2567850.</w:t>
      </w:r>
    </w:p>
    <w:p w14:paraId="3BF8876F"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27.</w:t>
      </w:r>
      <w:r w:rsidRPr="00DE4772">
        <w:rPr>
          <w:rFonts w:ascii="Arial" w:hAnsi="Arial" w:cs="Arial"/>
          <w:sz w:val="24"/>
          <w:szCs w:val="24"/>
        </w:rPr>
        <w:tab/>
        <w:t>Zhang S, Xu H, Wang T, Liu G, Liu J. The KAL1 pVal610Ile mutation is a recessive mutation causing Kallmann syndrome. Fertil Steril. 2013;99(6):1720-3. Epub 2013/02/11. doi: 10.1016/j.fertnstert.2013.01.099. PubMed PMID: 23410897.</w:t>
      </w:r>
    </w:p>
    <w:p w14:paraId="48708DAF"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28.</w:t>
      </w:r>
      <w:r w:rsidRPr="00DE4772">
        <w:rPr>
          <w:rFonts w:ascii="Arial" w:hAnsi="Arial" w:cs="Arial"/>
          <w:sz w:val="24"/>
          <w:szCs w:val="24"/>
        </w:rPr>
        <w:tab/>
        <w:t>Shaw ND, Seminara SB, Welt CK, Au MG, Plummer L, Hughes VA, et al. Expanding the phenotype and genotype of female GnRH deficiency. J Clin Endocrinol Metab. 2011;96(3):E566-76. doi: 10.1210/jc.2010-2292. PubMed PMID: 21209029; PubMed Central PMCID: PMCPMC3047229.</w:t>
      </w:r>
    </w:p>
    <w:p w14:paraId="20F83CAE" w14:textId="77777777" w:rsidR="00DE4772" w:rsidRPr="00DE4772" w:rsidRDefault="00DE4772" w:rsidP="00DE4772">
      <w:pPr>
        <w:pStyle w:val="EndNoteBibliography"/>
        <w:spacing w:after="0"/>
        <w:rPr>
          <w:rFonts w:ascii="Arial" w:hAnsi="Arial" w:cs="Arial"/>
          <w:sz w:val="24"/>
          <w:szCs w:val="24"/>
        </w:rPr>
      </w:pPr>
      <w:r w:rsidRPr="00DE4772">
        <w:rPr>
          <w:rFonts w:ascii="Arial" w:hAnsi="Arial" w:cs="Arial"/>
          <w:sz w:val="24"/>
          <w:szCs w:val="24"/>
        </w:rPr>
        <w:t xml:space="preserve">29. </w:t>
      </w:r>
      <w:r w:rsidRPr="00DE4772">
        <w:rPr>
          <w:rFonts w:ascii="Arial" w:hAnsi="Arial" w:cs="Arial"/>
          <w:sz w:val="24"/>
          <w:szCs w:val="24"/>
        </w:rPr>
        <w:tab/>
        <w:t>Caronia LM, Martin C, Welt CK, Sykiotis GP, Quinton R, Thambundit A, Avbelj M, Dhruvakumar S, Plummer L, Hughes VA, Seminara SB, Boepple PA, Sidis Y, Crowley WF, Jr., Martin KA, Hall JE, Pitteloud N. A genetic basis for functional hypothalamic amenorrhea. The New England journal of medicine. 2011;364(3):215-25. Epub 2011/04/08. doi: 10.1210/jc.2010-3046</w:t>
      </w:r>
    </w:p>
    <w:p w14:paraId="6E3CAB56" w14:textId="77777777" w:rsidR="00DE4772" w:rsidRPr="00DE4772" w:rsidRDefault="00DE4772" w:rsidP="00DE4772">
      <w:pPr>
        <w:rPr>
          <w:rFonts w:ascii="Arial" w:hAnsi="Arial" w:cs="Arial"/>
          <w:sz w:val="24"/>
          <w:szCs w:val="24"/>
        </w:rPr>
      </w:pPr>
      <w:r w:rsidRPr="00DE4772">
        <w:rPr>
          <w:rFonts w:ascii="Arial" w:hAnsi="Arial" w:cs="Arial"/>
          <w:sz w:val="24"/>
          <w:szCs w:val="24"/>
        </w:rPr>
        <w:fldChar w:fldCharType="end"/>
      </w:r>
    </w:p>
    <w:p w14:paraId="2A089058" w14:textId="77777777" w:rsidR="00DE4772" w:rsidRPr="00DE4772" w:rsidRDefault="00DE4772" w:rsidP="00D712A9">
      <w:pPr>
        <w:spacing w:after="0" w:line="480" w:lineRule="auto"/>
        <w:rPr>
          <w:rFonts w:ascii="Arial" w:hAnsi="Arial" w:cs="Arial"/>
          <w:sz w:val="24"/>
          <w:szCs w:val="24"/>
        </w:rPr>
      </w:pPr>
    </w:p>
    <w:sectPr w:rsidR="00DE4772" w:rsidRPr="00DE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712A9"/>
    <w:rsid w:val="00D712A9"/>
    <w:rsid w:val="00DE4772"/>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DB30"/>
  <w15:chartTrackingRefBased/>
  <w15:docId w15:val="{B580F7B1-4FFB-47FE-8631-8F93B37A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A9"/>
    <w:rPr>
      <w:rFonts w:ascii="Segoe UI" w:hAnsi="Segoe UI" w:cs="Segoe UI"/>
      <w:sz w:val="18"/>
      <w:szCs w:val="18"/>
    </w:rPr>
  </w:style>
  <w:style w:type="paragraph" w:customStyle="1" w:styleId="EndNoteBibliographyTitle">
    <w:name w:val="EndNote Bibliography Title"/>
    <w:basedOn w:val="Normal"/>
    <w:link w:val="EndNoteBibliographyTitleChar"/>
    <w:rsid w:val="00D712A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712A9"/>
    <w:rPr>
      <w:rFonts w:ascii="Calibri" w:hAnsi="Calibri" w:cs="Calibri"/>
      <w:noProof/>
    </w:rPr>
  </w:style>
  <w:style w:type="paragraph" w:customStyle="1" w:styleId="EndNoteBibliography">
    <w:name w:val="EndNote Bibliography"/>
    <w:basedOn w:val="Normal"/>
    <w:link w:val="EndNoteBibliographyChar"/>
    <w:rsid w:val="00D712A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712A9"/>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567493FF081429271DF6034C2597A" ma:contentTypeVersion="10" ma:contentTypeDescription="Create a new document." ma:contentTypeScope="" ma:versionID="7872fdd8596216a3da5eb7d1f1c59751">
  <xsd:schema xmlns:xsd="http://www.w3.org/2001/XMLSchema" xmlns:xs="http://www.w3.org/2001/XMLSchema" xmlns:p="http://schemas.microsoft.com/office/2006/metadata/properties" xmlns:ns3="fd0eb03f-65b9-4df1-b951-bb1ff73902f2" targetNamespace="http://schemas.microsoft.com/office/2006/metadata/properties" ma:root="true" ma:fieldsID="2b80ebb07926aaa947685826f292c0c7" ns3:_="">
    <xsd:import namespace="fd0eb03f-65b9-4df1-b951-bb1ff73902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b03f-65b9-4df1-b951-bb1ff739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1E489-4B99-42F0-B0E1-A09E53850CCB}">
  <ds:schemaRefs>
    <ds:schemaRef ds:uri="http://purl.org/dc/elements/1.1/"/>
    <ds:schemaRef ds:uri="http://schemas.microsoft.com/office/2006/metadata/properties"/>
    <ds:schemaRef ds:uri="fd0eb03f-65b9-4df1-b951-bb1ff73902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A4C90D-7A18-47F8-9FB1-ED9A59965064}">
  <ds:schemaRefs>
    <ds:schemaRef ds:uri="http://schemas.microsoft.com/sharepoint/v3/contenttype/forms"/>
  </ds:schemaRefs>
</ds:datastoreItem>
</file>

<file path=customXml/itemProps3.xml><?xml version="1.0" encoding="utf-8"?>
<ds:datastoreItem xmlns:ds="http://schemas.openxmlformats.org/officeDocument/2006/customXml" ds:itemID="{6CC2E47D-1864-4A44-A487-7368475A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eb03f-65b9-4df1-b951-bb1ff739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Angela</dc:creator>
  <cp:keywords/>
  <dc:description/>
  <cp:lastModifiedBy>Delaney, Angela</cp:lastModifiedBy>
  <cp:revision>2</cp:revision>
  <dcterms:created xsi:type="dcterms:W3CDTF">2020-08-16T17:05:00Z</dcterms:created>
  <dcterms:modified xsi:type="dcterms:W3CDTF">2020-08-16T17:05:00Z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0x0101000E4567493FF081429271DF6034C2597A</vt:lpwstr>
  </property>
</Properties>
</file>