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9D3" w:rsidRDefault="00197437">
      <w:pPr>
        <w:rPr>
          <w:rFonts w:ascii="Times New Roman" w:hAnsi="Times New Roman" w:cs="Times New Roman"/>
          <w:sz w:val="24"/>
          <w:szCs w:val="24"/>
        </w:rPr>
      </w:pPr>
      <w:r w:rsidRPr="00197437">
        <w:rPr>
          <w:rFonts w:ascii="Times New Roman" w:hAnsi="Times New Roman" w:cs="Times New Roman"/>
          <w:sz w:val="24"/>
          <w:szCs w:val="24"/>
        </w:rPr>
        <w:t>Summary of 15 phylogenomic datasets examined in this study</w:t>
      </w:r>
      <w:r w:rsidR="00B47FB5">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405"/>
        <w:gridCol w:w="2131"/>
        <w:gridCol w:w="1276"/>
        <w:gridCol w:w="709"/>
        <w:gridCol w:w="709"/>
        <w:gridCol w:w="1559"/>
        <w:gridCol w:w="850"/>
        <w:gridCol w:w="4111"/>
      </w:tblGrid>
      <w:tr w:rsidR="00CE14EE" w:rsidRPr="00B47FB5" w:rsidTr="00C52690">
        <w:trPr>
          <w:trHeight w:val="300"/>
        </w:trPr>
        <w:tc>
          <w:tcPr>
            <w:tcW w:w="2405" w:type="dxa"/>
            <w:tcBorders>
              <w:top w:val="single" w:sz="4" w:space="0" w:color="auto"/>
              <w:left w:val="nil"/>
              <w:bottom w:val="single" w:sz="4" w:space="0" w:color="auto"/>
              <w:right w:val="nil"/>
            </w:tcBorders>
            <w:noWrap/>
            <w:hideMark/>
          </w:tcPr>
          <w:p w:rsidR="00B47FB5" w:rsidRPr="00B47FB5" w:rsidRDefault="00A448EF" w:rsidP="00B47FB5">
            <w:pPr>
              <w:rPr>
                <w:rFonts w:ascii="Times New Roman" w:hAnsi="Times New Roman" w:cs="Times New Roman"/>
                <w:sz w:val="24"/>
                <w:szCs w:val="24"/>
              </w:rPr>
            </w:pPr>
            <w:r w:rsidRPr="00A448EF">
              <w:rPr>
                <w:rFonts w:ascii="Times New Roman" w:hAnsi="Times New Roman" w:cs="Times New Roman"/>
                <w:sz w:val="24"/>
                <w:szCs w:val="24"/>
              </w:rPr>
              <w:t>Study ID</w:t>
            </w:r>
          </w:p>
        </w:tc>
        <w:tc>
          <w:tcPr>
            <w:tcW w:w="2131" w:type="dxa"/>
            <w:tcBorders>
              <w:top w:val="single" w:sz="4" w:space="0" w:color="auto"/>
              <w:left w:val="nil"/>
              <w:bottom w:val="single" w:sz="4" w:space="0" w:color="auto"/>
              <w:right w:val="nil"/>
            </w:tcBorders>
            <w:noWrap/>
            <w:hideMark/>
          </w:tcPr>
          <w:p w:rsidR="00B47FB5" w:rsidRPr="00B47FB5" w:rsidRDefault="00B47FB5">
            <w:pPr>
              <w:rPr>
                <w:rFonts w:ascii="Times New Roman" w:hAnsi="Times New Roman" w:cs="Times New Roman"/>
                <w:sz w:val="24"/>
                <w:szCs w:val="24"/>
              </w:rPr>
            </w:pPr>
            <w:r w:rsidRPr="00B47FB5">
              <w:rPr>
                <w:rFonts w:ascii="Times New Roman" w:hAnsi="Times New Roman" w:cs="Times New Roman"/>
                <w:sz w:val="24"/>
                <w:szCs w:val="24"/>
              </w:rPr>
              <w:t>Dataset</w:t>
            </w:r>
          </w:p>
        </w:tc>
        <w:tc>
          <w:tcPr>
            <w:tcW w:w="1276" w:type="dxa"/>
            <w:tcBorders>
              <w:top w:val="single" w:sz="4" w:space="0" w:color="auto"/>
              <w:left w:val="nil"/>
              <w:bottom w:val="single" w:sz="4" w:space="0" w:color="auto"/>
              <w:right w:val="nil"/>
            </w:tcBorders>
            <w:noWrap/>
            <w:hideMark/>
          </w:tcPr>
          <w:p w:rsidR="003F17B8" w:rsidRDefault="00B47FB5">
            <w:pPr>
              <w:rPr>
                <w:rFonts w:ascii="Times New Roman" w:hAnsi="Times New Roman" w:cs="Times New Roman"/>
                <w:sz w:val="24"/>
                <w:szCs w:val="24"/>
              </w:rPr>
            </w:pPr>
            <w:r w:rsidRPr="00B47FB5">
              <w:rPr>
                <w:rFonts w:ascii="Times New Roman" w:hAnsi="Times New Roman" w:cs="Times New Roman"/>
                <w:sz w:val="24"/>
                <w:szCs w:val="24"/>
              </w:rPr>
              <w:t xml:space="preserve">Taxon </w:t>
            </w:r>
          </w:p>
          <w:p w:rsidR="00B47FB5" w:rsidRPr="00B47FB5" w:rsidRDefault="00B47FB5">
            <w:pPr>
              <w:rPr>
                <w:rFonts w:ascii="Times New Roman" w:hAnsi="Times New Roman" w:cs="Times New Roman"/>
                <w:sz w:val="24"/>
                <w:szCs w:val="24"/>
              </w:rPr>
            </w:pPr>
            <w:r w:rsidRPr="00B47FB5">
              <w:rPr>
                <w:rFonts w:ascii="Times New Roman" w:hAnsi="Times New Roman" w:cs="Times New Roman"/>
                <w:sz w:val="24"/>
                <w:szCs w:val="24"/>
              </w:rPr>
              <w:t>Level</w:t>
            </w:r>
          </w:p>
        </w:tc>
        <w:tc>
          <w:tcPr>
            <w:tcW w:w="709" w:type="dxa"/>
            <w:tcBorders>
              <w:top w:val="single" w:sz="4" w:space="0" w:color="auto"/>
              <w:left w:val="nil"/>
              <w:bottom w:val="single" w:sz="4" w:space="0" w:color="auto"/>
              <w:right w:val="nil"/>
            </w:tcBorders>
            <w:noWrap/>
            <w:hideMark/>
          </w:tcPr>
          <w:p w:rsidR="003F17B8" w:rsidRDefault="003F17B8">
            <w:pPr>
              <w:rPr>
                <w:rFonts w:ascii="Times New Roman" w:hAnsi="Times New Roman" w:cs="Times New Roman"/>
                <w:sz w:val="24"/>
                <w:szCs w:val="24"/>
              </w:rPr>
            </w:pPr>
            <w:r>
              <w:rPr>
                <w:rFonts w:ascii="Times New Roman" w:hAnsi="Times New Roman" w:cs="Times New Roman"/>
                <w:sz w:val="24"/>
                <w:szCs w:val="24"/>
              </w:rPr>
              <w:t>No.</w:t>
            </w:r>
          </w:p>
          <w:p w:rsidR="00B47FB5" w:rsidRPr="00B47FB5" w:rsidRDefault="00B47FB5">
            <w:pPr>
              <w:rPr>
                <w:rFonts w:ascii="Times New Roman" w:hAnsi="Times New Roman" w:cs="Times New Roman"/>
                <w:sz w:val="24"/>
                <w:szCs w:val="24"/>
              </w:rPr>
            </w:pPr>
            <w:r w:rsidRPr="00B47FB5">
              <w:rPr>
                <w:rFonts w:ascii="Times New Roman" w:hAnsi="Times New Roman" w:cs="Times New Roman"/>
                <w:sz w:val="24"/>
                <w:szCs w:val="24"/>
              </w:rPr>
              <w:t>Taxa</w:t>
            </w:r>
          </w:p>
        </w:tc>
        <w:tc>
          <w:tcPr>
            <w:tcW w:w="709" w:type="dxa"/>
            <w:tcBorders>
              <w:top w:val="single" w:sz="4" w:space="0" w:color="auto"/>
              <w:left w:val="nil"/>
              <w:bottom w:val="single" w:sz="4" w:space="0" w:color="auto"/>
              <w:right w:val="nil"/>
            </w:tcBorders>
            <w:noWrap/>
            <w:hideMark/>
          </w:tcPr>
          <w:p w:rsidR="003F17B8" w:rsidRDefault="003F17B8">
            <w:pPr>
              <w:rPr>
                <w:rFonts w:ascii="Times New Roman" w:hAnsi="Times New Roman" w:cs="Times New Roman"/>
                <w:sz w:val="24"/>
                <w:szCs w:val="24"/>
              </w:rPr>
            </w:pPr>
            <w:r>
              <w:rPr>
                <w:rFonts w:ascii="Times New Roman" w:hAnsi="Times New Roman" w:cs="Times New Roman"/>
                <w:sz w:val="24"/>
                <w:szCs w:val="24"/>
              </w:rPr>
              <w:t>No</w:t>
            </w:r>
          </w:p>
          <w:p w:rsidR="00B47FB5" w:rsidRPr="00B47FB5" w:rsidRDefault="00B47FB5">
            <w:pPr>
              <w:rPr>
                <w:rFonts w:ascii="Times New Roman" w:hAnsi="Times New Roman" w:cs="Times New Roman"/>
                <w:sz w:val="24"/>
                <w:szCs w:val="24"/>
              </w:rPr>
            </w:pPr>
            <w:r>
              <w:rPr>
                <w:rFonts w:ascii="Times New Roman" w:hAnsi="Times New Roman" w:cs="Times New Roman"/>
                <w:sz w:val="24"/>
                <w:szCs w:val="24"/>
              </w:rPr>
              <w:t>Lo</w:t>
            </w:r>
            <w:r w:rsidRPr="00B47FB5">
              <w:rPr>
                <w:rFonts w:ascii="Times New Roman" w:hAnsi="Times New Roman" w:cs="Times New Roman"/>
                <w:sz w:val="24"/>
                <w:szCs w:val="24"/>
              </w:rPr>
              <w:t>ci</w:t>
            </w:r>
          </w:p>
        </w:tc>
        <w:tc>
          <w:tcPr>
            <w:tcW w:w="1559" w:type="dxa"/>
            <w:tcBorders>
              <w:top w:val="single" w:sz="4" w:space="0" w:color="auto"/>
              <w:left w:val="nil"/>
              <w:bottom w:val="single" w:sz="4" w:space="0" w:color="auto"/>
              <w:right w:val="nil"/>
            </w:tcBorders>
            <w:noWrap/>
            <w:hideMark/>
          </w:tcPr>
          <w:p w:rsidR="00B47FB5" w:rsidRPr="00B47FB5" w:rsidRDefault="00B47FB5">
            <w:pPr>
              <w:rPr>
                <w:rFonts w:ascii="Times New Roman" w:hAnsi="Times New Roman" w:cs="Times New Roman"/>
                <w:sz w:val="24"/>
                <w:szCs w:val="24"/>
              </w:rPr>
            </w:pPr>
            <w:r w:rsidRPr="00B47FB5">
              <w:rPr>
                <w:rFonts w:ascii="Times New Roman" w:hAnsi="Times New Roman" w:cs="Times New Roman"/>
                <w:sz w:val="24"/>
                <w:szCs w:val="24"/>
              </w:rPr>
              <w:t>Sampling Method</w:t>
            </w:r>
          </w:p>
        </w:tc>
        <w:tc>
          <w:tcPr>
            <w:tcW w:w="850" w:type="dxa"/>
            <w:tcBorders>
              <w:top w:val="single" w:sz="4" w:space="0" w:color="auto"/>
              <w:left w:val="nil"/>
              <w:bottom w:val="single" w:sz="4" w:space="0" w:color="auto"/>
              <w:right w:val="nil"/>
            </w:tcBorders>
            <w:noWrap/>
            <w:hideMark/>
          </w:tcPr>
          <w:p w:rsidR="003F17B8" w:rsidRDefault="003F17B8">
            <w:pPr>
              <w:rPr>
                <w:rFonts w:ascii="Times New Roman" w:hAnsi="Times New Roman" w:cs="Times New Roman"/>
                <w:sz w:val="24"/>
                <w:szCs w:val="24"/>
              </w:rPr>
            </w:pPr>
            <w:r>
              <w:rPr>
                <w:rFonts w:ascii="Times New Roman" w:hAnsi="Times New Roman" w:cs="Times New Roman"/>
                <w:sz w:val="24"/>
                <w:szCs w:val="24"/>
              </w:rPr>
              <w:t>Data</w:t>
            </w:r>
          </w:p>
          <w:p w:rsidR="00B47FB5" w:rsidRPr="00B47FB5" w:rsidRDefault="00B47FB5">
            <w:pPr>
              <w:rPr>
                <w:rFonts w:ascii="Times New Roman" w:hAnsi="Times New Roman" w:cs="Times New Roman"/>
                <w:sz w:val="24"/>
                <w:szCs w:val="24"/>
              </w:rPr>
            </w:pPr>
            <w:r w:rsidRPr="00B47FB5">
              <w:rPr>
                <w:rFonts w:ascii="Times New Roman" w:hAnsi="Times New Roman" w:cs="Times New Roman"/>
                <w:sz w:val="24"/>
                <w:szCs w:val="24"/>
              </w:rPr>
              <w:t>Type</w:t>
            </w:r>
          </w:p>
        </w:tc>
        <w:tc>
          <w:tcPr>
            <w:tcW w:w="4111" w:type="dxa"/>
            <w:tcBorders>
              <w:top w:val="single" w:sz="4" w:space="0" w:color="auto"/>
              <w:left w:val="nil"/>
              <w:bottom w:val="single" w:sz="4" w:space="0" w:color="auto"/>
              <w:right w:val="nil"/>
            </w:tcBorders>
            <w:noWrap/>
            <w:hideMark/>
          </w:tcPr>
          <w:p w:rsidR="00B47FB5" w:rsidRPr="00B47FB5" w:rsidRDefault="00B47FB5">
            <w:pPr>
              <w:rPr>
                <w:rFonts w:ascii="Times New Roman" w:hAnsi="Times New Roman" w:cs="Times New Roman"/>
                <w:sz w:val="24"/>
                <w:szCs w:val="24"/>
              </w:rPr>
            </w:pPr>
            <w:r w:rsidRPr="00B47FB5">
              <w:rPr>
                <w:rFonts w:ascii="Times New Roman" w:hAnsi="Times New Roman" w:cs="Times New Roman"/>
                <w:sz w:val="24"/>
                <w:szCs w:val="24"/>
              </w:rPr>
              <w:t>Study Reference</w:t>
            </w:r>
          </w:p>
        </w:tc>
      </w:tr>
      <w:tr w:rsidR="00CE14EE" w:rsidRPr="00B47FB5" w:rsidTr="00C52690">
        <w:trPr>
          <w:trHeight w:val="300"/>
        </w:trPr>
        <w:tc>
          <w:tcPr>
            <w:tcW w:w="2405" w:type="dxa"/>
            <w:tcBorders>
              <w:top w:val="single" w:sz="4" w:space="0" w:color="auto"/>
              <w:left w:val="nil"/>
              <w:bottom w:val="nil"/>
              <w:right w:val="nil"/>
            </w:tcBorders>
            <w:noWrap/>
            <w:vAlign w:val="center"/>
            <w:hideMark/>
          </w:tcPr>
          <w:p w:rsidR="009329A8" w:rsidRPr="00C94C09" w:rsidRDefault="009329A8" w:rsidP="009329A8">
            <w:pPr>
              <w:widowControl/>
              <w:jc w:val="left"/>
              <w:rPr>
                <w:rFonts w:ascii="Times New Roman" w:hAnsi="Times New Roman" w:cs="Times New Roman"/>
                <w:color w:val="000000"/>
                <w:sz w:val="18"/>
                <w:szCs w:val="18"/>
              </w:rPr>
            </w:pPr>
            <w:r w:rsidRPr="00C94C09">
              <w:rPr>
                <w:rFonts w:ascii="Times New Roman" w:hAnsi="Times New Roman" w:cs="Times New Roman"/>
                <w:color w:val="000000"/>
                <w:sz w:val="18"/>
                <w:szCs w:val="18"/>
              </w:rPr>
              <w:t>Bee</w:t>
            </w:r>
          </w:p>
        </w:tc>
        <w:tc>
          <w:tcPr>
            <w:tcW w:w="2131" w:type="dxa"/>
            <w:tcBorders>
              <w:top w:val="single" w:sz="4" w:space="0" w:color="auto"/>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Animal: Bees</w:t>
            </w:r>
          </w:p>
        </w:tc>
        <w:tc>
          <w:tcPr>
            <w:tcW w:w="1276" w:type="dxa"/>
            <w:tcBorders>
              <w:top w:val="single" w:sz="4" w:space="0" w:color="auto"/>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Genus</w:t>
            </w:r>
          </w:p>
        </w:tc>
        <w:tc>
          <w:tcPr>
            <w:tcW w:w="709" w:type="dxa"/>
            <w:tcBorders>
              <w:top w:val="single" w:sz="4" w:space="0" w:color="auto"/>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190</w:t>
            </w:r>
          </w:p>
        </w:tc>
        <w:tc>
          <w:tcPr>
            <w:tcW w:w="709" w:type="dxa"/>
            <w:tcBorders>
              <w:top w:val="single" w:sz="4" w:space="0" w:color="auto"/>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753</w:t>
            </w:r>
          </w:p>
        </w:tc>
        <w:tc>
          <w:tcPr>
            <w:tcW w:w="1559" w:type="dxa"/>
            <w:tcBorders>
              <w:top w:val="single" w:sz="4" w:space="0" w:color="auto"/>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UCE</w:t>
            </w:r>
          </w:p>
        </w:tc>
        <w:tc>
          <w:tcPr>
            <w:tcW w:w="850" w:type="dxa"/>
            <w:tcBorders>
              <w:top w:val="single" w:sz="4" w:space="0" w:color="auto"/>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DNA</w:t>
            </w:r>
          </w:p>
        </w:tc>
        <w:tc>
          <w:tcPr>
            <w:tcW w:w="4111" w:type="dxa"/>
            <w:tcBorders>
              <w:top w:val="single" w:sz="4" w:space="0" w:color="auto"/>
              <w:left w:val="nil"/>
              <w:bottom w:val="nil"/>
              <w:right w:val="nil"/>
            </w:tcBorders>
            <w:noWrap/>
            <w:hideMark/>
          </w:tcPr>
          <w:p w:rsidR="009329A8" w:rsidRPr="00C94C09" w:rsidRDefault="009329A8" w:rsidP="00F5292F">
            <w:pPr>
              <w:rPr>
                <w:rFonts w:ascii="Times New Roman" w:hAnsi="Times New Roman" w:cs="Times New Roman"/>
                <w:sz w:val="18"/>
                <w:szCs w:val="18"/>
              </w:rPr>
            </w:pPr>
            <w:proofErr w:type="spellStart"/>
            <w:r w:rsidRPr="00C94C09">
              <w:rPr>
                <w:rFonts w:ascii="Times New Roman" w:hAnsi="Times New Roman" w:cs="Times New Roman"/>
                <w:sz w:val="18"/>
                <w:szCs w:val="18"/>
              </w:rPr>
              <w:t>Blaimer</w:t>
            </w:r>
            <w:proofErr w:type="spellEnd"/>
            <w:r w:rsidRPr="00C94C09">
              <w:rPr>
                <w:rFonts w:ascii="Times New Roman" w:hAnsi="Times New Roman" w:cs="Times New Roman"/>
                <w:sz w:val="18"/>
                <w:szCs w:val="18"/>
              </w:rPr>
              <w:t xml:space="preserve"> et al. Evolution, 2018</w:t>
            </w:r>
            <w:r w:rsidR="00873122">
              <w:rPr>
                <w:rFonts w:ascii="Times New Roman" w:hAnsi="Times New Roman" w:cs="Times New Roman"/>
                <w:sz w:val="18"/>
                <w:szCs w:val="18"/>
              </w:rPr>
              <w:t xml:space="preserve"> </w:t>
            </w:r>
            <w:r w:rsidR="00FB1F65" w:rsidRPr="00C94C09">
              <w:rPr>
                <w:rFonts w:ascii="Times New Roman" w:hAnsi="Times New Roman" w:cs="Times New Roman"/>
                <w:sz w:val="18"/>
                <w:szCs w:val="18"/>
              </w:rPr>
              <w:fldChar w:fldCharType="begin" w:fldLock="1"/>
            </w:r>
            <w:r w:rsidR="00F5292F">
              <w:rPr>
                <w:rFonts w:ascii="Times New Roman" w:hAnsi="Times New Roman" w:cs="Times New Roman"/>
                <w:sz w:val="18"/>
                <w:szCs w:val="18"/>
              </w:rPr>
              <w:instrText>ADDIN CSL_CITATION {"citationItems":[{"id":"ITEM-1","itemData":{"DOI":"10.1111/evo.13558","ISSN":"15585646","abstract":"The evolution of reversed sexual dichromatism and aposematic coloration has long been of interest to both theoreticians and empiricists. Yet despite the potential connections between these phenomena, they have seldom been jointly studied. Large carpenter bees (genus Xylocopa) are a promising group for such comparative investigations as they are a diverse clade in which both aposematism and reversed sexual dichromatism can occur either together or separately. We investigated the evolutionary history of dichromatism and aposematism and a potential correlation of these traits with diversification rates within Xylocopa, using a newly generated phylogeny for 179 Xylocopa species based on ultraconserved elements (UCEs). A monochromatic, inconspicuous ancestor is indicated for the genus, with subsequent convergent evolution of sexual dichromatism and aposematism in multiple lineages. Aposematism is found to covary with reversed sexual dichromatism in many species; however, reversed dichromatism also evolved in non-aposematic species. Bayesian Analysis of Macroevolutionary Models (BAMM) did not show increased diversification in any specific clade in Xylocopa, whereas support from Hidden State Speciation and Extinction (HiSSE) models remained inconclusive regarding an association of increased diversification rates with dichromatism or aposematism. We discuss the evolution of color patterns and diversification in Xylocopa by considering potential drivers of dichromatism and aposematism.","author":[{"dropping-particle":"","family":"Blaimer","given":"Bonnie B.","non-dropping-particle":"","parse-names":false,"suffix":""},{"dropping-particle":"","family":"Mawdsley","given":"Jonathan R.","non-dropping-particle":"","parse-names":false,"suffix":""},{"dropping-particle":"","family":"Brady","given":"Seán G.","non-dropping-particle":"","parse-names":false,"suffix":""}],"container-title":"Evolution","id":"ITEM-1","issue":"9","issued":{"date-parts":[["2018"]]},"page":"1874-1889","title":"Multiple origins of sexual dichromatism and aposematism within large carpenter bees","type":"article-journal","volume":"72"},"uris":["http://www.mendeley.com/documents/?uuid=c4312747-c11d-43c5-876d-4215b0ecc27a"]}],"mendeley":{"formattedCitation":"&lt;sup&gt;1&lt;/sup&gt;","plainTextFormattedCitation":"1","previouslyFormattedCitation":"(1)"},"properties":{"noteIndex":0},"schema":"https://github.com/citation-style-language/schema/raw/master/csl-citation.json"}</w:instrText>
            </w:r>
            <w:r w:rsidR="00FB1F65" w:rsidRPr="00C94C09">
              <w:rPr>
                <w:rFonts w:ascii="Times New Roman" w:hAnsi="Times New Roman" w:cs="Times New Roman"/>
                <w:sz w:val="18"/>
                <w:szCs w:val="18"/>
              </w:rPr>
              <w:fldChar w:fldCharType="separate"/>
            </w:r>
            <w:r w:rsidR="00F5292F" w:rsidRPr="00F5292F">
              <w:rPr>
                <w:rFonts w:ascii="Times New Roman" w:hAnsi="Times New Roman" w:cs="Times New Roman"/>
                <w:noProof/>
                <w:sz w:val="18"/>
                <w:szCs w:val="18"/>
                <w:vertAlign w:val="superscript"/>
              </w:rPr>
              <w:t>1</w:t>
            </w:r>
            <w:r w:rsidR="00FB1F65" w:rsidRPr="00C94C09">
              <w:rPr>
                <w:rFonts w:ascii="Times New Roman" w:hAnsi="Times New Roman" w:cs="Times New Roman"/>
                <w:sz w:val="18"/>
                <w:szCs w:val="18"/>
              </w:rPr>
              <w:fldChar w:fldCharType="end"/>
            </w:r>
          </w:p>
        </w:tc>
      </w:tr>
      <w:tr w:rsidR="00CE14EE" w:rsidRPr="00B47FB5" w:rsidTr="00C52690">
        <w:trPr>
          <w:trHeight w:val="300"/>
        </w:trPr>
        <w:tc>
          <w:tcPr>
            <w:tcW w:w="2405" w:type="dxa"/>
            <w:tcBorders>
              <w:top w:val="nil"/>
              <w:left w:val="nil"/>
              <w:bottom w:val="nil"/>
              <w:right w:val="nil"/>
            </w:tcBorders>
            <w:noWrap/>
            <w:vAlign w:val="center"/>
            <w:hideMark/>
          </w:tcPr>
          <w:p w:rsidR="009329A8" w:rsidRPr="00C94C09" w:rsidRDefault="009329A8" w:rsidP="009329A8">
            <w:pPr>
              <w:rPr>
                <w:rFonts w:ascii="Times New Roman" w:hAnsi="Times New Roman" w:cs="Times New Roman"/>
                <w:color w:val="000000"/>
                <w:sz w:val="18"/>
                <w:szCs w:val="18"/>
              </w:rPr>
            </w:pPr>
            <w:r w:rsidRPr="00C94C09">
              <w:rPr>
                <w:rFonts w:ascii="Times New Roman" w:hAnsi="Times New Roman" w:cs="Times New Roman"/>
                <w:color w:val="000000"/>
                <w:sz w:val="18"/>
                <w:szCs w:val="18"/>
              </w:rPr>
              <w:t>Bird</w:t>
            </w:r>
          </w:p>
        </w:tc>
        <w:tc>
          <w:tcPr>
            <w:tcW w:w="2131"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Animal: Birds</w:t>
            </w:r>
          </w:p>
        </w:tc>
        <w:tc>
          <w:tcPr>
            <w:tcW w:w="1276"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Class</w:t>
            </w:r>
          </w:p>
        </w:tc>
        <w:tc>
          <w:tcPr>
            <w:tcW w:w="70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200</w:t>
            </w:r>
          </w:p>
        </w:tc>
        <w:tc>
          <w:tcPr>
            <w:tcW w:w="70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259</w:t>
            </w:r>
          </w:p>
        </w:tc>
        <w:tc>
          <w:tcPr>
            <w:tcW w:w="155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AHE</w:t>
            </w:r>
          </w:p>
        </w:tc>
        <w:tc>
          <w:tcPr>
            <w:tcW w:w="850"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DNA</w:t>
            </w:r>
          </w:p>
        </w:tc>
        <w:tc>
          <w:tcPr>
            <w:tcW w:w="4111" w:type="dxa"/>
            <w:tcBorders>
              <w:top w:val="nil"/>
              <w:left w:val="nil"/>
              <w:bottom w:val="nil"/>
              <w:right w:val="nil"/>
            </w:tcBorders>
            <w:noWrap/>
            <w:hideMark/>
          </w:tcPr>
          <w:p w:rsidR="009329A8" w:rsidRPr="00C94C09" w:rsidRDefault="009329A8" w:rsidP="00F5292F">
            <w:pPr>
              <w:rPr>
                <w:rFonts w:ascii="Times New Roman" w:hAnsi="Times New Roman" w:cs="Times New Roman"/>
                <w:sz w:val="18"/>
                <w:szCs w:val="18"/>
              </w:rPr>
            </w:pPr>
            <w:proofErr w:type="spellStart"/>
            <w:r w:rsidRPr="00C94C09">
              <w:rPr>
                <w:rFonts w:ascii="Times New Roman" w:hAnsi="Times New Roman" w:cs="Times New Roman"/>
                <w:sz w:val="18"/>
                <w:szCs w:val="18"/>
              </w:rPr>
              <w:t>Prum</w:t>
            </w:r>
            <w:proofErr w:type="spellEnd"/>
            <w:r w:rsidRPr="00C94C09">
              <w:rPr>
                <w:rFonts w:ascii="Times New Roman" w:hAnsi="Times New Roman" w:cs="Times New Roman"/>
                <w:sz w:val="18"/>
                <w:szCs w:val="18"/>
              </w:rPr>
              <w:t xml:space="preserve"> et al. Nature, 2015</w:t>
            </w:r>
            <w:r w:rsidR="00873122">
              <w:rPr>
                <w:rFonts w:ascii="Times New Roman" w:hAnsi="Times New Roman" w:cs="Times New Roman"/>
                <w:sz w:val="18"/>
                <w:szCs w:val="18"/>
              </w:rPr>
              <w:t xml:space="preserve"> </w:t>
            </w:r>
            <w:r w:rsidR="008214CF" w:rsidRPr="00C94C09">
              <w:rPr>
                <w:rFonts w:ascii="Times New Roman" w:hAnsi="Times New Roman" w:cs="Times New Roman"/>
                <w:sz w:val="18"/>
                <w:szCs w:val="18"/>
              </w:rPr>
              <w:fldChar w:fldCharType="begin" w:fldLock="1"/>
            </w:r>
            <w:r w:rsidR="00F5292F">
              <w:rPr>
                <w:rFonts w:ascii="Times New Roman" w:hAnsi="Times New Roman" w:cs="Times New Roman"/>
                <w:sz w:val="18"/>
                <w:szCs w:val="18"/>
              </w:rPr>
              <w:instrText>ADDIN CSL_CITATION {"citationItems":[{"id":"ITEM-1","itemData":{"DOI":"10.1038/nature15697","ISSN":"0028-0836","author":[{"dropping-particle":"","family":"Prum","given":"Richard O.","non-dropping-particle":"","parse-names":false,"suffix":""},{"dropping-particle":"","family":"Berv","given":"Jacob S.","non-dropping-particle":"","parse-names":false,"suffix":""},{"dropping-particle":"","family":"Dornburg","given":"Alex","non-dropping-particle":"","parse-names":false,"suffix":""},{"dropping-particle":"","family":"Field","given":"Daniel J.","non-dropping-particle":"","parse-names":false,"suffix":""},{"dropping-particle":"","family":"Townsend","given":"Jeffrey P.","non-dropping-particle":"","parse-names":false,"suffix":""},{"dropping-particle":"","family":"Lemmon","given":"Emily Moriarty","non-dropping-particle":"","parse-names":false,"suffix":""},{"dropping-particle":"","family":"Lemmon","given":"Alan R.","non-dropping-particle":"","parse-names":false,"suffix":""}],"container-title":"Nature","id":"ITEM-1","issue":"7574","issued":{"date-parts":[["2015","10","7"]]},"page":"569-573","title":"A comprehensive phylogeny of birds (Aves) using targeted next-generation DNA sequencing","type":"article-journal","volume":"526"},"uris":["http://www.mendeley.com/documents/?uuid=ce8af520-b318-48a0-a8df-0fb1b3108c00"]}],"mendeley":{"formattedCitation":"&lt;sup&gt;2&lt;/sup&gt;","plainTextFormattedCitation":"2","previouslyFormattedCitation":"(2)"},"properties":{"noteIndex":0},"schema":"https://github.com/citation-style-language/schema/raw/master/csl-citation.json"}</w:instrText>
            </w:r>
            <w:r w:rsidR="008214CF" w:rsidRPr="00C94C09">
              <w:rPr>
                <w:rFonts w:ascii="Times New Roman" w:hAnsi="Times New Roman" w:cs="Times New Roman"/>
                <w:sz w:val="18"/>
                <w:szCs w:val="18"/>
              </w:rPr>
              <w:fldChar w:fldCharType="separate"/>
            </w:r>
            <w:r w:rsidR="00F5292F" w:rsidRPr="00F5292F">
              <w:rPr>
                <w:rFonts w:ascii="Times New Roman" w:hAnsi="Times New Roman" w:cs="Times New Roman"/>
                <w:noProof/>
                <w:sz w:val="18"/>
                <w:szCs w:val="18"/>
                <w:vertAlign w:val="superscript"/>
              </w:rPr>
              <w:t>2</w:t>
            </w:r>
            <w:r w:rsidR="008214CF" w:rsidRPr="00C94C09">
              <w:rPr>
                <w:rFonts w:ascii="Times New Roman" w:hAnsi="Times New Roman" w:cs="Times New Roman"/>
                <w:sz w:val="18"/>
                <w:szCs w:val="18"/>
              </w:rPr>
              <w:fldChar w:fldCharType="end"/>
            </w:r>
          </w:p>
        </w:tc>
      </w:tr>
      <w:tr w:rsidR="00CE14EE" w:rsidRPr="00B47FB5" w:rsidTr="00C52690">
        <w:trPr>
          <w:trHeight w:val="300"/>
        </w:trPr>
        <w:tc>
          <w:tcPr>
            <w:tcW w:w="2405" w:type="dxa"/>
            <w:tcBorders>
              <w:top w:val="nil"/>
              <w:left w:val="nil"/>
              <w:bottom w:val="nil"/>
              <w:right w:val="nil"/>
            </w:tcBorders>
            <w:noWrap/>
            <w:vAlign w:val="center"/>
            <w:hideMark/>
          </w:tcPr>
          <w:p w:rsidR="009329A8" w:rsidRPr="00C94C09" w:rsidRDefault="009329A8" w:rsidP="009329A8">
            <w:pPr>
              <w:rPr>
                <w:rFonts w:ascii="Times New Roman" w:hAnsi="Times New Roman" w:cs="Times New Roman"/>
                <w:color w:val="000000"/>
                <w:sz w:val="18"/>
                <w:szCs w:val="18"/>
              </w:rPr>
            </w:pPr>
            <w:r w:rsidRPr="00C94C09">
              <w:rPr>
                <w:rFonts w:ascii="Times New Roman" w:hAnsi="Times New Roman" w:cs="Times New Roman"/>
                <w:color w:val="000000"/>
                <w:sz w:val="18"/>
                <w:szCs w:val="18"/>
              </w:rPr>
              <w:t>Butterfly</w:t>
            </w:r>
          </w:p>
        </w:tc>
        <w:tc>
          <w:tcPr>
            <w:tcW w:w="2131"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Animal: Butterflies</w:t>
            </w:r>
          </w:p>
        </w:tc>
        <w:tc>
          <w:tcPr>
            <w:tcW w:w="1276"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Order</w:t>
            </w:r>
          </w:p>
        </w:tc>
        <w:tc>
          <w:tcPr>
            <w:tcW w:w="70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207</w:t>
            </w:r>
          </w:p>
        </w:tc>
        <w:tc>
          <w:tcPr>
            <w:tcW w:w="70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352</w:t>
            </w:r>
          </w:p>
        </w:tc>
        <w:tc>
          <w:tcPr>
            <w:tcW w:w="155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AHE</w:t>
            </w:r>
          </w:p>
        </w:tc>
        <w:tc>
          <w:tcPr>
            <w:tcW w:w="850"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DNA</w:t>
            </w:r>
          </w:p>
        </w:tc>
        <w:tc>
          <w:tcPr>
            <w:tcW w:w="4111" w:type="dxa"/>
            <w:tcBorders>
              <w:top w:val="nil"/>
              <w:left w:val="nil"/>
              <w:bottom w:val="nil"/>
              <w:right w:val="nil"/>
            </w:tcBorders>
            <w:noWrap/>
            <w:hideMark/>
          </w:tcPr>
          <w:p w:rsidR="009329A8" w:rsidRPr="00C94C09" w:rsidRDefault="009329A8" w:rsidP="00F5292F">
            <w:pPr>
              <w:rPr>
                <w:rFonts w:ascii="Times New Roman" w:hAnsi="Times New Roman" w:cs="Times New Roman"/>
                <w:sz w:val="18"/>
                <w:szCs w:val="18"/>
              </w:rPr>
            </w:pPr>
            <w:proofErr w:type="spellStart"/>
            <w:r w:rsidRPr="00C94C09">
              <w:rPr>
                <w:rFonts w:ascii="Times New Roman" w:hAnsi="Times New Roman" w:cs="Times New Roman"/>
                <w:sz w:val="18"/>
                <w:szCs w:val="18"/>
              </w:rPr>
              <w:t>Espeland</w:t>
            </w:r>
            <w:proofErr w:type="spellEnd"/>
            <w:r w:rsidRPr="00C94C09">
              <w:rPr>
                <w:rFonts w:ascii="Times New Roman" w:hAnsi="Times New Roman" w:cs="Times New Roman"/>
                <w:sz w:val="18"/>
                <w:szCs w:val="18"/>
              </w:rPr>
              <w:t xml:space="preserve"> et al. Current Biology, 2018</w:t>
            </w:r>
            <w:r w:rsidR="00873122">
              <w:rPr>
                <w:rFonts w:ascii="Times New Roman" w:hAnsi="Times New Roman" w:cs="Times New Roman"/>
                <w:sz w:val="18"/>
                <w:szCs w:val="18"/>
              </w:rPr>
              <w:t xml:space="preserve"> </w:t>
            </w:r>
            <w:r w:rsidR="00CD6145" w:rsidRPr="00C94C09">
              <w:rPr>
                <w:rFonts w:ascii="Times New Roman" w:hAnsi="Times New Roman" w:cs="Times New Roman"/>
                <w:sz w:val="18"/>
                <w:szCs w:val="18"/>
              </w:rPr>
              <w:fldChar w:fldCharType="begin" w:fldLock="1"/>
            </w:r>
            <w:r w:rsidR="00F5292F">
              <w:rPr>
                <w:rFonts w:ascii="Times New Roman" w:hAnsi="Times New Roman" w:cs="Times New Roman"/>
                <w:sz w:val="18"/>
                <w:szCs w:val="18"/>
              </w:rPr>
              <w:instrText>ADDIN CSL_CITATION {"citationItems":[{"id":"ITEM-1","itemData":{"DOI":"10.1016/j.cub.2018.01.061","ISSN":"09609822","PMID":"29456146","abstract":"Butterflies (Papilionoidea), with over 18,000 described species [1], have captivated naturalists and scientists for centuries. They play a central role in the study of speciation, community ecology, biogeography, climate change, and plant-insect interactions and include many model organisms and pest species [2, 3]. However, a robust higher-level phylogenetic framework is lacking. To fill this gap, we inferred a dated phylogeny by analyzing the first phylogenomic dataset, including 352 loci (&gt; 150,000 bp) from 207 species representing 98% of tribes, a 35-fold increase in gene sampling and 3-fold increase in taxon sampling over previous studies [4]. Most data were generated with a new anchored hybrid enrichment (AHE) [5] gene kit (BUTTERFLY1.0) that includes both new and frequently used (e.g., [6]) informative loci, enabling direct comparison and future dataset merging with previous studies. Butterflies originated around 119 million years ago (mya) in the late Cretaceous, but most extant lineages diverged after the Cretaceous-Paleogene (K-Pg) mass-extinction 65 mya. Our analyses support swallowtails (Papilionidae) as sister to all other butterflies, followed by skippers (Hesperiidae) + the nocturnal butterflies (Hedylidae) as sister to the remainder, indicating a secondary reversal from diurnality to nocturnality. The whites (Pieridae) were strongly supported as sister to brush-footed butterflies (Nymphalidae) and blues + metalmarks (Lycaenidae and Riodinidae). Ant association independently evolved once in Lycaenidae and twice in Riodinidae. This study overturns prior notions of the taxon's evolutionary history, as many long-recognized subfamilies and tribes are para- or polyphyletic. It also provides a much-needed backbone for a revised classification of butterflies and for future comparative studies including genome evolution and ecology. Espeland et al. inferred a dated, molecular phylogeny of butterflies based on the largest and most taxonomically extensive phylogenomic dataset ever assembled for the group: 352 loci from 207 species representing all butterfly families and subfamilies and 98% of the tribes. This tree will provide a robust framework for future comparative analyses.","author":[{"dropping-particle":"","family":"Espeland","given":"Marianne","non-dropping-particle":"","parse-names":false,"suffix":""},{"dropping-particle":"","family":"Breinholt","given":"Jesse","non-dropping-particle":"","parse-names":false,"suffix":""},{"dropping-particle":"","family":"Willmott","given":"Keith R.","non-dropping-particle":"","parse-names":false,"suffix":""},{"dropping-particle":"","family":"Warren","given":"Andrew D.","non-dropping-particle":"","parse-names":false,"suffix":""},{"dropping-particle":"","family":"Vila","given":"Roger","non-dropping-particle":"","parse-names":false,"suffix":""},{"dropping-particle":"","family":"Toussaint","given":"Emmanuel F.A.","non-dropping-particle":"","parse-names":false,"suffix":""},{"dropping-particle":"","family":"Maunsell","given":"Sarah C.","non-dropping-particle":"","parse-names":false,"suffix":""},{"dropping-particle":"","family":"Aduse-Poku","given":"Kwaku","non-dropping-particle":"","parse-names":false,"suffix":""},{"dropping-particle":"","family":"Talavera","given":"Gerard","non-dropping-particle":"","parse-names":false,"suffix":""},{"dropping-particle":"","family":"Eastwood","given":"Rod","non-dropping-particle":"","parse-names":false,"suffix":""},{"dropping-particle":"","family":"Jarzyna","given":"Marta A.","non-dropping-particle":"","parse-names":false,"suffix":""},{"dropping-particle":"","family":"Guralnick","given":"Robert","non-dropping-particle":"","parse-names":false,"suffix":""},{"dropping-particle":"","family":"Lohman","given":"David J.","non-dropping-particle":"","parse-names":false,"suffix":""},{"dropping-particle":"","family":"Pierce","given":"Naomi E.","non-dropping-particle":"","parse-names":false,"suffix":""},{"dropping-particle":"","family":"Kawahara","given":"Akito Y.","non-dropping-particle":"","parse-names":false,"suffix":""}],"container-title":"Current Biology","id":"ITEM-1","issue":"5","issued":{"date-parts":[["2018"]]},"page":"770-778.e5","publisher":"Elsevier Ltd.","title":"A Comprehensive and Dated Phylogenomic Analysis of Butterflies","type":"article-journal","volume":"28"},"uris":["http://www.mendeley.com/documents/?uuid=0a6fc6e8-e936-443e-b1fe-936b12d7915d"]}],"mendeley":{"formattedCitation":"&lt;sup&gt;3&lt;/sup&gt;","plainTextFormattedCitation":"3","previouslyFormattedCitation":"(3)"},"properties":{"noteIndex":0},"schema":"https://github.com/citation-style-language/schema/raw/master/csl-citation.json"}</w:instrText>
            </w:r>
            <w:r w:rsidR="00CD6145" w:rsidRPr="00C94C09">
              <w:rPr>
                <w:rFonts w:ascii="Times New Roman" w:hAnsi="Times New Roman" w:cs="Times New Roman"/>
                <w:sz w:val="18"/>
                <w:szCs w:val="18"/>
              </w:rPr>
              <w:fldChar w:fldCharType="separate"/>
            </w:r>
            <w:r w:rsidR="00F5292F" w:rsidRPr="00F5292F">
              <w:rPr>
                <w:rFonts w:ascii="Times New Roman" w:hAnsi="Times New Roman" w:cs="Times New Roman"/>
                <w:noProof/>
                <w:sz w:val="18"/>
                <w:szCs w:val="18"/>
                <w:vertAlign w:val="superscript"/>
              </w:rPr>
              <w:t>3</w:t>
            </w:r>
            <w:r w:rsidR="00CD6145" w:rsidRPr="00C94C09">
              <w:rPr>
                <w:rFonts w:ascii="Times New Roman" w:hAnsi="Times New Roman" w:cs="Times New Roman"/>
                <w:sz w:val="18"/>
                <w:szCs w:val="18"/>
              </w:rPr>
              <w:fldChar w:fldCharType="end"/>
            </w:r>
          </w:p>
        </w:tc>
      </w:tr>
      <w:tr w:rsidR="00CE14EE" w:rsidRPr="00B47FB5" w:rsidTr="00C52690">
        <w:trPr>
          <w:trHeight w:val="300"/>
        </w:trPr>
        <w:tc>
          <w:tcPr>
            <w:tcW w:w="2405" w:type="dxa"/>
            <w:tcBorders>
              <w:top w:val="nil"/>
              <w:left w:val="nil"/>
              <w:bottom w:val="nil"/>
              <w:right w:val="nil"/>
            </w:tcBorders>
            <w:noWrap/>
            <w:vAlign w:val="center"/>
            <w:hideMark/>
          </w:tcPr>
          <w:p w:rsidR="009329A8" w:rsidRPr="00C94C09" w:rsidRDefault="009329A8" w:rsidP="009329A8">
            <w:pPr>
              <w:rPr>
                <w:rFonts w:ascii="Times New Roman" w:hAnsi="Times New Roman" w:cs="Times New Roman"/>
                <w:color w:val="000000"/>
                <w:sz w:val="18"/>
                <w:szCs w:val="18"/>
              </w:rPr>
            </w:pPr>
            <w:r w:rsidRPr="00C94C09">
              <w:rPr>
                <w:rFonts w:ascii="Times New Roman" w:hAnsi="Times New Roman" w:cs="Times New Roman"/>
                <w:color w:val="000000"/>
                <w:sz w:val="18"/>
                <w:szCs w:val="18"/>
              </w:rPr>
              <w:t>Lizard</w:t>
            </w:r>
          </w:p>
        </w:tc>
        <w:tc>
          <w:tcPr>
            <w:tcW w:w="2131"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Animal: Lizards</w:t>
            </w:r>
          </w:p>
        </w:tc>
        <w:tc>
          <w:tcPr>
            <w:tcW w:w="1276"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Genus</w:t>
            </w:r>
          </w:p>
        </w:tc>
        <w:tc>
          <w:tcPr>
            <w:tcW w:w="70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29</w:t>
            </w:r>
          </w:p>
        </w:tc>
        <w:tc>
          <w:tcPr>
            <w:tcW w:w="70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1361</w:t>
            </w:r>
          </w:p>
        </w:tc>
        <w:tc>
          <w:tcPr>
            <w:tcW w:w="155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Exon-Capture</w:t>
            </w:r>
          </w:p>
        </w:tc>
        <w:tc>
          <w:tcPr>
            <w:tcW w:w="850"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DNA</w:t>
            </w:r>
          </w:p>
        </w:tc>
        <w:tc>
          <w:tcPr>
            <w:tcW w:w="4111" w:type="dxa"/>
            <w:tcBorders>
              <w:top w:val="nil"/>
              <w:left w:val="nil"/>
              <w:bottom w:val="nil"/>
              <w:right w:val="nil"/>
            </w:tcBorders>
            <w:noWrap/>
            <w:hideMark/>
          </w:tcPr>
          <w:p w:rsidR="009329A8" w:rsidRPr="00C94C09" w:rsidRDefault="009329A8" w:rsidP="00F5292F">
            <w:pPr>
              <w:rPr>
                <w:rFonts w:ascii="Times New Roman" w:hAnsi="Times New Roman" w:cs="Times New Roman"/>
                <w:sz w:val="18"/>
                <w:szCs w:val="18"/>
              </w:rPr>
            </w:pPr>
            <w:proofErr w:type="spellStart"/>
            <w:r w:rsidRPr="00C94C09">
              <w:rPr>
                <w:rFonts w:ascii="Times New Roman" w:hAnsi="Times New Roman" w:cs="Times New Roman"/>
                <w:sz w:val="18"/>
                <w:szCs w:val="18"/>
              </w:rPr>
              <w:t>Blom</w:t>
            </w:r>
            <w:proofErr w:type="spellEnd"/>
            <w:r w:rsidRPr="00C94C09">
              <w:rPr>
                <w:rFonts w:ascii="Times New Roman" w:hAnsi="Times New Roman" w:cs="Times New Roman"/>
                <w:sz w:val="18"/>
                <w:szCs w:val="18"/>
              </w:rPr>
              <w:t xml:space="preserve"> et al. </w:t>
            </w:r>
            <w:proofErr w:type="spellStart"/>
            <w:r w:rsidRPr="00C94C09">
              <w:rPr>
                <w:rFonts w:ascii="Times New Roman" w:hAnsi="Times New Roman" w:cs="Times New Roman"/>
                <w:sz w:val="18"/>
                <w:szCs w:val="18"/>
              </w:rPr>
              <w:t>Syst</w:t>
            </w:r>
            <w:proofErr w:type="spellEnd"/>
            <w:r w:rsidRPr="00C94C09">
              <w:rPr>
                <w:rFonts w:ascii="Times New Roman" w:hAnsi="Times New Roman" w:cs="Times New Roman"/>
                <w:sz w:val="18"/>
                <w:szCs w:val="18"/>
              </w:rPr>
              <w:t xml:space="preserve"> </w:t>
            </w:r>
            <w:proofErr w:type="spellStart"/>
            <w:r w:rsidRPr="00C94C09">
              <w:rPr>
                <w:rFonts w:ascii="Times New Roman" w:hAnsi="Times New Roman" w:cs="Times New Roman"/>
                <w:sz w:val="18"/>
                <w:szCs w:val="18"/>
              </w:rPr>
              <w:t>Biol</w:t>
            </w:r>
            <w:proofErr w:type="spellEnd"/>
            <w:r w:rsidRPr="00C94C09">
              <w:rPr>
                <w:rFonts w:ascii="Times New Roman" w:hAnsi="Times New Roman" w:cs="Times New Roman"/>
                <w:sz w:val="18"/>
                <w:szCs w:val="18"/>
              </w:rPr>
              <w:t>, 2017</w:t>
            </w:r>
            <w:r w:rsidR="00873122">
              <w:rPr>
                <w:rFonts w:ascii="Times New Roman" w:hAnsi="Times New Roman" w:cs="Times New Roman"/>
                <w:sz w:val="18"/>
                <w:szCs w:val="18"/>
              </w:rPr>
              <w:t xml:space="preserve"> </w:t>
            </w:r>
            <w:r w:rsidR="00CD6145" w:rsidRPr="00C94C09">
              <w:rPr>
                <w:rFonts w:ascii="Times New Roman" w:hAnsi="Times New Roman" w:cs="Times New Roman"/>
                <w:sz w:val="18"/>
                <w:szCs w:val="18"/>
              </w:rPr>
              <w:fldChar w:fldCharType="begin" w:fldLock="1"/>
            </w:r>
            <w:r w:rsidR="00F5292F">
              <w:rPr>
                <w:rFonts w:ascii="Times New Roman" w:hAnsi="Times New Roman" w:cs="Times New Roman"/>
                <w:sz w:val="18"/>
                <w:szCs w:val="18"/>
              </w:rPr>
              <w:instrText xml:space="preserve">ADDIN CSL_CITATION {"citationItems":[{"id":"ITEM-1","itemData":{"DOI":"10.1093/sysbio/syw089","ISSN":"1076836X","abstract":"Accurate gene tree inference is an important aspect of species tree estimation in a summary-coalescent framework. Yet, in empirical studies, inferred gene trees differ in accuracy due to stochastic variation in phylogenetic signal between targeted loci. Empiricists should, therefore, examine the consistency of species tree inference, while accounting for the observed heterogeneity in gene tree resolution of phylogenomic data sets. Here, we assess the impact of gene tree estimation error on summary-coalescent species tree inference by screening </w:instrText>
            </w:r>
            <w:r w:rsidR="00F5292F">
              <w:rPr>
                <w:rFonts w:ascii="Cambria Math" w:hAnsi="Cambria Math" w:cs="Cambria Math"/>
                <w:sz w:val="18"/>
                <w:szCs w:val="18"/>
              </w:rPr>
              <w:instrText>∼</w:instrText>
            </w:r>
            <w:r w:rsidR="00F5292F">
              <w:rPr>
                <w:rFonts w:ascii="Times New Roman" w:hAnsi="Times New Roman" w:cs="Times New Roman"/>
                <w:sz w:val="18"/>
                <w:szCs w:val="18"/>
              </w:rPr>
              <w:instrText>2000 exonic loci based on gene tree resolution prior to phylogenetic inference. We focus on a phylogenetically challenging radiation of Australian lizards (genus Cryptoblepharus, Scincidae) and explore effects on topology and support. We identify a well-supported topology based on all loci and find that a relatively small number of high-resolution gene trees can be sufficient to converge on the same topology. Adding gene trees with decreasing resolution produced a generally consistent topology, and increased confidence for specific bipartitions that were poorly supported when using a small number of informative loci. This corroborates coalescent-based simulation studies that have highlighted the need for a large number of loci to confidently resolve challenging relationships and refutes the notion that low-resolution gene trees introduce phylogenetic noise. Further, our study also highlights the value of quantifying changes in nodal support across locus subsets of increasing size (but decreasing gene tree resolution). Such detailed analyses can reveal anomalous fluctuations in support at some nodes, suggesting the possibility of model violation. By characterizing the heterogeneity in phylogenetic signal among loci, we can account for uncertainty in gene tree estimation and assess its effect on the consistency of the species tree estimate. We suggest that the evaluation of gene tree resolution should be incorporated in the analysis of empirical phylogenomic data sets. This will ultimately increase our confidence in species tree estimation using summary-coalescent methods and enable us to exploit genomic data for phylogenetic inference.","author":[{"dropping-particle":"","family":"Blom","given":"Mozes P.K.","non-dropping-particle":"","parse-names":false,"suffix":""},{"dropping-particle":"","family":"Bragg","given":"Jason G.","non-dropping-particle":"","parse-names":false,"suffix":""},{"dropping-particle":"","family":"Potter","given":"Sally","non-dropping-particle":"","parse-names":false,"suffix":""},{"dropping-particle":"","family":"Moritz","given":"Craig","non-dropping-particle":"","parse-names":false,"suffix":""}],"container-title":"Systematic Biology","id":"ITEM-1","issue":"3","issued":{"date-parts":[["2017"]]},"page":"352-366","title":"Accounting for uncertainty in gene tree estimation: Summary-coalescent species tree inference in a challenging radiation of Australian lizards","type":"article-journal","volume":"66"},"uris":["http://www.mendeley.com/documents/?uuid=7a3e85e9-208d-4337-8092-9e2736f58aa5"]}],"mendeley":{"formattedCitation":"&lt;sup&gt;4&lt;/sup&gt;","plainTextFormattedCitation":"4","previouslyFormattedCitation":"(4)"},"properties":{"noteIndex":0},"schema":"https://github.com/citation-style-language/schema/raw/master/csl-citation.json"}</w:instrText>
            </w:r>
            <w:r w:rsidR="00CD6145" w:rsidRPr="00C94C09">
              <w:rPr>
                <w:rFonts w:ascii="Times New Roman" w:hAnsi="Times New Roman" w:cs="Times New Roman"/>
                <w:sz w:val="18"/>
                <w:szCs w:val="18"/>
              </w:rPr>
              <w:fldChar w:fldCharType="separate"/>
            </w:r>
            <w:r w:rsidR="00F5292F" w:rsidRPr="00F5292F">
              <w:rPr>
                <w:rFonts w:ascii="Times New Roman" w:hAnsi="Times New Roman" w:cs="Times New Roman"/>
                <w:noProof/>
                <w:sz w:val="18"/>
                <w:szCs w:val="18"/>
                <w:vertAlign w:val="superscript"/>
              </w:rPr>
              <w:t>4</w:t>
            </w:r>
            <w:r w:rsidR="00CD6145" w:rsidRPr="00C94C09">
              <w:rPr>
                <w:rFonts w:ascii="Times New Roman" w:hAnsi="Times New Roman" w:cs="Times New Roman"/>
                <w:sz w:val="18"/>
                <w:szCs w:val="18"/>
              </w:rPr>
              <w:fldChar w:fldCharType="end"/>
            </w:r>
          </w:p>
        </w:tc>
      </w:tr>
      <w:tr w:rsidR="00CE14EE" w:rsidRPr="00B47FB5" w:rsidTr="00C52690">
        <w:trPr>
          <w:trHeight w:val="300"/>
        </w:trPr>
        <w:tc>
          <w:tcPr>
            <w:tcW w:w="2405" w:type="dxa"/>
            <w:tcBorders>
              <w:top w:val="nil"/>
              <w:left w:val="nil"/>
              <w:bottom w:val="nil"/>
              <w:right w:val="nil"/>
            </w:tcBorders>
            <w:noWrap/>
            <w:vAlign w:val="center"/>
            <w:hideMark/>
          </w:tcPr>
          <w:p w:rsidR="009329A8" w:rsidRPr="00C94C09" w:rsidRDefault="009329A8" w:rsidP="009329A8">
            <w:pPr>
              <w:rPr>
                <w:rFonts w:ascii="Times New Roman" w:hAnsi="Times New Roman" w:cs="Times New Roman"/>
                <w:color w:val="000000"/>
                <w:sz w:val="18"/>
                <w:szCs w:val="18"/>
              </w:rPr>
            </w:pPr>
            <w:r w:rsidRPr="00C94C09">
              <w:rPr>
                <w:rFonts w:ascii="Times New Roman" w:hAnsi="Times New Roman" w:cs="Times New Roman"/>
                <w:color w:val="000000"/>
                <w:sz w:val="18"/>
                <w:szCs w:val="18"/>
              </w:rPr>
              <w:t>Marine-fish</w:t>
            </w:r>
          </w:p>
        </w:tc>
        <w:tc>
          <w:tcPr>
            <w:tcW w:w="2131"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Animal: Marine fishes</w:t>
            </w:r>
          </w:p>
        </w:tc>
        <w:tc>
          <w:tcPr>
            <w:tcW w:w="1276"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Superorder</w:t>
            </w:r>
          </w:p>
        </w:tc>
        <w:tc>
          <w:tcPr>
            <w:tcW w:w="70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120</w:t>
            </w:r>
          </w:p>
        </w:tc>
        <w:tc>
          <w:tcPr>
            <w:tcW w:w="70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1001</w:t>
            </w:r>
          </w:p>
        </w:tc>
        <w:tc>
          <w:tcPr>
            <w:tcW w:w="155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UCE</w:t>
            </w:r>
          </w:p>
        </w:tc>
        <w:tc>
          <w:tcPr>
            <w:tcW w:w="850"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DNA</w:t>
            </w:r>
          </w:p>
        </w:tc>
        <w:tc>
          <w:tcPr>
            <w:tcW w:w="4111" w:type="dxa"/>
            <w:tcBorders>
              <w:top w:val="nil"/>
              <w:left w:val="nil"/>
              <w:bottom w:val="nil"/>
              <w:right w:val="nil"/>
            </w:tcBorders>
            <w:noWrap/>
            <w:hideMark/>
          </w:tcPr>
          <w:p w:rsidR="009329A8" w:rsidRPr="00C94C09" w:rsidRDefault="009329A8" w:rsidP="00F5292F">
            <w:pPr>
              <w:rPr>
                <w:rFonts w:ascii="Times New Roman" w:hAnsi="Times New Roman" w:cs="Times New Roman"/>
                <w:sz w:val="18"/>
                <w:szCs w:val="18"/>
              </w:rPr>
            </w:pPr>
            <w:r w:rsidRPr="00C94C09">
              <w:rPr>
                <w:rFonts w:ascii="Times New Roman" w:hAnsi="Times New Roman" w:cs="Times New Roman"/>
                <w:sz w:val="18"/>
                <w:szCs w:val="18"/>
              </w:rPr>
              <w:t xml:space="preserve">Alfaro et al. 2018, Nat. Ecol. </w:t>
            </w:r>
            <w:proofErr w:type="spellStart"/>
            <w:r w:rsidRPr="00C94C09">
              <w:rPr>
                <w:rFonts w:ascii="Times New Roman" w:hAnsi="Times New Roman" w:cs="Times New Roman"/>
                <w:sz w:val="18"/>
                <w:szCs w:val="18"/>
              </w:rPr>
              <w:t>Evol</w:t>
            </w:r>
            <w:proofErr w:type="spellEnd"/>
            <w:r w:rsidRPr="00C94C09">
              <w:rPr>
                <w:rFonts w:ascii="Times New Roman" w:hAnsi="Times New Roman" w:cs="Times New Roman"/>
                <w:sz w:val="18"/>
                <w:szCs w:val="18"/>
              </w:rPr>
              <w:t>.</w:t>
            </w:r>
            <w:r w:rsidR="00873122">
              <w:rPr>
                <w:rFonts w:ascii="Times New Roman" w:hAnsi="Times New Roman" w:cs="Times New Roman"/>
                <w:sz w:val="18"/>
                <w:szCs w:val="18"/>
              </w:rPr>
              <w:t xml:space="preserve"> </w:t>
            </w:r>
            <w:r w:rsidR="00961B1A" w:rsidRPr="00C94C09">
              <w:rPr>
                <w:rFonts w:ascii="Times New Roman" w:hAnsi="Times New Roman" w:cs="Times New Roman"/>
                <w:sz w:val="18"/>
                <w:szCs w:val="18"/>
              </w:rPr>
              <w:fldChar w:fldCharType="begin" w:fldLock="1"/>
            </w:r>
            <w:r w:rsidR="00F5292F">
              <w:rPr>
                <w:rFonts w:ascii="Times New Roman" w:hAnsi="Times New Roman" w:cs="Times New Roman"/>
                <w:sz w:val="18"/>
                <w:szCs w:val="18"/>
              </w:rPr>
              <w:instrText>ADDIN CSL_CITATION {"citationItems":[{"id":"ITEM-1","itemData":{"DOI":"10.1038/s41559-018-0494-6","ISBN":"4155901804946","ISSN":"2397-334X","abstract":"The Cretaceous-Palaeogene (K-Pg) mass extinction is linked to the rapid emergence of ecologically divergent higher taxa (for example, families and orders) across terrestrial vertebrates, but its impact on the diversification of marine vertebrates is less clear. Spiny-rayed fishes (Acanthomorpha) provide an ideal system for exploring the effects of the K-Pg on fish diversification, yet despite decades of morphological and molecular phylogenetic efforts, resolution of both early diverging lineages and enormously diverse subclades remains problematic. Recent multilocus studies have provided the first resolved phylogenetic backbone for acanthomorphs and suggested novel relationships among major lineages. However, these new relationships and associated timescales have not been interrogated using phylogenomic approaches. Here, we use targeted enrichment of &gt;1,000 ultraconserved elements in conjunction with a divergence time analysis to resolve relationships among 120 major acanthomorph lineages and provide a new timescale for acanthomorph radiation. Our results include a well-supported topology that strongly resolves relationships along the acanthomorph backbone and the recovery of several new relationships within six major percomorph subclades. Divergence time analyses also reveal that crown ages for five of these subclades, and for the bulk of the species diversity in the sixth, coincide with the K-Pg boundary, with divergences between anatomically and ecologically distinctive suprafamilial clades concentrated in the first 10 million years of the Cenozoic.","author":[{"dropping-particle":"","family":"Alfaro","given":"Michael E.","non-dropping-particle":"","parse-names":false,"suffix":""},{"dropping-particle":"","family":"Faircloth","given":"Brant C.","non-dropping-particle":"","parse-names":false,"suffix":""},{"dropping-particle":"","family":"Harrington","given":"Richard C.","non-dropping-particle":"","parse-names":false,"suffix":""},{"dropping-particle":"","family":"Sorenson","given":"Laurie","non-dropping-particle":"","parse-names":false,"suffix":""},{"dropping-particle":"","family":"Friedman","given":"Matt","non-dropping-particle":"","parse-names":false,"suffix":""},{"dropping-particle":"","family":"Thacker","given":"Christine E.","non-dropping-particle":"","parse-names":false,"suffix":""},{"dropping-particle":"","family":"Oliveros","given":"Carl H.","non-dropping-particle":"","parse-names":false,"suffix":""},{"dropping-particle":"","family":"Černý","given":"David","non-dropping-particle":"","parse-names":false,"suffix":""},{"dropping-particle":"","family":"Near","given":"Thomas J.","non-dropping-particle":"","parse-names":false,"suffix":""}],"container-title":"Nature Ecology &amp; Evolution","id":"ITEM-1","issue":"4","issued":{"date-parts":[["2018","4","12"]]},"page":"688-696","publisher":"Springer US","title":"Explosive diversification of marine fishes at the Cretaceous–Palaeogene boundary","type":"article-journal","volume":"2"},"uris":["http://www.mendeley.com/documents/?uuid=cc126c94-442d-411a-a308-384b3554ab55"]}],"mendeley":{"formattedCitation":"&lt;sup&gt;5&lt;/sup&gt;","plainTextFormattedCitation":"5","previouslyFormattedCitation":"(5)"},"properties":{"noteIndex":0},"schema":"https://github.com/citation-style-language/schema/raw/master/csl-citation.json"}</w:instrText>
            </w:r>
            <w:r w:rsidR="00961B1A" w:rsidRPr="00C94C09">
              <w:rPr>
                <w:rFonts w:ascii="Times New Roman" w:hAnsi="Times New Roman" w:cs="Times New Roman"/>
                <w:sz w:val="18"/>
                <w:szCs w:val="18"/>
              </w:rPr>
              <w:fldChar w:fldCharType="separate"/>
            </w:r>
            <w:r w:rsidR="00F5292F" w:rsidRPr="00F5292F">
              <w:rPr>
                <w:rFonts w:ascii="Times New Roman" w:hAnsi="Times New Roman" w:cs="Times New Roman"/>
                <w:noProof/>
                <w:sz w:val="18"/>
                <w:szCs w:val="18"/>
                <w:vertAlign w:val="superscript"/>
              </w:rPr>
              <w:t>5</w:t>
            </w:r>
            <w:r w:rsidR="00961B1A" w:rsidRPr="00C94C09">
              <w:rPr>
                <w:rFonts w:ascii="Times New Roman" w:hAnsi="Times New Roman" w:cs="Times New Roman"/>
                <w:sz w:val="18"/>
                <w:szCs w:val="18"/>
              </w:rPr>
              <w:fldChar w:fldCharType="end"/>
            </w:r>
          </w:p>
        </w:tc>
      </w:tr>
      <w:tr w:rsidR="00CE14EE" w:rsidRPr="00B47FB5" w:rsidTr="00C52690">
        <w:trPr>
          <w:trHeight w:val="300"/>
        </w:trPr>
        <w:tc>
          <w:tcPr>
            <w:tcW w:w="2405" w:type="dxa"/>
            <w:tcBorders>
              <w:top w:val="nil"/>
              <w:left w:val="nil"/>
              <w:bottom w:val="nil"/>
              <w:right w:val="nil"/>
            </w:tcBorders>
            <w:noWrap/>
            <w:vAlign w:val="center"/>
            <w:hideMark/>
          </w:tcPr>
          <w:p w:rsidR="009329A8" w:rsidRPr="00C94C09" w:rsidRDefault="009329A8" w:rsidP="009329A8">
            <w:pPr>
              <w:rPr>
                <w:rFonts w:ascii="Times New Roman" w:hAnsi="Times New Roman" w:cs="Times New Roman"/>
                <w:color w:val="000000"/>
                <w:sz w:val="18"/>
                <w:szCs w:val="18"/>
              </w:rPr>
            </w:pPr>
            <w:r w:rsidRPr="00C94C09">
              <w:rPr>
                <w:rFonts w:ascii="Times New Roman" w:hAnsi="Times New Roman" w:cs="Times New Roman"/>
                <w:color w:val="000000"/>
                <w:sz w:val="18"/>
                <w:szCs w:val="18"/>
              </w:rPr>
              <w:t>Rodent</w:t>
            </w:r>
          </w:p>
        </w:tc>
        <w:tc>
          <w:tcPr>
            <w:tcW w:w="2131"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Animal: Rodents</w:t>
            </w:r>
          </w:p>
        </w:tc>
        <w:tc>
          <w:tcPr>
            <w:tcW w:w="1276"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Family</w:t>
            </w:r>
          </w:p>
        </w:tc>
        <w:tc>
          <w:tcPr>
            <w:tcW w:w="70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37</w:t>
            </w:r>
          </w:p>
        </w:tc>
        <w:tc>
          <w:tcPr>
            <w:tcW w:w="70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1245</w:t>
            </w:r>
          </w:p>
        </w:tc>
        <w:tc>
          <w:tcPr>
            <w:tcW w:w="155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Exon-Capture</w:t>
            </w:r>
          </w:p>
        </w:tc>
        <w:tc>
          <w:tcPr>
            <w:tcW w:w="850"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DNA</w:t>
            </w:r>
          </w:p>
        </w:tc>
        <w:tc>
          <w:tcPr>
            <w:tcW w:w="4111" w:type="dxa"/>
            <w:tcBorders>
              <w:top w:val="nil"/>
              <w:left w:val="nil"/>
              <w:bottom w:val="nil"/>
              <w:right w:val="nil"/>
            </w:tcBorders>
            <w:noWrap/>
            <w:hideMark/>
          </w:tcPr>
          <w:p w:rsidR="009329A8" w:rsidRPr="00C94C09" w:rsidRDefault="009329A8" w:rsidP="00F5292F">
            <w:pPr>
              <w:rPr>
                <w:rFonts w:ascii="Times New Roman" w:hAnsi="Times New Roman" w:cs="Times New Roman"/>
                <w:sz w:val="18"/>
                <w:szCs w:val="18"/>
              </w:rPr>
            </w:pPr>
            <w:proofErr w:type="spellStart"/>
            <w:r w:rsidRPr="00C94C09">
              <w:rPr>
                <w:rFonts w:ascii="Times New Roman" w:hAnsi="Times New Roman" w:cs="Times New Roman"/>
                <w:sz w:val="18"/>
                <w:szCs w:val="18"/>
              </w:rPr>
              <w:t>Roycroft</w:t>
            </w:r>
            <w:proofErr w:type="spellEnd"/>
            <w:r w:rsidRPr="00C94C09">
              <w:rPr>
                <w:rFonts w:ascii="Times New Roman" w:hAnsi="Times New Roman" w:cs="Times New Roman"/>
                <w:sz w:val="18"/>
                <w:szCs w:val="18"/>
              </w:rPr>
              <w:t xml:space="preserve"> et al. </w:t>
            </w:r>
            <w:proofErr w:type="spellStart"/>
            <w:r w:rsidRPr="00C94C09">
              <w:rPr>
                <w:rFonts w:ascii="Times New Roman" w:hAnsi="Times New Roman" w:cs="Times New Roman"/>
                <w:sz w:val="18"/>
                <w:szCs w:val="18"/>
              </w:rPr>
              <w:t>Syst</w:t>
            </w:r>
            <w:proofErr w:type="spellEnd"/>
            <w:r w:rsidRPr="00C94C09">
              <w:rPr>
                <w:rFonts w:ascii="Times New Roman" w:hAnsi="Times New Roman" w:cs="Times New Roman"/>
                <w:sz w:val="18"/>
                <w:szCs w:val="18"/>
              </w:rPr>
              <w:t xml:space="preserve"> </w:t>
            </w:r>
            <w:proofErr w:type="spellStart"/>
            <w:r w:rsidRPr="00C94C09">
              <w:rPr>
                <w:rFonts w:ascii="Times New Roman" w:hAnsi="Times New Roman" w:cs="Times New Roman"/>
                <w:sz w:val="18"/>
                <w:szCs w:val="18"/>
              </w:rPr>
              <w:t>Biol</w:t>
            </w:r>
            <w:proofErr w:type="spellEnd"/>
            <w:r w:rsidRPr="00C94C09">
              <w:rPr>
                <w:rFonts w:ascii="Times New Roman" w:hAnsi="Times New Roman" w:cs="Times New Roman"/>
                <w:sz w:val="18"/>
                <w:szCs w:val="18"/>
              </w:rPr>
              <w:t>, 2019</w:t>
            </w:r>
            <w:r w:rsidR="00873122">
              <w:rPr>
                <w:rFonts w:ascii="Times New Roman" w:hAnsi="Times New Roman" w:cs="Times New Roman"/>
                <w:sz w:val="18"/>
                <w:szCs w:val="18"/>
              </w:rPr>
              <w:t xml:space="preserve"> </w:t>
            </w:r>
            <w:r w:rsidR="00961B1A" w:rsidRPr="00C94C09">
              <w:rPr>
                <w:rFonts w:ascii="Times New Roman" w:hAnsi="Times New Roman" w:cs="Times New Roman"/>
                <w:sz w:val="18"/>
                <w:szCs w:val="18"/>
              </w:rPr>
              <w:fldChar w:fldCharType="begin" w:fldLock="1"/>
            </w:r>
            <w:r w:rsidR="00F5292F">
              <w:rPr>
                <w:rFonts w:ascii="Times New Roman" w:hAnsi="Times New Roman" w:cs="Times New Roman"/>
                <w:sz w:val="18"/>
                <w:szCs w:val="18"/>
              </w:rPr>
              <w:instrText>ADDIN CSL_CITATION {"citationItems":[{"id":"ITEM-1","itemData":{"DOI":"10.1093/sysbio/syz044","ISSN":"1063-5157","abstract":"The estimation of robust and accurate measures of branch support has proven challenging in the era of phylogenomics. In data sets of potentially millions of sites, bootstrap support for bifurcating relationships around very short internal branches can be inappropriately inflated. Such overestimation of branch support may be particularly problematic in rapid radiations, where phylogenetic signal is low and incomplete lineage sorting severe. Here, we explore this issue by comparing various branch support estimates under both concatenated and coalescent frameworks, in the recent radiation Australo-Papuan murine rodents (Muridae: Hydromyini). Using nucleotide sequence data from 1245 independent loci and several phylogenomic inference methods, we unequivocally resolve the majority of genus-level relationships within Hydromyini. However, at four nodes we recover inconsistency in branch support estimates both within and among concatenated and coalescent approaches. In most cases, concatenated likelihood approaches using standard fast bootstrap algorithms did not detect any uncertainty at these four nodes, regardless of partitioning strategy. However, we found this could be overcome with two-stage resampling, that is, across genes and sites within genes (using -bsam GENESITE in IQ-TREE). In addition, low confidence at recalcitrant nodes was recovered using UFBoot2, a recent revision to the bootstrap protocol in IQ-TREE, but this depended on partitioning strategy. Summary coalescent approaches also failed to detect uncertainty under some circumstances. For each of four recalcitrant nodes, an equivalent (or close to equivalent) number of genes were in strong support ($&gt;$ 75% bootstrap) of both the primary and at least one alternative topological hypothesis, suggesting notable phylogenetic conflict among loci not detected using some standard branch support metrics. Recent debate has focused on the appropriateness of concatenated versus multigenealogical approaches to resolving species relationships, but less so on accurately estimating uncertainty in large data sets. Our results demonstrate the importance of employing multiple approaches when assessing confidence and highlight the need for greater attention to the development of robust measures of uncertainty in the era of phylogenomics.","author":[{"dropping-particle":"","family":"Roycroft","given":"Emily J","non-dropping-particle":"","parse-names":false,"suffix":""},{"dropping-particle":"","family":"Moussalli","given":"Adnan","non-dropping-particle":"","parse-names":false,"suffix":""},{"dropping-particle":"","family":"Rowe","given":"Kevin C","non-dropping-particle":"","parse-names":false,"suffix":""}],"container-title":"Systematic Biology","editor":[{"dropping-particle":"","family":"Antonelli","given":"Alexandre","non-dropping-particle":"","parse-names":false,"suffix":""}],"id":"ITEM-1","issue":"0","issued":{"date-parts":[["2019","9","12"]]},"page":"1-14","title":"Phylogenomics Uncovers Confidence and Conflict in the Rapid Radiation of Australo-Papuan Rodents","type":"article-journal","volume":"0"},"uris":["http://www.mendeley.com/documents/?uuid=f878a26a-4273-44e0-b128-dcc4798f73bc"]}],"mendeley":{"formattedCitation":"&lt;sup&gt;6&lt;/sup&gt;","plainTextFormattedCitation":"6","previouslyFormattedCitation":"(6)"},"properties":{"noteIndex":0},"schema":"https://github.com/citation-style-language/schema/raw/master/csl-citation.json"}</w:instrText>
            </w:r>
            <w:r w:rsidR="00961B1A" w:rsidRPr="00C94C09">
              <w:rPr>
                <w:rFonts w:ascii="Times New Roman" w:hAnsi="Times New Roman" w:cs="Times New Roman"/>
                <w:sz w:val="18"/>
                <w:szCs w:val="18"/>
              </w:rPr>
              <w:fldChar w:fldCharType="separate"/>
            </w:r>
            <w:r w:rsidR="00F5292F" w:rsidRPr="00F5292F">
              <w:rPr>
                <w:rFonts w:ascii="Times New Roman" w:hAnsi="Times New Roman" w:cs="Times New Roman"/>
                <w:noProof/>
                <w:sz w:val="18"/>
                <w:szCs w:val="18"/>
                <w:vertAlign w:val="superscript"/>
              </w:rPr>
              <w:t>6</w:t>
            </w:r>
            <w:r w:rsidR="00961B1A" w:rsidRPr="00C94C09">
              <w:rPr>
                <w:rFonts w:ascii="Times New Roman" w:hAnsi="Times New Roman" w:cs="Times New Roman"/>
                <w:sz w:val="18"/>
                <w:szCs w:val="18"/>
              </w:rPr>
              <w:fldChar w:fldCharType="end"/>
            </w:r>
          </w:p>
        </w:tc>
      </w:tr>
      <w:tr w:rsidR="00CE14EE" w:rsidRPr="00B47FB5" w:rsidTr="00C52690">
        <w:trPr>
          <w:trHeight w:val="300"/>
        </w:trPr>
        <w:tc>
          <w:tcPr>
            <w:tcW w:w="2405" w:type="dxa"/>
            <w:tcBorders>
              <w:top w:val="nil"/>
              <w:left w:val="nil"/>
              <w:bottom w:val="nil"/>
              <w:right w:val="nil"/>
            </w:tcBorders>
            <w:noWrap/>
            <w:vAlign w:val="center"/>
            <w:hideMark/>
          </w:tcPr>
          <w:p w:rsidR="009329A8" w:rsidRPr="00C94C09" w:rsidRDefault="009329A8" w:rsidP="009329A8">
            <w:pPr>
              <w:rPr>
                <w:rFonts w:ascii="Times New Roman" w:hAnsi="Times New Roman" w:cs="Times New Roman"/>
                <w:color w:val="000000"/>
                <w:sz w:val="18"/>
                <w:szCs w:val="18"/>
              </w:rPr>
            </w:pPr>
            <w:proofErr w:type="spellStart"/>
            <w:r w:rsidRPr="00C94C09">
              <w:rPr>
                <w:rFonts w:ascii="Times New Roman" w:hAnsi="Times New Roman" w:cs="Times New Roman"/>
                <w:color w:val="000000"/>
                <w:sz w:val="18"/>
                <w:szCs w:val="18"/>
              </w:rPr>
              <w:t>Cardueae</w:t>
            </w:r>
            <w:proofErr w:type="spellEnd"/>
          </w:p>
        </w:tc>
        <w:tc>
          <w:tcPr>
            <w:tcW w:w="2131"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 xml:space="preserve">Plant: </w:t>
            </w:r>
            <w:proofErr w:type="spellStart"/>
            <w:r w:rsidRPr="00C94C09">
              <w:rPr>
                <w:rFonts w:ascii="Times New Roman" w:hAnsi="Times New Roman" w:cs="Times New Roman"/>
                <w:sz w:val="18"/>
                <w:szCs w:val="18"/>
              </w:rPr>
              <w:t>Cardueae</w:t>
            </w:r>
            <w:proofErr w:type="spellEnd"/>
          </w:p>
        </w:tc>
        <w:tc>
          <w:tcPr>
            <w:tcW w:w="1276"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Family</w:t>
            </w:r>
          </w:p>
        </w:tc>
        <w:tc>
          <w:tcPr>
            <w:tcW w:w="70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85</w:t>
            </w:r>
          </w:p>
        </w:tc>
        <w:tc>
          <w:tcPr>
            <w:tcW w:w="70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570</w:t>
            </w:r>
          </w:p>
        </w:tc>
        <w:tc>
          <w:tcPr>
            <w:tcW w:w="155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UCE</w:t>
            </w:r>
          </w:p>
        </w:tc>
        <w:tc>
          <w:tcPr>
            <w:tcW w:w="850"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DNA</w:t>
            </w:r>
          </w:p>
        </w:tc>
        <w:tc>
          <w:tcPr>
            <w:tcW w:w="4111" w:type="dxa"/>
            <w:tcBorders>
              <w:top w:val="nil"/>
              <w:left w:val="nil"/>
              <w:bottom w:val="nil"/>
              <w:right w:val="nil"/>
            </w:tcBorders>
            <w:noWrap/>
            <w:hideMark/>
          </w:tcPr>
          <w:p w:rsidR="009329A8" w:rsidRPr="00C94C09" w:rsidRDefault="009329A8" w:rsidP="00F5292F">
            <w:pPr>
              <w:rPr>
                <w:rFonts w:ascii="Times New Roman" w:hAnsi="Times New Roman" w:cs="Times New Roman"/>
                <w:sz w:val="18"/>
                <w:szCs w:val="18"/>
              </w:rPr>
            </w:pPr>
            <w:proofErr w:type="spellStart"/>
            <w:r w:rsidRPr="00C94C09">
              <w:rPr>
                <w:rFonts w:ascii="Times New Roman" w:hAnsi="Times New Roman" w:cs="Times New Roman"/>
                <w:sz w:val="18"/>
                <w:szCs w:val="18"/>
              </w:rPr>
              <w:t>Herrando-Moraira</w:t>
            </w:r>
            <w:proofErr w:type="spellEnd"/>
            <w:r w:rsidRPr="00C94C09">
              <w:rPr>
                <w:rFonts w:ascii="Times New Roman" w:hAnsi="Times New Roman" w:cs="Times New Roman"/>
                <w:sz w:val="18"/>
                <w:szCs w:val="18"/>
              </w:rPr>
              <w:t xml:space="preserve"> et al. </w:t>
            </w:r>
            <w:proofErr w:type="spellStart"/>
            <w:r w:rsidRPr="00C94C09">
              <w:rPr>
                <w:rFonts w:ascii="Times New Roman" w:hAnsi="Times New Roman" w:cs="Times New Roman"/>
                <w:sz w:val="18"/>
                <w:szCs w:val="18"/>
              </w:rPr>
              <w:t>Mol</w:t>
            </w:r>
            <w:proofErr w:type="spellEnd"/>
            <w:r w:rsidRPr="00C94C09">
              <w:rPr>
                <w:rFonts w:ascii="Times New Roman" w:hAnsi="Times New Roman" w:cs="Times New Roman"/>
                <w:sz w:val="18"/>
                <w:szCs w:val="18"/>
              </w:rPr>
              <w:t xml:space="preserve"> </w:t>
            </w:r>
            <w:proofErr w:type="spellStart"/>
            <w:r w:rsidRPr="00C94C09">
              <w:rPr>
                <w:rFonts w:ascii="Times New Roman" w:hAnsi="Times New Roman" w:cs="Times New Roman"/>
                <w:sz w:val="18"/>
                <w:szCs w:val="18"/>
              </w:rPr>
              <w:t>Phyloge</w:t>
            </w:r>
            <w:proofErr w:type="spellEnd"/>
            <w:r w:rsidRPr="00C94C09">
              <w:rPr>
                <w:rFonts w:ascii="Times New Roman" w:hAnsi="Times New Roman" w:cs="Times New Roman"/>
                <w:sz w:val="18"/>
                <w:szCs w:val="18"/>
              </w:rPr>
              <w:t xml:space="preserve"> </w:t>
            </w:r>
            <w:proofErr w:type="spellStart"/>
            <w:r w:rsidRPr="00C94C09">
              <w:rPr>
                <w:rFonts w:ascii="Times New Roman" w:hAnsi="Times New Roman" w:cs="Times New Roman"/>
                <w:sz w:val="18"/>
                <w:szCs w:val="18"/>
              </w:rPr>
              <w:t>Evol</w:t>
            </w:r>
            <w:proofErr w:type="spellEnd"/>
            <w:r w:rsidRPr="00C94C09">
              <w:rPr>
                <w:rFonts w:ascii="Times New Roman" w:hAnsi="Times New Roman" w:cs="Times New Roman"/>
                <w:sz w:val="18"/>
                <w:szCs w:val="18"/>
              </w:rPr>
              <w:t>, 2018</w:t>
            </w:r>
            <w:r w:rsidR="00961B1A" w:rsidRPr="00C94C09">
              <w:rPr>
                <w:rFonts w:ascii="Times New Roman" w:hAnsi="Times New Roman" w:cs="Times New Roman"/>
                <w:sz w:val="18"/>
                <w:szCs w:val="18"/>
              </w:rPr>
              <w:fldChar w:fldCharType="begin" w:fldLock="1"/>
            </w:r>
            <w:r w:rsidR="00F5292F">
              <w:rPr>
                <w:rFonts w:ascii="Times New Roman" w:hAnsi="Times New Roman" w:cs="Times New Roman"/>
                <w:sz w:val="18"/>
                <w:szCs w:val="18"/>
              </w:rPr>
              <w:instrText>ADDIN CSL_CITATION {"citationItems":[{"id":"ITEM-1","itemData":{"DOI":"10.1016/j.ympev.2018.07.012","ISSN":"10959513","abstract":"Target enrichment is a cost-effective sequencing technique that holds promise for elucidating evolutionary relationships in fast-evolving lineages. However, potential biases and impact of bioinformatic sequence treatments in phylogenetic inference have not been thoroughly explored yet. Here, we investigate this issue with an ultimate goal to shed light into a highly diversified group of Compositae (Asteraceae) constituted by four main genera: Arctium, Cousinia, Saussurea, and Jurinea. Specifically, we compared sequence data extraction methods implemented in two easy-to-use workflows, PHYLUCE and HybPiper, and assessed the impact of two filtering practices intended to reduce phylogenetic noise. In addition, we compared two phylogenetic inference methods: (1) the concatenation approach, in which all loci were concatenated in a supermatrix; and (2) the coalescence approach, in which gene trees were produced independently and then used to construct a species tree under coalescence assumptions. Here we confirm the usefulness of the set of 1061 COS targets (a nuclear conserved orthology loci set developed for the Compositae) across a variety of taxonomic levels. Intergeneric relationships were completely resolved: there are two sister groups, Arctium-Cousinia and Saussurea-Jurinea, which are in agreement with a morphological hypothesis. Intrageneric relationships among species of Arctium, Cousinia, and Saussurea are also well defined. Conversely, conflicting species relationships remain for Jurinea. Methodological choices significantly affected phylogenies in terms of topology, branch length, and support. Across all analyses, the phylogeny obtained using HybPiper and the strictest scheme of removing fast-evolving sites was estimated as the optimal. Regarding methodological choices, we conclude that: (1) trees obtained under the coalescence approach are topologically more congruent between them than those inferred using the concatenation approach; (2) refining treatments only improved support values under the concatenation approach; and (3) branch support values are maximized when fast-evolving sites are removed in the concatenation approach, and when a higher number of loci is analyzed in the coalescence approach.","author":[{"dropping-particle":"","family":"Herrando-Moraira","given":"Sonia","non-dropping-particle":"","parse-names":false,"suffix":""},{"dropping-particle":"","family":"Calleja","given":"Juan Antonio","non-dropping-particle":"","parse-names":false,"suffix":""},{"dropping-particle":"","family":"Carnicero","given":"Pau","non-dropping-particle":"","parse-names":false,"suffix":""},{"dropping-particle":"","family":"Fujikawa","given":"Kazumi","non-dropping-particle":"","parse-names":false,"suffix":""},{"dropping-particle":"","family":"Galbany-Casals","given":"Mercè","non-dropping-particle":"","parse-names":false,"suffix":""},{"dropping-particle":"","family":"Garcia-Jacas","given":"Núria","non-dropping-particle":"","parse-names":false,"suffix":""},{"dropping-particle":"","family":"Im","given":"Hyoung Tak","non-dropping-particle":"","parse-names":false,"suffix":""},{"dropping-particle":"","family":"Kim","given":"Seung Chul","non-dropping-particle":"","parse-names":false,"suffix":""},{"dropping-particle":"","family":"Liu","given":"Jian Quan","non-dropping-particle":"","parse-names":false,"suffix":""},{"dropping-particle":"","family":"López-Alvarado","given":"Javier","non-dropping-particle":"","parse-names":false,"suffix":""},{"dropping-particle":"","family":"López-Pujol","given":"Jordi","non-dropping-particle":"","parse-names":false,"suffix":""},{"dropping-particle":"","family":"Mandel","given":"Jennifer R.","non-dropping-particle":"","parse-names":false,"suffix":""},{"dropping-particle":"","family":"Massó","given":"Sergi","non-dropping-particle":"","parse-names":false,"suffix":""},{"dropping-particle":"","family":"Mehregan","given":"Iraj","non-dropping-particle":"","parse-names":false,"suffix":""},{"dropping-particle":"","family":"Montes-Moreno","given":"Noemí","non-dropping-particle":"","parse-names":false,"suffix":""},{"dropping-particle":"","family":"Pyak","given":"Elizaveta","non-dropping-particle":"","parse-names":false,"suffix":""},{"dropping-particle":"","family":"Roquet","given":"Cristina","non-dropping-particle":"","parse-names":false,"suffix":""},{"dropping-particle":"","family":"Sáez","given":"Llorenç","non-dropping-particle":"","parse-names":false,"suffix":""},{"dropping-particle":"","family":"Sennikov","given":"Alexander","non-dropping-particle":"","parse-names":false,"suffix":""},{"dropping-particle":"","family":"Susanna","given":"Alfonso","non-dropping-particle":"","parse-names":false,"suffix":""},{"dropping-particle":"","family":"Vilatersana","given":"Roser","non-dropping-particle":"","parse-names":false,"suffix":""}],"container-title":"Molecular Phylogenetics and Evolution","id":"ITEM-1","issue":"July","issued":{"date-parts":[["2018"]]},"page":"69-87","publisher":"Elsevier","title":"Exploring data processing strategies in NGS target enrichment to disentangle radiations in the tribe Cardueae (Compositae)","type":"article-journal","volume":"128"},"uris":["http://www.mendeley.com/documents/?uuid=028d8b67-2df0-4ff6-83df-1f960bdb1262"]}],"mendeley":{"formattedCitation":"&lt;sup&gt;7&lt;/sup&gt;","plainTextFormattedCitation":"7","previouslyFormattedCitation":"(7)"},"properties":{"noteIndex":0},"schema":"https://github.com/citation-style-language/schema/raw/master/csl-citation.json"}</w:instrText>
            </w:r>
            <w:r w:rsidR="00961B1A" w:rsidRPr="00C94C09">
              <w:rPr>
                <w:rFonts w:ascii="Times New Roman" w:hAnsi="Times New Roman" w:cs="Times New Roman"/>
                <w:sz w:val="18"/>
                <w:szCs w:val="18"/>
              </w:rPr>
              <w:fldChar w:fldCharType="separate"/>
            </w:r>
            <w:r w:rsidR="00F5292F" w:rsidRPr="00F5292F">
              <w:rPr>
                <w:rFonts w:ascii="Times New Roman" w:hAnsi="Times New Roman" w:cs="Times New Roman"/>
                <w:noProof/>
                <w:sz w:val="18"/>
                <w:szCs w:val="18"/>
                <w:vertAlign w:val="superscript"/>
              </w:rPr>
              <w:t>7</w:t>
            </w:r>
            <w:r w:rsidR="00961B1A" w:rsidRPr="00C94C09">
              <w:rPr>
                <w:rFonts w:ascii="Times New Roman" w:hAnsi="Times New Roman" w:cs="Times New Roman"/>
                <w:sz w:val="18"/>
                <w:szCs w:val="18"/>
              </w:rPr>
              <w:fldChar w:fldCharType="end"/>
            </w:r>
          </w:p>
        </w:tc>
      </w:tr>
      <w:tr w:rsidR="00CE14EE" w:rsidRPr="00B47FB5" w:rsidTr="00C52690">
        <w:trPr>
          <w:trHeight w:val="300"/>
        </w:trPr>
        <w:tc>
          <w:tcPr>
            <w:tcW w:w="2405" w:type="dxa"/>
            <w:tcBorders>
              <w:top w:val="nil"/>
              <w:left w:val="nil"/>
              <w:bottom w:val="nil"/>
              <w:right w:val="nil"/>
            </w:tcBorders>
            <w:noWrap/>
            <w:vAlign w:val="center"/>
            <w:hideMark/>
          </w:tcPr>
          <w:p w:rsidR="009329A8" w:rsidRPr="00C94C09" w:rsidRDefault="009329A8" w:rsidP="009329A8">
            <w:pPr>
              <w:rPr>
                <w:rFonts w:ascii="Times New Roman" w:hAnsi="Times New Roman" w:cs="Times New Roman"/>
                <w:color w:val="000000"/>
                <w:sz w:val="18"/>
                <w:szCs w:val="18"/>
              </w:rPr>
            </w:pPr>
            <w:proofErr w:type="spellStart"/>
            <w:r w:rsidRPr="00C94C09">
              <w:rPr>
                <w:rFonts w:ascii="Times New Roman" w:hAnsi="Times New Roman" w:cs="Times New Roman"/>
                <w:color w:val="000000"/>
                <w:sz w:val="18"/>
                <w:szCs w:val="18"/>
              </w:rPr>
              <w:t>Caryophyllales</w:t>
            </w:r>
            <w:proofErr w:type="spellEnd"/>
          </w:p>
        </w:tc>
        <w:tc>
          <w:tcPr>
            <w:tcW w:w="2131"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 xml:space="preserve">Plant: </w:t>
            </w:r>
            <w:proofErr w:type="spellStart"/>
            <w:r w:rsidRPr="00C94C09">
              <w:rPr>
                <w:rFonts w:ascii="Times New Roman" w:hAnsi="Times New Roman" w:cs="Times New Roman"/>
                <w:sz w:val="18"/>
                <w:szCs w:val="18"/>
              </w:rPr>
              <w:t>Caryophyllales</w:t>
            </w:r>
            <w:proofErr w:type="spellEnd"/>
          </w:p>
        </w:tc>
        <w:tc>
          <w:tcPr>
            <w:tcW w:w="1276"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Order</w:t>
            </w:r>
          </w:p>
        </w:tc>
        <w:tc>
          <w:tcPr>
            <w:tcW w:w="70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95</w:t>
            </w:r>
          </w:p>
        </w:tc>
        <w:tc>
          <w:tcPr>
            <w:tcW w:w="70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1122</w:t>
            </w:r>
          </w:p>
        </w:tc>
        <w:tc>
          <w:tcPr>
            <w:tcW w:w="155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Transcriptome</w:t>
            </w:r>
          </w:p>
        </w:tc>
        <w:tc>
          <w:tcPr>
            <w:tcW w:w="850"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AA</w:t>
            </w:r>
          </w:p>
        </w:tc>
        <w:tc>
          <w:tcPr>
            <w:tcW w:w="4111" w:type="dxa"/>
            <w:tcBorders>
              <w:top w:val="nil"/>
              <w:left w:val="nil"/>
              <w:bottom w:val="nil"/>
              <w:right w:val="nil"/>
            </w:tcBorders>
            <w:noWrap/>
            <w:hideMark/>
          </w:tcPr>
          <w:p w:rsidR="009329A8" w:rsidRPr="00C94C09" w:rsidRDefault="009329A8" w:rsidP="00F5292F">
            <w:pPr>
              <w:rPr>
                <w:rFonts w:ascii="Times New Roman" w:hAnsi="Times New Roman" w:cs="Times New Roman"/>
                <w:sz w:val="18"/>
                <w:szCs w:val="18"/>
              </w:rPr>
            </w:pPr>
            <w:r w:rsidRPr="00C94C09">
              <w:rPr>
                <w:rFonts w:ascii="Times New Roman" w:hAnsi="Times New Roman" w:cs="Times New Roman"/>
                <w:sz w:val="18"/>
                <w:szCs w:val="18"/>
              </w:rPr>
              <w:t xml:space="preserve">Yang et al. </w:t>
            </w:r>
            <w:proofErr w:type="spellStart"/>
            <w:r w:rsidRPr="00C94C09">
              <w:rPr>
                <w:rFonts w:ascii="Times New Roman" w:hAnsi="Times New Roman" w:cs="Times New Roman"/>
                <w:sz w:val="18"/>
                <w:szCs w:val="18"/>
              </w:rPr>
              <w:t>Mol</w:t>
            </w:r>
            <w:proofErr w:type="spellEnd"/>
            <w:r w:rsidRPr="00C94C09">
              <w:rPr>
                <w:rFonts w:ascii="Times New Roman" w:hAnsi="Times New Roman" w:cs="Times New Roman"/>
                <w:sz w:val="18"/>
                <w:szCs w:val="18"/>
              </w:rPr>
              <w:t xml:space="preserve"> </w:t>
            </w:r>
            <w:proofErr w:type="spellStart"/>
            <w:r w:rsidRPr="00C94C09">
              <w:rPr>
                <w:rFonts w:ascii="Times New Roman" w:hAnsi="Times New Roman" w:cs="Times New Roman"/>
                <w:sz w:val="18"/>
                <w:szCs w:val="18"/>
              </w:rPr>
              <w:t>Biol</w:t>
            </w:r>
            <w:proofErr w:type="spellEnd"/>
            <w:r w:rsidRPr="00C94C09">
              <w:rPr>
                <w:rFonts w:ascii="Times New Roman" w:hAnsi="Times New Roman" w:cs="Times New Roman"/>
                <w:sz w:val="18"/>
                <w:szCs w:val="18"/>
              </w:rPr>
              <w:t xml:space="preserve"> </w:t>
            </w:r>
            <w:proofErr w:type="spellStart"/>
            <w:r w:rsidRPr="00C94C09">
              <w:rPr>
                <w:rFonts w:ascii="Times New Roman" w:hAnsi="Times New Roman" w:cs="Times New Roman"/>
                <w:sz w:val="18"/>
                <w:szCs w:val="18"/>
              </w:rPr>
              <w:t>Evol</w:t>
            </w:r>
            <w:proofErr w:type="spellEnd"/>
            <w:r w:rsidRPr="00C94C09">
              <w:rPr>
                <w:rFonts w:ascii="Times New Roman" w:hAnsi="Times New Roman" w:cs="Times New Roman"/>
                <w:sz w:val="18"/>
                <w:szCs w:val="18"/>
              </w:rPr>
              <w:t>, 2015</w:t>
            </w:r>
            <w:r w:rsidR="00873122">
              <w:rPr>
                <w:rFonts w:ascii="Times New Roman" w:hAnsi="Times New Roman" w:cs="Times New Roman"/>
                <w:sz w:val="18"/>
                <w:szCs w:val="18"/>
              </w:rPr>
              <w:t xml:space="preserve"> </w:t>
            </w:r>
            <w:r w:rsidR="00961B1A" w:rsidRPr="00C94C09">
              <w:rPr>
                <w:rFonts w:ascii="Times New Roman" w:hAnsi="Times New Roman" w:cs="Times New Roman"/>
                <w:sz w:val="18"/>
                <w:szCs w:val="18"/>
              </w:rPr>
              <w:fldChar w:fldCharType="begin" w:fldLock="1"/>
            </w:r>
            <w:r w:rsidR="00F5292F">
              <w:rPr>
                <w:rFonts w:ascii="Times New Roman" w:hAnsi="Times New Roman" w:cs="Times New Roman"/>
                <w:sz w:val="18"/>
                <w:szCs w:val="18"/>
              </w:rPr>
              <w:instrText>ADDIN CSL_CITATION {"citationItems":[{"id":"ITEM-1","itemData":{"DOI":"10.1093/molbev/msv081","ISSN":"15371719","abstract":"Many phylogenomic studies based on transcriptomes have been limited to \"single-copy\" genes due to methodological challenges in homology and orthology inferences. Only a relatively small number of studies have explored analyses beyond reconstructing species relationships. We sampled 69 transcriptomes in the hyperdiverse plant clade Caryophyllales and 27 outgroups from annotated genomes across eudicots. Using a combined similarity- and phylogenetic tree-based approach, we recovered 10,960 homolog groups, where each was represented by at least eight ingroup taxa. By decomposing these homolog trees, and taking gene duplications into account, we obtained 17,273 ortholog groups, where each was represented by at least ten ingroup taxa. We reconstructed the species phylogeny using a 1,122- gene data set with a gene occupancy of 92.1%. From the homolog trees, we found that both synonymous and nonsynonymous substitution rates in herbaceous lineages are up to three times as fast as in their woody relatives. This is the first time such a pattern has been shown across thousands of nuclear genes with dense taxon sampling. We also pinpointed regions of the Caryophyllales tree that were characterized by relatively high frequencies of gene duplication, including three previously unrecognized whole-genome duplications. By further combining information from homolog tree topology and synonymous distance between paralog pairs, phylogenetic locations for 13 putative genome duplication events were identified. Genes that experienced the greatest gene family expansion were concentrated among those involved in signal transduction and oxidoreduction, including a cytochrome P450 gene that encodes a key enzyme in the betalain synthesis pathway. Our approach demonstrates a new approach for functional phylogenomic analysis in nonmodel species that is based on homolog groups in addition to inferred ortholog groups.","author":[{"dropping-particle":"","family":"Yang","given":"Ya","non-dropping-particle":"","parse-names":false,"suffix":""},{"dropping-particle":"","family":"Moore","given":"Michael J.","non-dropping-particle":"","parse-names":false,"suffix":""},{"dropping-particle":"","family":"Brockington","given":"Samuel F.","non-dropping-particle":"","parse-names":false,"suffix":""},{"dropping-particle":"","family":"Soltis","given":"Douglas E.","non-dropping-particle":"","parse-names":false,"suffix":""},{"dropping-particle":"","family":"Wong","given":"Gane Ka Shu","non-dropping-particle":"","parse-names":false,"suffix":""},{"dropping-particle":"","family":"Carpenter","given":"Eric J.","non-dropping-particle":"","parse-names":false,"suffix":""},{"dropping-particle":"","family":"Zhang","given":"Yong","non-dropping-particle":"","parse-names":false,"suffix":""},{"dropping-particle":"","family":"Chen","given":"Li","non-dropping-particle":"","parse-names":false,"suffix":""},{"dropping-particle":"","family":"Yan","given":"Zhixiang","non-dropping-particle":"","parse-names":false,"suffix":""},{"dropping-particle":"","family":"Xie","given":"Yinlong","non-dropping-particle":"","parse-names":false,"suffix":""},{"dropping-particle":"","family":"Sage","given":"Rowan F.","non-dropping-particle":"","parse-names":false,"suffix":""},{"dropping-particle":"","family":"Covshoff","given":"Sarah","non-dropping-particle":"","parse-names":false,"suffix":""},{"dropping-particle":"","family":"Hibberd","given":"Julian M.","non-dropping-particle":"","parse-names":false,"suffix":""},{"dropping-particle":"","family":"Nelson","given":"Matthew N.","non-dropping-particle":"","parse-names":false,"suffix":""},{"dropping-particle":"","family":"Smith","given":"Stephen A.","non-dropping-particle":"","parse-names":false,"suffix":""}],"container-title":"Molecular Biology and Evolution","id":"ITEM-1","issue":"8","issued":{"date-parts":[["2015"]]},"page":"2001-2014","title":"Dissecting molecular evolution in the highly diverse plant clade caryophyllales using transcriptome sequencing","type":"article-journal","volume":"32"},"uris":["http://www.mendeley.com/documents/?uuid=5069e9fb-5192-496a-b37f-e55a6eb242fd"]}],"mendeley":{"formattedCitation":"&lt;sup&gt;8&lt;/sup&gt;","plainTextFormattedCitation":"8","previouslyFormattedCitation":"(8)"},"properties":{"noteIndex":0},"schema":"https://github.com/citation-style-language/schema/raw/master/csl-citation.json"}</w:instrText>
            </w:r>
            <w:r w:rsidR="00961B1A" w:rsidRPr="00C94C09">
              <w:rPr>
                <w:rFonts w:ascii="Times New Roman" w:hAnsi="Times New Roman" w:cs="Times New Roman"/>
                <w:sz w:val="18"/>
                <w:szCs w:val="18"/>
              </w:rPr>
              <w:fldChar w:fldCharType="separate"/>
            </w:r>
            <w:r w:rsidR="00F5292F" w:rsidRPr="00F5292F">
              <w:rPr>
                <w:rFonts w:ascii="Times New Roman" w:hAnsi="Times New Roman" w:cs="Times New Roman"/>
                <w:noProof/>
                <w:sz w:val="18"/>
                <w:szCs w:val="18"/>
                <w:vertAlign w:val="superscript"/>
              </w:rPr>
              <w:t>8</w:t>
            </w:r>
            <w:r w:rsidR="00961B1A" w:rsidRPr="00C94C09">
              <w:rPr>
                <w:rFonts w:ascii="Times New Roman" w:hAnsi="Times New Roman" w:cs="Times New Roman"/>
                <w:sz w:val="18"/>
                <w:szCs w:val="18"/>
              </w:rPr>
              <w:fldChar w:fldCharType="end"/>
            </w:r>
          </w:p>
        </w:tc>
      </w:tr>
      <w:tr w:rsidR="00CE14EE" w:rsidRPr="00B47FB5" w:rsidTr="00C52690">
        <w:trPr>
          <w:trHeight w:val="300"/>
        </w:trPr>
        <w:tc>
          <w:tcPr>
            <w:tcW w:w="2405" w:type="dxa"/>
            <w:tcBorders>
              <w:top w:val="nil"/>
              <w:left w:val="nil"/>
              <w:bottom w:val="nil"/>
              <w:right w:val="nil"/>
            </w:tcBorders>
            <w:noWrap/>
            <w:vAlign w:val="center"/>
            <w:hideMark/>
          </w:tcPr>
          <w:p w:rsidR="009329A8" w:rsidRPr="00C94C09" w:rsidRDefault="009329A8" w:rsidP="009329A8">
            <w:pPr>
              <w:rPr>
                <w:rFonts w:ascii="Times New Roman" w:hAnsi="Times New Roman" w:cs="Times New Roman"/>
                <w:color w:val="000000"/>
                <w:sz w:val="18"/>
                <w:szCs w:val="18"/>
              </w:rPr>
            </w:pPr>
            <w:r w:rsidRPr="00C94C09">
              <w:rPr>
                <w:rFonts w:ascii="Times New Roman" w:hAnsi="Times New Roman" w:cs="Times New Roman"/>
                <w:color w:val="000000"/>
                <w:sz w:val="18"/>
                <w:szCs w:val="18"/>
              </w:rPr>
              <w:t>Green-Plants</w:t>
            </w:r>
          </w:p>
        </w:tc>
        <w:tc>
          <w:tcPr>
            <w:tcW w:w="2131"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Plant: Green plants</w:t>
            </w:r>
          </w:p>
        </w:tc>
        <w:tc>
          <w:tcPr>
            <w:tcW w:w="1276"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Phylum</w:t>
            </w:r>
          </w:p>
        </w:tc>
        <w:tc>
          <w:tcPr>
            <w:tcW w:w="70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1178</w:t>
            </w:r>
          </w:p>
        </w:tc>
        <w:tc>
          <w:tcPr>
            <w:tcW w:w="70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410</w:t>
            </w:r>
          </w:p>
        </w:tc>
        <w:tc>
          <w:tcPr>
            <w:tcW w:w="155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Transcriptome</w:t>
            </w:r>
          </w:p>
        </w:tc>
        <w:tc>
          <w:tcPr>
            <w:tcW w:w="850"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AA</w:t>
            </w:r>
          </w:p>
        </w:tc>
        <w:tc>
          <w:tcPr>
            <w:tcW w:w="4111" w:type="dxa"/>
            <w:tcBorders>
              <w:top w:val="nil"/>
              <w:left w:val="nil"/>
              <w:bottom w:val="nil"/>
              <w:right w:val="nil"/>
            </w:tcBorders>
            <w:noWrap/>
            <w:hideMark/>
          </w:tcPr>
          <w:p w:rsidR="009329A8" w:rsidRPr="00C94C09" w:rsidRDefault="009329A8" w:rsidP="00F5292F">
            <w:pPr>
              <w:rPr>
                <w:rFonts w:ascii="Times New Roman" w:hAnsi="Times New Roman" w:cs="Times New Roman"/>
                <w:sz w:val="18"/>
                <w:szCs w:val="18"/>
              </w:rPr>
            </w:pPr>
            <w:r w:rsidRPr="00C94C09">
              <w:rPr>
                <w:rFonts w:ascii="Times New Roman" w:hAnsi="Times New Roman" w:cs="Times New Roman"/>
                <w:sz w:val="18"/>
                <w:szCs w:val="18"/>
              </w:rPr>
              <w:t>1KP Initiative 2019, Nature</w:t>
            </w:r>
            <w:r w:rsidR="00873122">
              <w:rPr>
                <w:rFonts w:ascii="Times New Roman" w:hAnsi="Times New Roman" w:cs="Times New Roman"/>
                <w:sz w:val="18"/>
                <w:szCs w:val="18"/>
              </w:rPr>
              <w:t xml:space="preserve"> </w:t>
            </w:r>
            <w:r w:rsidR="00961B1A" w:rsidRPr="00C94C09">
              <w:rPr>
                <w:rFonts w:ascii="Times New Roman" w:hAnsi="Times New Roman" w:cs="Times New Roman"/>
                <w:sz w:val="18"/>
                <w:szCs w:val="18"/>
              </w:rPr>
              <w:fldChar w:fldCharType="begin" w:fldLock="1"/>
            </w:r>
            <w:r w:rsidR="00F5292F">
              <w:rPr>
                <w:rFonts w:ascii="Times New Roman" w:hAnsi="Times New Roman" w:cs="Times New Roman"/>
                <w:sz w:val="18"/>
                <w:szCs w:val="18"/>
              </w:rPr>
              <w:instrText>ADDIN CSL_CITATION {"citationItems":[{"id":"ITEM-1","itemData":{"DOI":"10.1038/s41586-019-1693-2","ISBN":"4158601916","ISSN":"1476-4687","PMID":"31645766","abstract":"Green plants (Viridiplantae) include around 450,000-500,000 species1,2 of great diversity and have important roles in terrestrial and aquatic ecosystems. Here, as part of the One Thousand Plant Transcriptomes Initiative, we sequenced the vegetative transcriptomes of 1,124 species that span the diversity of plants in a broad sense (Archaeplastida), including green plants (Viridiplantae), glaucophytes (Glaucophyta) and red algae (Rhodophyta). Our analysis provides a robust phylogenomic framework for examining the evolution of green plants. Most inferred species relationships are well supported across multiple species tree and supermatrix analyses, but discordance among plastid and nuclear gene trees at a few important nodes highlights the complexity of plant genome evolution, including polyploidy, periods of rapid speciation, and extinction. Incomplete sorting of ancestral variation, polyploidization and massive expansions of gene families punctuate the evolutionary history of green plants. Notably, we find that large expansions of gene families preceded the origins of green plants, land plants and vascular plants, whereas whole-genome duplications are inferred to have occurred repeatedly throughout the evolution of flowering plants and ferns. The increasing availability of high-quality plant genome sequences and advances in functional genomics are enabling research on genome evolution across the green tree of life.","author":[{"dropping-particle":"","family":"One Thousand Plant Transcriptomes Initiative","given":"","non-dropping-particle":"","parse-names":false,"suffix":""}],"container-title":"Nature","id":"ITEM-1","issue":"7780","issued":{"date-parts":[["2019","10","23"]]},"page":"679-685","title":"One thousand plant transcriptomes and the phylogenomics of green plants.","type":"article-journal","volume":"574"},"uris":["http://www.mendeley.com/documents/?uuid=45e9f029-1288-47f5-8472-7d3cfcb335a6"]}],"mendeley":{"formattedCitation":"&lt;sup&gt;9&lt;/sup&gt;","plainTextFormattedCitation":"9","previouslyFormattedCitation":"(9)"},"properties":{"noteIndex":0},"schema":"https://github.com/citation-style-language/schema/raw/master/csl-citation.json"}</w:instrText>
            </w:r>
            <w:r w:rsidR="00961B1A" w:rsidRPr="00C94C09">
              <w:rPr>
                <w:rFonts w:ascii="Times New Roman" w:hAnsi="Times New Roman" w:cs="Times New Roman"/>
                <w:sz w:val="18"/>
                <w:szCs w:val="18"/>
              </w:rPr>
              <w:fldChar w:fldCharType="separate"/>
            </w:r>
            <w:r w:rsidR="00F5292F" w:rsidRPr="00F5292F">
              <w:rPr>
                <w:rFonts w:ascii="Times New Roman" w:hAnsi="Times New Roman" w:cs="Times New Roman"/>
                <w:noProof/>
                <w:sz w:val="18"/>
                <w:szCs w:val="18"/>
                <w:vertAlign w:val="superscript"/>
              </w:rPr>
              <w:t>9</w:t>
            </w:r>
            <w:r w:rsidR="00961B1A" w:rsidRPr="00C94C09">
              <w:rPr>
                <w:rFonts w:ascii="Times New Roman" w:hAnsi="Times New Roman" w:cs="Times New Roman"/>
                <w:sz w:val="18"/>
                <w:szCs w:val="18"/>
              </w:rPr>
              <w:fldChar w:fldCharType="end"/>
            </w:r>
          </w:p>
        </w:tc>
      </w:tr>
      <w:tr w:rsidR="00CE14EE" w:rsidRPr="00B47FB5" w:rsidTr="00C52690">
        <w:trPr>
          <w:trHeight w:val="300"/>
        </w:trPr>
        <w:tc>
          <w:tcPr>
            <w:tcW w:w="2405" w:type="dxa"/>
            <w:tcBorders>
              <w:top w:val="nil"/>
              <w:left w:val="nil"/>
              <w:bottom w:val="nil"/>
              <w:right w:val="nil"/>
            </w:tcBorders>
            <w:noWrap/>
            <w:vAlign w:val="center"/>
            <w:hideMark/>
          </w:tcPr>
          <w:p w:rsidR="009329A8" w:rsidRPr="00C94C09" w:rsidRDefault="009329A8" w:rsidP="009329A8">
            <w:pPr>
              <w:rPr>
                <w:rFonts w:ascii="Times New Roman" w:hAnsi="Times New Roman" w:cs="Times New Roman"/>
                <w:color w:val="000000"/>
                <w:sz w:val="18"/>
                <w:szCs w:val="18"/>
              </w:rPr>
            </w:pPr>
            <w:proofErr w:type="spellStart"/>
            <w:r w:rsidRPr="00C94C09">
              <w:rPr>
                <w:rFonts w:ascii="Times New Roman" w:hAnsi="Times New Roman" w:cs="Times New Roman"/>
                <w:color w:val="000000"/>
                <w:sz w:val="18"/>
                <w:szCs w:val="18"/>
              </w:rPr>
              <w:t>Jaltomata</w:t>
            </w:r>
            <w:proofErr w:type="spellEnd"/>
          </w:p>
        </w:tc>
        <w:tc>
          <w:tcPr>
            <w:tcW w:w="2131"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 xml:space="preserve">Plant: </w:t>
            </w:r>
            <w:proofErr w:type="spellStart"/>
            <w:r w:rsidRPr="00C94C09">
              <w:rPr>
                <w:rFonts w:ascii="Times New Roman" w:hAnsi="Times New Roman" w:cs="Times New Roman"/>
                <w:sz w:val="18"/>
                <w:szCs w:val="18"/>
              </w:rPr>
              <w:t>Jaltomata</w:t>
            </w:r>
            <w:proofErr w:type="spellEnd"/>
          </w:p>
        </w:tc>
        <w:tc>
          <w:tcPr>
            <w:tcW w:w="1276"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Genus</w:t>
            </w:r>
          </w:p>
        </w:tc>
        <w:tc>
          <w:tcPr>
            <w:tcW w:w="70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15</w:t>
            </w:r>
          </w:p>
        </w:tc>
        <w:tc>
          <w:tcPr>
            <w:tcW w:w="70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6431</w:t>
            </w:r>
          </w:p>
        </w:tc>
        <w:tc>
          <w:tcPr>
            <w:tcW w:w="155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Transcriptome</w:t>
            </w:r>
          </w:p>
        </w:tc>
        <w:tc>
          <w:tcPr>
            <w:tcW w:w="850"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DNA</w:t>
            </w:r>
          </w:p>
        </w:tc>
        <w:tc>
          <w:tcPr>
            <w:tcW w:w="4111" w:type="dxa"/>
            <w:tcBorders>
              <w:top w:val="nil"/>
              <w:left w:val="nil"/>
              <w:bottom w:val="nil"/>
              <w:right w:val="nil"/>
            </w:tcBorders>
            <w:noWrap/>
            <w:hideMark/>
          </w:tcPr>
          <w:p w:rsidR="009329A8" w:rsidRPr="00C94C09" w:rsidRDefault="009329A8" w:rsidP="00F5292F">
            <w:pPr>
              <w:rPr>
                <w:rFonts w:ascii="Times New Roman" w:hAnsi="Times New Roman" w:cs="Times New Roman"/>
                <w:sz w:val="18"/>
                <w:szCs w:val="18"/>
              </w:rPr>
            </w:pPr>
            <w:r w:rsidRPr="00C94C09">
              <w:rPr>
                <w:rFonts w:ascii="Times New Roman" w:hAnsi="Times New Roman" w:cs="Times New Roman"/>
                <w:sz w:val="18"/>
                <w:szCs w:val="18"/>
              </w:rPr>
              <w:t xml:space="preserve">Wu et al. </w:t>
            </w:r>
            <w:proofErr w:type="spellStart"/>
            <w:r w:rsidRPr="00C94C09">
              <w:rPr>
                <w:rFonts w:ascii="Times New Roman" w:hAnsi="Times New Roman" w:cs="Times New Roman"/>
                <w:sz w:val="18"/>
                <w:szCs w:val="18"/>
              </w:rPr>
              <w:t>Mol</w:t>
            </w:r>
            <w:proofErr w:type="spellEnd"/>
            <w:r w:rsidRPr="00C94C09">
              <w:rPr>
                <w:rFonts w:ascii="Times New Roman" w:hAnsi="Times New Roman" w:cs="Times New Roman"/>
                <w:sz w:val="18"/>
                <w:szCs w:val="18"/>
              </w:rPr>
              <w:t xml:space="preserve"> </w:t>
            </w:r>
            <w:proofErr w:type="spellStart"/>
            <w:r w:rsidRPr="00C94C09">
              <w:rPr>
                <w:rFonts w:ascii="Times New Roman" w:hAnsi="Times New Roman" w:cs="Times New Roman"/>
                <w:sz w:val="18"/>
                <w:szCs w:val="18"/>
              </w:rPr>
              <w:t>Ecol</w:t>
            </w:r>
            <w:proofErr w:type="spellEnd"/>
            <w:r w:rsidRPr="00C94C09">
              <w:rPr>
                <w:rFonts w:ascii="Times New Roman" w:hAnsi="Times New Roman" w:cs="Times New Roman"/>
                <w:sz w:val="18"/>
                <w:szCs w:val="18"/>
              </w:rPr>
              <w:t>, 2018</w:t>
            </w:r>
            <w:r w:rsidR="00873122">
              <w:rPr>
                <w:rFonts w:ascii="Times New Roman" w:hAnsi="Times New Roman" w:cs="Times New Roman"/>
                <w:sz w:val="18"/>
                <w:szCs w:val="18"/>
              </w:rPr>
              <w:t xml:space="preserve"> </w:t>
            </w:r>
            <w:r w:rsidR="00961B1A" w:rsidRPr="00C94C09">
              <w:rPr>
                <w:rFonts w:ascii="Times New Roman" w:hAnsi="Times New Roman" w:cs="Times New Roman"/>
                <w:sz w:val="18"/>
                <w:szCs w:val="18"/>
              </w:rPr>
              <w:fldChar w:fldCharType="begin" w:fldLock="1"/>
            </w:r>
            <w:r w:rsidR="00F5292F">
              <w:rPr>
                <w:rFonts w:ascii="Times New Roman" w:hAnsi="Times New Roman" w:cs="Times New Roman"/>
                <w:sz w:val="18"/>
                <w:szCs w:val="18"/>
              </w:rPr>
              <w:instrText>ADDIN CSL_CITATION {"citationItems":[{"id":"ITEM-1","itemData":{"DOI":"10.1111/mec.14780","ISSN":"1365294X","PMID":"29953708","abstract":"Phylogenetic analyses of trait evolution can provide insight into the evolutionary processes that initiate and drive phenotypic diversification. However, recent phylogenomic studies have revealed extensive gene tree–species tree discordance, which can lead to incorrect inferences of trait evolution if only a single species tree is used for analysis. This phenomenon—dubbed “hemiplasy”—is particularly important to consider during analyses of character evolution in rapidly radiating groups, where discordance is widespread. Here, we generate whole-transcriptome data for a phylogenetic analysis of 14 species in the plant genus Jaltomata (the sister clade to Solanum), which has experienced rapid, recent trait evolution, including in fruit and nectar colour, and flower size and shape. Consistent with other radiations, we find evidence for rampant gene tree discordance due to incomplete lineage sorting (ILS) and to introgression events among the well-supported subclades. As both ILS and introgression increase the probability of hemiplasy, we perform several analyses that take discordance into account while identifying genes that might contribute to phenotypic evolution. Despite discordance, the history of fruit colour evolution in Jaltomata can be inferred with high confidence, and we find evidence of de novo adaptive evolution at individual genes associated with fruit colour variation. In contrast, hemiplasy appears to strongly affect inferences about floral character transitions in Jaltomata, and we identify candidate loci that could arise either from multiple lineage-specific substitutions or standing ancestral polymorphisms. Our analysis provides a generalizable example of how to manage discordance when identifying loci associated with trait evolution in a radiating lineage.","author":[{"dropping-particle":"","family":"Wu","given":"Meng","non-dropping-particle":"","parse-names":false,"suffix":""},{"dropping-particle":"","family":"Kostyun","given":"Jamie L.","non-dropping-particle":"","parse-names":false,"suffix":""},{"dropping-particle":"","family":"Hahn","given":"Matthew W.","non-dropping-particle":"","parse-names":false,"suffix":""},{"dropping-particle":"","family":"Moyle","given":"Leonie C.","non-dropping-particle":"","parse-names":false,"suffix":""}],"container-title":"Molecular Ecology","id":"ITEM-1","issue":"16","issued":{"date-parts":[["2018"]]},"page":"3301-3316","title":"Dissecting the basis of novel trait evolution in a radiation with widespread phylogenetic discordance","type":"article-journal","volume":"27"},"uris":["http://www.mendeley.com/documents/?uuid=43f97523-1975-4ed6-8e1f-b666ebd88188"]}],"mendeley":{"formattedCitation":"&lt;sup&gt;10&lt;/sup&gt;","plainTextFormattedCitation":"10","previouslyFormattedCitation":"(10)"},"properties":{"noteIndex":0},"schema":"https://github.com/citation-style-language/schema/raw/master/csl-citation.json"}</w:instrText>
            </w:r>
            <w:r w:rsidR="00961B1A" w:rsidRPr="00C94C09">
              <w:rPr>
                <w:rFonts w:ascii="Times New Roman" w:hAnsi="Times New Roman" w:cs="Times New Roman"/>
                <w:sz w:val="18"/>
                <w:szCs w:val="18"/>
              </w:rPr>
              <w:fldChar w:fldCharType="separate"/>
            </w:r>
            <w:r w:rsidR="00F5292F" w:rsidRPr="00F5292F">
              <w:rPr>
                <w:rFonts w:ascii="Times New Roman" w:hAnsi="Times New Roman" w:cs="Times New Roman"/>
                <w:noProof/>
                <w:sz w:val="18"/>
                <w:szCs w:val="18"/>
                <w:vertAlign w:val="superscript"/>
              </w:rPr>
              <w:t>10</w:t>
            </w:r>
            <w:r w:rsidR="00961B1A" w:rsidRPr="00C94C09">
              <w:rPr>
                <w:rFonts w:ascii="Times New Roman" w:hAnsi="Times New Roman" w:cs="Times New Roman"/>
                <w:sz w:val="18"/>
                <w:szCs w:val="18"/>
              </w:rPr>
              <w:fldChar w:fldCharType="end"/>
            </w:r>
          </w:p>
        </w:tc>
      </w:tr>
      <w:tr w:rsidR="00CE14EE" w:rsidRPr="00B47FB5" w:rsidTr="00C52690">
        <w:trPr>
          <w:trHeight w:val="300"/>
        </w:trPr>
        <w:tc>
          <w:tcPr>
            <w:tcW w:w="2405" w:type="dxa"/>
            <w:tcBorders>
              <w:top w:val="nil"/>
              <w:left w:val="nil"/>
              <w:bottom w:val="nil"/>
              <w:right w:val="nil"/>
            </w:tcBorders>
            <w:noWrap/>
            <w:vAlign w:val="center"/>
            <w:hideMark/>
          </w:tcPr>
          <w:p w:rsidR="009329A8" w:rsidRPr="00C94C09" w:rsidRDefault="009329A8" w:rsidP="009329A8">
            <w:pPr>
              <w:rPr>
                <w:rFonts w:ascii="宋体" w:hAnsi="宋体" w:cs="宋体"/>
                <w:color w:val="000000"/>
                <w:sz w:val="18"/>
                <w:szCs w:val="18"/>
              </w:rPr>
            </w:pPr>
            <w:proofErr w:type="spellStart"/>
            <w:r w:rsidRPr="00C94C09">
              <w:rPr>
                <w:rFonts w:hint="eastAsia"/>
                <w:color w:val="000000"/>
                <w:sz w:val="18"/>
                <w:szCs w:val="18"/>
              </w:rPr>
              <w:t>Protea</w:t>
            </w:r>
            <w:proofErr w:type="spellEnd"/>
          </w:p>
        </w:tc>
        <w:tc>
          <w:tcPr>
            <w:tcW w:w="2131"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 xml:space="preserve">Plant: </w:t>
            </w:r>
            <w:proofErr w:type="spellStart"/>
            <w:r w:rsidRPr="00C94C09">
              <w:rPr>
                <w:rFonts w:ascii="Times New Roman" w:hAnsi="Times New Roman" w:cs="Times New Roman"/>
                <w:sz w:val="18"/>
                <w:szCs w:val="18"/>
              </w:rPr>
              <w:t>Protea</w:t>
            </w:r>
            <w:proofErr w:type="spellEnd"/>
          </w:p>
        </w:tc>
        <w:tc>
          <w:tcPr>
            <w:tcW w:w="1276"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Genus</w:t>
            </w:r>
          </w:p>
        </w:tc>
        <w:tc>
          <w:tcPr>
            <w:tcW w:w="70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65</w:t>
            </w:r>
          </w:p>
        </w:tc>
        <w:tc>
          <w:tcPr>
            <w:tcW w:w="70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498</w:t>
            </w:r>
          </w:p>
        </w:tc>
        <w:tc>
          <w:tcPr>
            <w:tcW w:w="155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AHE</w:t>
            </w:r>
          </w:p>
        </w:tc>
        <w:tc>
          <w:tcPr>
            <w:tcW w:w="850"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DNA</w:t>
            </w:r>
          </w:p>
        </w:tc>
        <w:tc>
          <w:tcPr>
            <w:tcW w:w="4111" w:type="dxa"/>
            <w:tcBorders>
              <w:top w:val="nil"/>
              <w:left w:val="nil"/>
              <w:bottom w:val="nil"/>
              <w:right w:val="nil"/>
            </w:tcBorders>
            <w:noWrap/>
            <w:hideMark/>
          </w:tcPr>
          <w:p w:rsidR="009329A8" w:rsidRPr="00C94C09" w:rsidRDefault="009329A8" w:rsidP="00F5292F">
            <w:pPr>
              <w:rPr>
                <w:rFonts w:ascii="Times New Roman" w:hAnsi="Times New Roman" w:cs="Times New Roman"/>
                <w:sz w:val="18"/>
                <w:szCs w:val="18"/>
              </w:rPr>
            </w:pPr>
            <w:r w:rsidRPr="00C94C09">
              <w:rPr>
                <w:rFonts w:ascii="Times New Roman" w:hAnsi="Times New Roman" w:cs="Times New Roman"/>
                <w:sz w:val="18"/>
                <w:szCs w:val="18"/>
              </w:rPr>
              <w:t>Mitchell et al. American Journal of Botany, 2017</w:t>
            </w:r>
            <w:r w:rsidR="00873122">
              <w:rPr>
                <w:rFonts w:ascii="Times New Roman" w:hAnsi="Times New Roman" w:cs="Times New Roman"/>
                <w:sz w:val="18"/>
                <w:szCs w:val="18"/>
              </w:rPr>
              <w:t xml:space="preserve"> </w:t>
            </w:r>
            <w:r w:rsidR="00961B1A" w:rsidRPr="00C94C09">
              <w:rPr>
                <w:rFonts w:ascii="Times New Roman" w:hAnsi="Times New Roman" w:cs="Times New Roman"/>
                <w:sz w:val="18"/>
                <w:szCs w:val="18"/>
              </w:rPr>
              <w:fldChar w:fldCharType="begin" w:fldLock="1"/>
            </w:r>
            <w:r w:rsidR="00F5292F">
              <w:rPr>
                <w:rFonts w:ascii="Times New Roman" w:hAnsi="Times New Roman" w:cs="Times New Roman"/>
                <w:sz w:val="18"/>
                <w:szCs w:val="18"/>
              </w:rPr>
              <w:instrText>ADDIN CSL_CITATION {"citationItems":[{"id":"ITEM-1","itemData":{"DOI":"10.3732/ajb.1600227","ISSN":"00029122","abstract":"PREMISE OF THE STUDY: Estimating phylogenetic relationships in relatively recent evolutionary radiations is challenging, especially if short branches associated with recent divergence result in multiple gene tree histories. We combine anchored enrichment next-generation sequencing with species tree analyses to produce a robust estimate of phylogenetic relationships in the genus Protea (Proteaceae), an iconic radiation in South Africa. METHODS: We sampled multiple individuals within 59 out of 112 species of Protea and 6 outgroup species for a total of 163 individuals, and obtained sequences for 498 low-copy, orthologous nuclear loci using anchored phylogenomics. We compare several approaches for building species trees, and explore gene tree–species tree discrepancies to determine whether poor phylogenetic resolution reflects a lack of informative sites, incomplete lineage sorting, or hybridization. KEY RESULTS: Phylogenetic estimates from species tree approaches are similar to one another and recover previously well-supported clades within Protea, in addition to providing well-supported phylogenetic hypotheses for previously poorly resolved intrageneric relationships. Individual gene trees are markedly different from one another and from species trees. Nonetheless, analyses indicate that differences among gene trees occur primarily concerning clades supported by short branches. CONCLUSIONS: Species tree methods using hundreds of nuclear loci provided strong support for many previously unresolved relationships in the radiation of the genus Protea. In cases where support for particular relationships remains low, these appear to arise from few informative sites and lack of information rather than strongly supported disagreement among gene trees.","author":[{"dropping-particle":"","family":"Mitchell","given":"Nora","non-dropping-particle":"","parse-names":false,"suffix":""},{"dropping-particle":"","family":"Lewis","given":"Paul O.","non-dropping-particle":"","parse-names":false,"suffix":""},{"dropping-particle":"","family":"Lemmon","given":"Emily Moriarty","non-dropping-particle":"","parse-names":false,"suffix":""},{"dropping-particle":"","family":"Lemmon","given":"Alan R.","non-dropping-particle":"","parse-names":false,"suffix":""},{"dropping-particle":"","family":"Holsinger","given":"Kent E.","non-dropping-particle":"","parse-names":false,"suffix":""}],"container-title":"American Journal of Botany","id":"ITEM-1","issue":"1","issued":{"date-parts":[["2017"]]},"page":"102-115","title":"Anchored phylogenomics improves the resolution of evolutionary relationships in the rapid radiation of &lt;i&gt;protea&lt;/i&gt; L.","type":"article-journal","volume":"104"},"uris":["http://www.mendeley.com/documents/?uuid=09e48250-8480-4419-a5f5-ad4f4738832f"]}],"mendeley":{"formattedCitation":"&lt;sup&gt;11&lt;/sup&gt;","plainTextFormattedCitation":"11","previouslyFormattedCitation":"(11)"},"properties":{"noteIndex":0},"schema":"https://github.com/citation-style-language/schema/raw/master/csl-citation.json"}</w:instrText>
            </w:r>
            <w:r w:rsidR="00961B1A" w:rsidRPr="00C94C09">
              <w:rPr>
                <w:rFonts w:ascii="Times New Roman" w:hAnsi="Times New Roman" w:cs="Times New Roman"/>
                <w:sz w:val="18"/>
                <w:szCs w:val="18"/>
              </w:rPr>
              <w:fldChar w:fldCharType="separate"/>
            </w:r>
            <w:r w:rsidR="00F5292F" w:rsidRPr="00F5292F">
              <w:rPr>
                <w:rFonts w:ascii="Times New Roman" w:hAnsi="Times New Roman" w:cs="Times New Roman"/>
                <w:noProof/>
                <w:sz w:val="18"/>
                <w:szCs w:val="18"/>
                <w:vertAlign w:val="superscript"/>
              </w:rPr>
              <w:t>11</w:t>
            </w:r>
            <w:r w:rsidR="00961B1A" w:rsidRPr="00C94C09">
              <w:rPr>
                <w:rFonts w:ascii="Times New Roman" w:hAnsi="Times New Roman" w:cs="Times New Roman"/>
                <w:sz w:val="18"/>
                <w:szCs w:val="18"/>
              </w:rPr>
              <w:fldChar w:fldCharType="end"/>
            </w:r>
          </w:p>
        </w:tc>
      </w:tr>
      <w:tr w:rsidR="00CE14EE" w:rsidRPr="00B47FB5" w:rsidTr="00C52690">
        <w:trPr>
          <w:trHeight w:val="300"/>
        </w:trPr>
        <w:tc>
          <w:tcPr>
            <w:tcW w:w="2405" w:type="dxa"/>
            <w:tcBorders>
              <w:top w:val="nil"/>
              <w:left w:val="nil"/>
              <w:bottom w:val="nil"/>
              <w:right w:val="nil"/>
            </w:tcBorders>
            <w:noWrap/>
            <w:vAlign w:val="center"/>
            <w:hideMark/>
          </w:tcPr>
          <w:p w:rsidR="009329A8" w:rsidRPr="00C94C09" w:rsidRDefault="009329A8" w:rsidP="009329A8">
            <w:pPr>
              <w:rPr>
                <w:rFonts w:ascii="Times New Roman" w:hAnsi="Times New Roman" w:cs="Times New Roman"/>
                <w:color w:val="000000"/>
                <w:sz w:val="18"/>
                <w:szCs w:val="18"/>
              </w:rPr>
            </w:pPr>
            <w:proofErr w:type="spellStart"/>
            <w:r w:rsidRPr="00C94C09">
              <w:rPr>
                <w:rFonts w:ascii="Times New Roman" w:hAnsi="Times New Roman" w:cs="Times New Roman"/>
                <w:color w:val="000000"/>
                <w:sz w:val="18"/>
                <w:szCs w:val="18"/>
              </w:rPr>
              <w:t>Aspergillaceae</w:t>
            </w:r>
            <w:proofErr w:type="spellEnd"/>
          </w:p>
        </w:tc>
        <w:tc>
          <w:tcPr>
            <w:tcW w:w="2131"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 xml:space="preserve">Fungi: </w:t>
            </w:r>
            <w:proofErr w:type="spellStart"/>
            <w:r w:rsidRPr="00C94C09">
              <w:rPr>
                <w:rFonts w:ascii="Times New Roman" w:hAnsi="Times New Roman" w:cs="Times New Roman"/>
                <w:sz w:val="18"/>
                <w:szCs w:val="18"/>
              </w:rPr>
              <w:t>Aspergillaceae</w:t>
            </w:r>
            <w:proofErr w:type="spellEnd"/>
          </w:p>
        </w:tc>
        <w:tc>
          <w:tcPr>
            <w:tcW w:w="1276"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Order</w:t>
            </w:r>
          </w:p>
        </w:tc>
        <w:tc>
          <w:tcPr>
            <w:tcW w:w="70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93</w:t>
            </w:r>
          </w:p>
        </w:tc>
        <w:tc>
          <w:tcPr>
            <w:tcW w:w="70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1668</w:t>
            </w:r>
          </w:p>
        </w:tc>
        <w:tc>
          <w:tcPr>
            <w:tcW w:w="155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Genome</w:t>
            </w:r>
          </w:p>
        </w:tc>
        <w:tc>
          <w:tcPr>
            <w:tcW w:w="850"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DNA</w:t>
            </w:r>
          </w:p>
        </w:tc>
        <w:tc>
          <w:tcPr>
            <w:tcW w:w="4111" w:type="dxa"/>
            <w:tcBorders>
              <w:top w:val="nil"/>
              <w:left w:val="nil"/>
              <w:bottom w:val="nil"/>
              <w:right w:val="nil"/>
            </w:tcBorders>
            <w:noWrap/>
            <w:hideMark/>
          </w:tcPr>
          <w:p w:rsidR="009329A8" w:rsidRPr="00C94C09" w:rsidRDefault="009329A8" w:rsidP="00F5292F">
            <w:pPr>
              <w:rPr>
                <w:rFonts w:ascii="Times New Roman" w:hAnsi="Times New Roman" w:cs="Times New Roman"/>
                <w:sz w:val="18"/>
                <w:szCs w:val="18"/>
              </w:rPr>
            </w:pPr>
            <w:r w:rsidRPr="00C94C09">
              <w:rPr>
                <w:rFonts w:ascii="Times New Roman" w:hAnsi="Times New Roman" w:cs="Times New Roman"/>
                <w:sz w:val="18"/>
                <w:szCs w:val="18"/>
              </w:rPr>
              <w:t xml:space="preserve">Steenwyk et al. </w:t>
            </w:r>
            <w:proofErr w:type="spellStart"/>
            <w:r w:rsidRPr="00C94C09">
              <w:rPr>
                <w:rFonts w:ascii="Times New Roman" w:hAnsi="Times New Roman" w:cs="Times New Roman"/>
                <w:sz w:val="18"/>
                <w:szCs w:val="18"/>
              </w:rPr>
              <w:t>mBio</w:t>
            </w:r>
            <w:proofErr w:type="spellEnd"/>
            <w:r w:rsidRPr="00C94C09">
              <w:rPr>
                <w:rFonts w:ascii="Times New Roman" w:hAnsi="Times New Roman" w:cs="Times New Roman"/>
                <w:sz w:val="18"/>
                <w:szCs w:val="18"/>
              </w:rPr>
              <w:t>, 2019</w:t>
            </w:r>
            <w:r w:rsidR="00873122">
              <w:rPr>
                <w:rFonts w:ascii="Times New Roman" w:hAnsi="Times New Roman" w:cs="Times New Roman"/>
                <w:sz w:val="18"/>
                <w:szCs w:val="18"/>
              </w:rPr>
              <w:t xml:space="preserve"> </w:t>
            </w:r>
            <w:r w:rsidR="00961B1A" w:rsidRPr="00C94C09">
              <w:rPr>
                <w:rFonts w:ascii="Times New Roman" w:hAnsi="Times New Roman" w:cs="Times New Roman"/>
                <w:sz w:val="18"/>
                <w:szCs w:val="18"/>
              </w:rPr>
              <w:fldChar w:fldCharType="begin" w:fldLock="1"/>
            </w:r>
            <w:r w:rsidR="00F5292F">
              <w:rPr>
                <w:rFonts w:ascii="Times New Roman" w:hAnsi="Times New Roman" w:cs="Times New Roman"/>
                <w:sz w:val="18"/>
                <w:szCs w:val="18"/>
              </w:rPr>
              <w:instrText>ADDIN CSL_CITATION {"citationItems":[{"id":"ITEM-1","itemData":{"DOI":"10.1128/mBio.00925-19","ISSN":"2150-7511","abstract":"The filamentous fungal family Aspergillaceae contains &gt;1,000 known species, mostly in the genera Aspergillus and Penicillium . Several species are used in the food, biotechnology, and drug industries (e.g., Aspergillus oryzae and Penicillium camemberti ), while others are dangerous human and plant pathogens (e.g., Aspergillus fumigatus and Penicillium digitatum ). To infer a robust phylogeny and pinpoint poorly resolved branches and their likely underlying contributors, we used 81 genomes spanning the diversity of Aspergillus and Penicillium to construct a 1,668-gene data matrix. Phylogenies of the nucleotide and amino acid versions of this full data matrix as well as of several additional data matrices were generated using three different maximum likelihood schemes (i.e., gene-partitioned, unpartitioned, and coalescence) and using both site-homogenous and site-heterogeneous models (total of 64 species-level phylogenies). Examination of the topological agreement among these phylogenies and measures of internode certainty identified 11/78 (14.1%) bipartitions that were incongruent and pinpointed the likely underlying contributing factors, which included incomplete lineage sorting, hidden paralogy, hybridization or introgression, and reconstruction artifacts associated with poor taxon sampling. Relaxed molecular clock analyses suggest that Aspergillaceae likely originated in the lower Cretaceous and that the Aspergillus and Penicillium genera originated in the upper Cretaceous. Our results shed light on the ongoing debate on Aspergillus systematics and taxonomy and provide a robust evolutionary and temporal framework for comparative genomic analyses in Aspergillaceae . More broadly, our approach provides a general template for phylogenomic identification of resolved and contentious branches in densely genome-sequenced lineages across the tree of life.","author":[{"dropping-particle":"","family":"Steenwyk","given":"Jacob L","non-dropping-particle":"","parse-names":false,"suffix":""},{"dropping-particle":"","family":"Shen","given":"Xing-Xing","non-dropping-particle":"","parse-names":false,"suffix":""},{"dropping-particle":"","family":"Lind","given":"Abigail L.","non-dropping-particle":"","parse-names":false,"suffix":""},{"dropping-particle":"","family":"Goldman","given":"Gustavo H.","non-dropping-particle":"","parse-names":false,"suffix":""},{"dropping-particle":"","family":"Rokas","given":"Antonis","non-dropping-particle":"","parse-names":false,"suffix":""}],"container-title":"mBio","editor":[{"dropping-particle":"","family":"Boyle","given":"Jon P.","non-dropping-particle":"","parse-names":false,"suffix":""}],"id":"ITEM-1","issue":"4","issued":{"date-parts":[["2019","7","9"]]},"page":"1-25","title":"A Robust Phylogenomic Time Tree for Biotechnologically and Medically Important Fungi in the Genera &lt;i&gt;Aspergillus&lt;/i&gt; and &lt;i&gt;Penicillium&lt;/i&gt;","type":"article-journal","volume":"10"},"uris":["http://www.mendeley.com/documents/?uuid=1ac3cc79-f8d3-4044-b0dd-f56bcba43c44"]}],"mendeley":{"formattedCitation":"&lt;sup&gt;12&lt;/sup&gt;","plainTextFormattedCitation":"12","previouslyFormattedCitation":"(12)"},"properties":{"noteIndex":0},"schema":"https://github.com/citation-style-language/schema/raw/master/csl-citation.json"}</w:instrText>
            </w:r>
            <w:r w:rsidR="00961B1A" w:rsidRPr="00C94C09">
              <w:rPr>
                <w:rFonts w:ascii="Times New Roman" w:hAnsi="Times New Roman" w:cs="Times New Roman"/>
                <w:sz w:val="18"/>
                <w:szCs w:val="18"/>
              </w:rPr>
              <w:fldChar w:fldCharType="separate"/>
            </w:r>
            <w:r w:rsidR="00F5292F" w:rsidRPr="00F5292F">
              <w:rPr>
                <w:rFonts w:ascii="Times New Roman" w:hAnsi="Times New Roman" w:cs="Times New Roman"/>
                <w:noProof/>
                <w:sz w:val="18"/>
                <w:szCs w:val="18"/>
                <w:vertAlign w:val="superscript"/>
              </w:rPr>
              <w:t>12</w:t>
            </w:r>
            <w:r w:rsidR="00961B1A" w:rsidRPr="00C94C09">
              <w:rPr>
                <w:rFonts w:ascii="Times New Roman" w:hAnsi="Times New Roman" w:cs="Times New Roman"/>
                <w:sz w:val="18"/>
                <w:szCs w:val="18"/>
              </w:rPr>
              <w:fldChar w:fldCharType="end"/>
            </w:r>
          </w:p>
        </w:tc>
      </w:tr>
      <w:tr w:rsidR="00CE14EE" w:rsidRPr="00B47FB5" w:rsidTr="00C52690">
        <w:trPr>
          <w:trHeight w:val="300"/>
        </w:trPr>
        <w:tc>
          <w:tcPr>
            <w:tcW w:w="2405" w:type="dxa"/>
            <w:tcBorders>
              <w:top w:val="nil"/>
              <w:left w:val="nil"/>
              <w:bottom w:val="nil"/>
              <w:right w:val="nil"/>
            </w:tcBorders>
            <w:noWrap/>
            <w:vAlign w:val="center"/>
            <w:hideMark/>
          </w:tcPr>
          <w:p w:rsidR="009329A8" w:rsidRPr="00C94C09" w:rsidRDefault="009329A8" w:rsidP="009329A8">
            <w:pPr>
              <w:rPr>
                <w:rFonts w:ascii="Times New Roman" w:hAnsi="Times New Roman" w:cs="Times New Roman"/>
                <w:color w:val="000000"/>
                <w:sz w:val="18"/>
                <w:szCs w:val="18"/>
              </w:rPr>
            </w:pPr>
            <w:r w:rsidRPr="00C94C09">
              <w:rPr>
                <w:rFonts w:ascii="Times New Roman" w:hAnsi="Times New Roman" w:cs="Times New Roman"/>
                <w:color w:val="000000"/>
                <w:sz w:val="18"/>
                <w:szCs w:val="18"/>
              </w:rPr>
              <w:t>Saccharomycotina-Cell</w:t>
            </w:r>
          </w:p>
        </w:tc>
        <w:tc>
          <w:tcPr>
            <w:tcW w:w="2131"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Fungi: Budding yeasts</w:t>
            </w:r>
          </w:p>
        </w:tc>
        <w:tc>
          <w:tcPr>
            <w:tcW w:w="1276"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Subphylum</w:t>
            </w:r>
          </w:p>
        </w:tc>
        <w:tc>
          <w:tcPr>
            <w:tcW w:w="70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343</w:t>
            </w:r>
          </w:p>
        </w:tc>
        <w:tc>
          <w:tcPr>
            <w:tcW w:w="70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2408</w:t>
            </w:r>
          </w:p>
        </w:tc>
        <w:tc>
          <w:tcPr>
            <w:tcW w:w="155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Genome</w:t>
            </w:r>
          </w:p>
        </w:tc>
        <w:tc>
          <w:tcPr>
            <w:tcW w:w="850"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AA</w:t>
            </w:r>
          </w:p>
        </w:tc>
        <w:tc>
          <w:tcPr>
            <w:tcW w:w="4111" w:type="dxa"/>
            <w:tcBorders>
              <w:top w:val="nil"/>
              <w:left w:val="nil"/>
              <w:bottom w:val="nil"/>
              <w:right w:val="nil"/>
            </w:tcBorders>
            <w:noWrap/>
            <w:hideMark/>
          </w:tcPr>
          <w:p w:rsidR="009329A8" w:rsidRPr="00C94C09" w:rsidRDefault="009329A8" w:rsidP="00F5292F">
            <w:pPr>
              <w:rPr>
                <w:rFonts w:ascii="Times New Roman" w:hAnsi="Times New Roman" w:cs="Times New Roman"/>
                <w:sz w:val="18"/>
                <w:szCs w:val="18"/>
              </w:rPr>
            </w:pPr>
            <w:r w:rsidRPr="00C94C09">
              <w:rPr>
                <w:rFonts w:ascii="Times New Roman" w:hAnsi="Times New Roman" w:cs="Times New Roman"/>
                <w:sz w:val="18"/>
                <w:szCs w:val="18"/>
              </w:rPr>
              <w:t>Shen et al. 2018, Cell</w:t>
            </w:r>
            <w:r w:rsidR="00873122">
              <w:rPr>
                <w:rFonts w:ascii="Times New Roman" w:hAnsi="Times New Roman" w:cs="Times New Roman"/>
                <w:sz w:val="18"/>
                <w:szCs w:val="18"/>
              </w:rPr>
              <w:t xml:space="preserve"> </w:t>
            </w:r>
            <w:r w:rsidR="00961B1A" w:rsidRPr="00C94C09">
              <w:rPr>
                <w:rFonts w:ascii="Times New Roman" w:hAnsi="Times New Roman" w:cs="Times New Roman"/>
                <w:sz w:val="18"/>
                <w:szCs w:val="18"/>
              </w:rPr>
              <w:fldChar w:fldCharType="begin" w:fldLock="1"/>
            </w:r>
            <w:r w:rsidR="00F5292F">
              <w:rPr>
                <w:rFonts w:ascii="Times New Roman" w:hAnsi="Times New Roman" w:cs="Times New Roman"/>
                <w:sz w:val="18"/>
                <w:szCs w:val="18"/>
              </w:rPr>
              <w:instrText>ADDIN CSL_CITATION {"citationItems":[{"id":"ITEM-1","itemData":{"DOI":"10.1016/j.cell.2018.10.023","ISSN":"1097-4172","PMID":"30415838","abstract":"Budding yeasts (subphylum Saccharomycotina) are found in every biome and are as genetically diverse as plants or animals. To understand budding yeast evolution, we analyzed the genomes of 332 yeast species, including 220 newly sequenced ones, which represent nearly one-third of all known budding yeast diversity. Here, we establish a robust genus-level phylogeny comprising 12 major clades, infer the timescale of diversification from the Devonian period to the present, quantify horizontal gene transfer (HGT), and reconstruct the evolution of 45 metabolic traits and the metabolic toolkit of the budding yeast common ancestor (BYCA). We infer that BYCA was metabolically complex and chronicle the tempo and mode of genomic and phenotypic evolution across the subphylum, which is characterized by very low HGT levels and widespread losses of traits and the genes that control them. More generally, our results argue that reductive evolution is a major mode of evolutionary diversification.","author":[{"dropping-particle":"","family":"Shen","given":"Xing-Xing","non-dropping-particle":"","parse-names":false,"suffix":""},{"dropping-particle":"","family":"Opulente","given":"Dana A.","non-dropping-particle":"","parse-names":false,"suffix":""},{"dropping-particle":"","family":"Kominek","given":"Jacek","non-dropping-particle":"","parse-names":false,"suffix":""},{"dropping-particle":"","family":"Zhou","given":"Xiaofan","non-dropping-particle":"","parse-names":false,"suffix":""},{"dropping-particle":"","family":"Steenwyk","given":"Jacob L.","non-dropping-particle":"","parse-names":false,"suffix":""},{"dropping-particle":"V.","family":"Buh","given":"Kelly","non-dropping-particle":"","parse-names":false,"suffix":""},{"dropping-particle":"","family":"Haase","given":"Max A B","non-dropping-particle":"","parse-names":false,"suffix":""},{"dropping-particle":"","family":"Wisecaver","given":"Jennifer H.","non-dropping-particle":"","parse-names":false,"suffix":""},{"dropping-particle":"","family":"Wang","given":"Mingshuang","non-dropping-particle":"","parse-names":false,"suffix":""},{"dropping-particle":"","family":"Doering","given":"Drew T.","non-dropping-particle":"","parse-names":false,"suffix":""},{"dropping-particle":"","family":"Boudouris","given":"James T.","non-dropping-particle":"","parse-names":false,"suffix":""},{"dropping-particle":"","family":"Schneider","given":"Rachel M.","non-dropping-particle":"","parse-names":false,"suffix":""},{"dropping-particle":"","family":"Langdon","given":"Quinn K.","non-dropping-particle":"","parse-names":false,"suffix":""},{"dropping-particle":"","family":"Ohkuma","given":"Moriya","non-dropping-particle":"","parse-names":false,"suffix":""},{"dropping-particle":"","family":"Endoh","given":"Rikiya","non-dropping-particle":"","parse-names":false,"suffix":""},{"dropping-particle":"","family":"Takashima","given":"Masako","non-dropping-particle":"","parse-names":false,"suffix":""},{"dropping-particle":"","family":"Manabe","given":"Ri-ichiroh","non-dropping-particle":"","parse-names":false,"suffix":""},{"dropping-particle":"","family":"Čadež","given":"Neža","non-dropping-particle":"","parse-names":false,"suffix":""},{"dropping-particle":"","family":"Libkind","given":"Diego","non-dropping-particle":"","parse-names":false,"suffix":""},{"dropping-particle":"","family":"Rosa","given":"Carlos A.","non-dropping-particle":"","parse-names":false,"suffix":""},{"dropping-particle":"","family":"DeVirgilio","given":"Jeremy","non-dropping-particle":"","parse-names":false,"suffix":""},{"dropping-particle":"","family":"Hulfachor","given":"Amanda Beth","non-dropping-particle":"","parse-names":false,"suffix":""},{"dropping-particle":"","family":"Groenewald","given":"Marizeth","non-dropping-particle":"","parse-names":false,"suffix":""},{"dropping-particle":"","family":"Kurtzman","given":"Cletus P.","non-dropping-particle":"","parse-names":false,"suffix":""},{"dropping-particle":"","family":"Hittinger","given":"Chris Todd","non-dropping-particle":"","parse-names":false,"suffix":""},{"dropping-particle":"","family":"Rokas","given":"Antonis","non-dropping-particle":"","parse-names":false,"suffix":""}],"container-title":"Cell","id":"ITEM-1","issue":"6","issued":{"date-parts":[["2018","11","29"]]},"page":"1533-1545","title":"Tempo and Mode of Genome Evolution in the Budding Yeast Subphylum.","type":"article-journal","volume":"175"},"uris":["http://www.mendeley.com/documents/?uuid=a7ebdfd6-2bfd-4f71-b152-0012d6e14743"]}],"mendeley":{"formattedCitation":"&lt;sup&gt;13&lt;/sup&gt;","plainTextFormattedCitation":"13","previouslyFormattedCitation":"(13)"},"properties":{"noteIndex":0},"schema":"https://github.com/citation-style-language/schema/raw/master/csl-citation.json"}</w:instrText>
            </w:r>
            <w:r w:rsidR="00961B1A" w:rsidRPr="00C94C09">
              <w:rPr>
                <w:rFonts w:ascii="Times New Roman" w:hAnsi="Times New Roman" w:cs="Times New Roman"/>
                <w:sz w:val="18"/>
                <w:szCs w:val="18"/>
              </w:rPr>
              <w:fldChar w:fldCharType="separate"/>
            </w:r>
            <w:r w:rsidR="00F5292F" w:rsidRPr="00F5292F">
              <w:rPr>
                <w:rFonts w:ascii="Times New Roman" w:hAnsi="Times New Roman" w:cs="Times New Roman"/>
                <w:noProof/>
                <w:sz w:val="18"/>
                <w:szCs w:val="18"/>
                <w:vertAlign w:val="superscript"/>
              </w:rPr>
              <w:t>13</w:t>
            </w:r>
            <w:r w:rsidR="00961B1A" w:rsidRPr="00C94C09">
              <w:rPr>
                <w:rFonts w:ascii="Times New Roman" w:hAnsi="Times New Roman" w:cs="Times New Roman"/>
                <w:sz w:val="18"/>
                <w:szCs w:val="18"/>
              </w:rPr>
              <w:fldChar w:fldCharType="end"/>
            </w:r>
          </w:p>
        </w:tc>
      </w:tr>
      <w:tr w:rsidR="00CE14EE" w:rsidRPr="00B47FB5" w:rsidTr="00C52690">
        <w:trPr>
          <w:trHeight w:val="236"/>
        </w:trPr>
        <w:tc>
          <w:tcPr>
            <w:tcW w:w="2405" w:type="dxa"/>
            <w:tcBorders>
              <w:top w:val="nil"/>
              <w:left w:val="nil"/>
              <w:bottom w:val="nil"/>
              <w:right w:val="nil"/>
            </w:tcBorders>
            <w:noWrap/>
            <w:vAlign w:val="center"/>
            <w:hideMark/>
          </w:tcPr>
          <w:p w:rsidR="009329A8" w:rsidRPr="00C94C09" w:rsidRDefault="009329A8" w:rsidP="009329A8">
            <w:pPr>
              <w:rPr>
                <w:rFonts w:ascii="Times New Roman" w:hAnsi="Times New Roman" w:cs="Times New Roman"/>
                <w:color w:val="000000"/>
                <w:sz w:val="18"/>
                <w:szCs w:val="18"/>
              </w:rPr>
            </w:pPr>
            <w:proofErr w:type="spellStart"/>
            <w:r w:rsidRPr="00C94C09">
              <w:rPr>
                <w:rFonts w:ascii="Times New Roman" w:hAnsi="Times New Roman" w:cs="Times New Roman"/>
                <w:color w:val="000000"/>
                <w:sz w:val="18"/>
                <w:szCs w:val="18"/>
              </w:rPr>
              <w:t>Hanseniaspora</w:t>
            </w:r>
            <w:proofErr w:type="spellEnd"/>
          </w:p>
        </w:tc>
        <w:tc>
          <w:tcPr>
            <w:tcW w:w="2131"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 xml:space="preserve">Fungi: </w:t>
            </w:r>
            <w:proofErr w:type="spellStart"/>
            <w:r w:rsidRPr="00C94C09">
              <w:rPr>
                <w:rFonts w:ascii="Times New Roman" w:hAnsi="Times New Roman" w:cs="Times New Roman"/>
                <w:sz w:val="18"/>
                <w:szCs w:val="18"/>
              </w:rPr>
              <w:t>Hanseniaspora</w:t>
            </w:r>
            <w:proofErr w:type="spellEnd"/>
          </w:p>
        </w:tc>
        <w:tc>
          <w:tcPr>
            <w:tcW w:w="1276"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Family</w:t>
            </w:r>
          </w:p>
        </w:tc>
        <w:tc>
          <w:tcPr>
            <w:tcW w:w="70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29</w:t>
            </w:r>
          </w:p>
        </w:tc>
        <w:tc>
          <w:tcPr>
            <w:tcW w:w="70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1033</w:t>
            </w:r>
          </w:p>
        </w:tc>
        <w:tc>
          <w:tcPr>
            <w:tcW w:w="1559"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Genome</w:t>
            </w:r>
          </w:p>
        </w:tc>
        <w:tc>
          <w:tcPr>
            <w:tcW w:w="850" w:type="dxa"/>
            <w:tcBorders>
              <w:top w:val="nil"/>
              <w:left w:val="nil"/>
              <w:bottom w:val="nil"/>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AA</w:t>
            </w:r>
          </w:p>
        </w:tc>
        <w:tc>
          <w:tcPr>
            <w:tcW w:w="4111" w:type="dxa"/>
            <w:tcBorders>
              <w:top w:val="nil"/>
              <w:left w:val="nil"/>
              <w:bottom w:val="nil"/>
              <w:right w:val="nil"/>
            </w:tcBorders>
            <w:noWrap/>
            <w:hideMark/>
          </w:tcPr>
          <w:p w:rsidR="009329A8" w:rsidRPr="00C94C09" w:rsidRDefault="009329A8" w:rsidP="00F5292F">
            <w:pPr>
              <w:rPr>
                <w:rFonts w:ascii="Times New Roman" w:hAnsi="Times New Roman" w:cs="Times New Roman"/>
                <w:sz w:val="18"/>
                <w:szCs w:val="18"/>
              </w:rPr>
            </w:pPr>
            <w:r w:rsidRPr="00C94C09">
              <w:rPr>
                <w:rFonts w:ascii="Times New Roman" w:hAnsi="Times New Roman" w:cs="Times New Roman"/>
                <w:sz w:val="18"/>
                <w:szCs w:val="18"/>
              </w:rPr>
              <w:t xml:space="preserve">Steenwyk et al. </w:t>
            </w:r>
            <w:proofErr w:type="spellStart"/>
            <w:r w:rsidRPr="00C94C09">
              <w:rPr>
                <w:rFonts w:ascii="Times New Roman" w:hAnsi="Times New Roman" w:cs="Times New Roman"/>
                <w:sz w:val="18"/>
                <w:szCs w:val="18"/>
              </w:rPr>
              <w:t>PloS</w:t>
            </w:r>
            <w:proofErr w:type="spellEnd"/>
            <w:r w:rsidRPr="00C94C09">
              <w:rPr>
                <w:rFonts w:ascii="Times New Roman" w:hAnsi="Times New Roman" w:cs="Times New Roman"/>
                <w:sz w:val="18"/>
                <w:szCs w:val="18"/>
              </w:rPr>
              <w:t xml:space="preserve"> </w:t>
            </w:r>
            <w:proofErr w:type="spellStart"/>
            <w:r w:rsidRPr="00C94C09">
              <w:rPr>
                <w:rFonts w:ascii="Times New Roman" w:hAnsi="Times New Roman" w:cs="Times New Roman"/>
                <w:sz w:val="18"/>
                <w:szCs w:val="18"/>
              </w:rPr>
              <w:t>Biol</w:t>
            </w:r>
            <w:proofErr w:type="spellEnd"/>
            <w:r w:rsidRPr="00C94C09">
              <w:rPr>
                <w:rFonts w:ascii="Times New Roman" w:hAnsi="Times New Roman" w:cs="Times New Roman"/>
                <w:sz w:val="18"/>
                <w:szCs w:val="18"/>
              </w:rPr>
              <w:t>, 2019</w:t>
            </w:r>
            <w:r w:rsidR="00873122">
              <w:rPr>
                <w:rFonts w:ascii="Times New Roman" w:hAnsi="Times New Roman" w:cs="Times New Roman"/>
                <w:sz w:val="18"/>
                <w:szCs w:val="18"/>
              </w:rPr>
              <w:t xml:space="preserve"> </w:t>
            </w:r>
            <w:r w:rsidR="00961B1A" w:rsidRPr="00C94C09">
              <w:rPr>
                <w:rFonts w:ascii="Times New Roman" w:hAnsi="Times New Roman" w:cs="Times New Roman"/>
                <w:sz w:val="18"/>
                <w:szCs w:val="18"/>
              </w:rPr>
              <w:fldChar w:fldCharType="begin" w:fldLock="1"/>
            </w:r>
            <w:r w:rsidR="00F5292F">
              <w:rPr>
                <w:rFonts w:ascii="Times New Roman" w:hAnsi="Times New Roman" w:cs="Times New Roman"/>
                <w:sz w:val="18"/>
                <w:szCs w:val="18"/>
              </w:rPr>
              <w:instrText>ADDIN CSL_CITATION {"citationItems":[{"id":"ITEM-1","itemData":{"DOI":"10.1371/journal.pbio.3000255","ISSN":"1545-7885","PMID":"31112549","abstract":"Cell-cycle checkpoints and DNA repair processes protect organisms from potentially lethal mutational damage. Compared to other budding yeasts in the subphylum Saccharomycotina, we noticed that a lineage in the genus Hanseniaspora exhibited very high evolutionary rates, low Guanine-Cytosine (GC) content, small genome sizes, and lower gene numbers. To better understand Hanseniaspora evolution, we analyzed 25 genomes, including 11 newly sequenced, representing 18/21 known species in the genus. Our phylogenomic analyses identify two Hanseniaspora lineages, a faster-evolving lineage (FEL), which began diversifying approximately 87 million years ago (mya), and a slower-evolving lineage (SEL), which began diversifying approximately 54 mya. Remarkably, both lineages lost genes associated with the cell cycle and genome integrity, but these losses were greater in the FEL. E.g., all species lost the cell-cycle regulator WHIskey 5 (WHI5), and the FEL lost components of the spindle checkpoint pathway (e.g., Mitotic Arrest-Deficient 1 [MAD1], Mitotic Arrest-Deficient 2 [MAD2]) and DNA-damage-checkpoint pathway (e.g., Mitosis Entry Checkpoint 3 [MEC3], RADiation sensitive 9 [RAD9]). Similarly, both lineages lost genes involved in DNA repair pathways, including the DNA glycosylase gene 3-MethylAdenine DNA Glycosylase 1 (MAG1), which is part of the base-excision repair pathway, and the DNA photolyase gene PHotoreactivation Repair deficient 1 (PHR1), which is involved in pyrimidine dimer repair. Strikingly, the FEL lost 33 additional genes, including polymerases (i.e., POLymerase 4 [POL4] and POL32) and telomere-associated genes (e.g., Repressor/activator site binding protein-Interacting Factor 1 [RIF1], Replication Factor A 3 [RFA3], Cell Division Cycle 13 [CDC13], Pbp1p Binding Protein [PBP2]). Echoing these losses, molecular evolutionary analyses reveal that, compared to the SEL, the FEL stem lineage underwent a burst of accelerated evolution, which resulted in greater mutational loads, homopolymer instabilities, and higher fractions of mutations associated with the common endogenously damaged base, 8-oxoguanine. We conclude that Hanseniaspora is an ancient lineage that has diversified and thrived, despite lacking many otherwise highly conserved cell-cycle and genome integrity genes and pathways, and may represent a novel, to our knowledge, system for studying cellular life without them.","author":[{"dropping-particle":"","family":"Steenwyk","given":"Jacob L.","non-dropping-particle":"","parse-names":false,"suffix":""},{"dropping-particle":"","family":"Opulente","given":"Dana A.","non-dropping-particle":"","parse-names":false,"suffix":""},{"dropping-particle":"","family":"Kominek","given":"Jacek","non-dropping-particle":"","parse-names":false,"suffix":""},{"dropping-particle":"","family":"Shen","given":"Xing-Xing","non-dropping-particle":"","parse-names":false,"suffix":""},{"dropping-particle":"","family":"Zhou","given":"Xiaofan","non-dropping-particle":"","parse-names":false,"suffix":""},{"dropping-particle":"","family":"Labella","given":"Abigail L.","non-dropping-particle":"","parse-names":false,"suffix":""},{"dropping-particle":"","family":"Bradley","given":"Noah P.","non-dropping-particle":"","parse-names":false,"suffix":""},{"dropping-particle":"","family":"Eichman","given":"Brandt F.","non-dropping-particle":"","parse-names":false,"suffix":""},{"dropping-particle":"","family":"Čadež","given":"Neža","non-dropping-particle":"","parse-names":false,"suffix":""},{"dropping-particle":"","family":"Libkind","given":"Diego","non-dropping-particle":"","parse-names":false,"suffix":""},{"dropping-particle":"","family":"DeVirgilio","given":"Jeremy","non-dropping-particle":"","parse-names":false,"suffix":""},{"dropping-particle":"","family":"Hulfachor","given":"Amanda Beth","non-dropping-particle":"","parse-names":false,"suffix":""},{"dropping-particle":"","family":"Kurtzman","given":"Cletus P.","non-dropping-particle":"","parse-names":false,"suffix":""},{"dropping-particle":"","family":"Hittinger","given":"Chris Todd","non-dropping-particle":"","parse-names":false,"suffix":""},{"dropping-particle":"","family":"Rokas","given":"Antonis","non-dropping-particle":"","parse-names":false,"suffix":""}],"container-title":"PLOS Biology","editor":[{"dropping-particle":"","family":"Kamoun","given":"Sophien","non-dropping-particle":"","parse-names":false,"suffix":""}],"id":"ITEM-1","issue":"5","issued":{"date-parts":[["2019","5","21"]]},"page":"e3000255","title":"Extensive loss of cell-cycle and DNA repair genes in an ancient lineage of bipolar budding yeasts","type":"article-journal","volume":"17"},"uris":["http://www.mendeley.com/documents/?uuid=5985660a-7583-4e27-a794-43be58236bad"]}],"mendeley":{"formattedCitation":"&lt;sup&gt;14&lt;/sup&gt;","plainTextFormattedCitation":"14","previouslyFormattedCitation":"(14)"},"properties":{"noteIndex":0},"schema":"https://github.com/citation-style-language/schema/raw/master/csl-citation.json"}</w:instrText>
            </w:r>
            <w:r w:rsidR="00961B1A" w:rsidRPr="00C94C09">
              <w:rPr>
                <w:rFonts w:ascii="Times New Roman" w:hAnsi="Times New Roman" w:cs="Times New Roman"/>
                <w:sz w:val="18"/>
                <w:szCs w:val="18"/>
              </w:rPr>
              <w:fldChar w:fldCharType="separate"/>
            </w:r>
            <w:r w:rsidR="00F5292F" w:rsidRPr="00F5292F">
              <w:rPr>
                <w:rFonts w:ascii="Times New Roman" w:hAnsi="Times New Roman" w:cs="Times New Roman"/>
                <w:noProof/>
                <w:sz w:val="18"/>
                <w:szCs w:val="18"/>
                <w:vertAlign w:val="superscript"/>
              </w:rPr>
              <w:t>14</w:t>
            </w:r>
            <w:r w:rsidR="00961B1A" w:rsidRPr="00C94C09">
              <w:rPr>
                <w:rFonts w:ascii="Times New Roman" w:hAnsi="Times New Roman" w:cs="Times New Roman"/>
                <w:sz w:val="18"/>
                <w:szCs w:val="18"/>
              </w:rPr>
              <w:fldChar w:fldCharType="end"/>
            </w:r>
          </w:p>
        </w:tc>
      </w:tr>
      <w:tr w:rsidR="00CE14EE" w:rsidRPr="00B47FB5" w:rsidTr="00C52690">
        <w:trPr>
          <w:trHeight w:val="300"/>
        </w:trPr>
        <w:tc>
          <w:tcPr>
            <w:tcW w:w="2405" w:type="dxa"/>
            <w:tcBorders>
              <w:top w:val="nil"/>
              <w:left w:val="nil"/>
              <w:bottom w:val="single" w:sz="4" w:space="0" w:color="auto"/>
              <w:right w:val="nil"/>
            </w:tcBorders>
            <w:noWrap/>
            <w:vAlign w:val="center"/>
            <w:hideMark/>
          </w:tcPr>
          <w:p w:rsidR="009329A8" w:rsidRPr="00C94C09" w:rsidRDefault="009329A8" w:rsidP="009329A8">
            <w:pPr>
              <w:rPr>
                <w:rFonts w:ascii="Times New Roman" w:hAnsi="Times New Roman" w:cs="Times New Roman"/>
                <w:color w:val="000000"/>
                <w:sz w:val="18"/>
                <w:szCs w:val="18"/>
              </w:rPr>
            </w:pPr>
            <w:proofErr w:type="spellStart"/>
            <w:r w:rsidRPr="00C94C09">
              <w:rPr>
                <w:rFonts w:ascii="Times New Roman" w:hAnsi="Times New Roman" w:cs="Times New Roman"/>
                <w:color w:val="000000"/>
                <w:sz w:val="18"/>
                <w:szCs w:val="18"/>
              </w:rPr>
              <w:t>Rhizoplaca</w:t>
            </w:r>
            <w:proofErr w:type="spellEnd"/>
          </w:p>
        </w:tc>
        <w:tc>
          <w:tcPr>
            <w:tcW w:w="2131" w:type="dxa"/>
            <w:tcBorders>
              <w:top w:val="nil"/>
              <w:left w:val="nil"/>
              <w:bottom w:val="single" w:sz="4" w:space="0" w:color="auto"/>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 xml:space="preserve">Fungi: </w:t>
            </w:r>
            <w:proofErr w:type="spellStart"/>
            <w:r w:rsidRPr="00C94C09">
              <w:rPr>
                <w:rFonts w:ascii="Times New Roman" w:hAnsi="Times New Roman" w:cs="Times New Roman"/>
                <w:sz w:val="18"/>
                <w:szCs w:val="18"/>
              </w:rPr>
              <w:t>Rhizoplaca</w:t>
            </w:r>
            <w:proofErr w:type="spellEnd"/>
          </w:p>
        </w:tc>
        <w:tc>
          <w:tcPr>
            <w:tcW w:w="1276" w:type="dxa"/>
            <w:tcBorders>
              <w:top w:val="nil"/>
              <w:left w:val="nil"/>
              <w:bottom w:val="single" w:sz="4" w:space="0" w:color="auto"/>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Genus</w:t>
            </w:r>
          </w:p>
        </w:tc>
        <w:tc>
          <w:tcPr>
            <w:tcW w:w="709" w:type="dxa"/>
            <w:tcBorders>
              <w:top w:val="nil"/>
              <w:left w:val="nil"/>
              <w:bottom w:val="single" w:sz="4" w:space="0" w:color="auto"/>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31</w:t>
            </w:r>
          </w:p>
        </w:tc>
        <w:tc>
          <w:tcPr>
            <w:tcW w:w="709" w:type="dxa"/>
            <w:tcBorders>
              <w:top w:val="nil"/>
              <w:left w:val="nil"/>
              <w:bottom w:val="single" w:sz="4" w:space="0" w:color="auto"/>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303</w:t>
            </w:r>
          </w:p>
        </w:tc>
        <w:tc>
          <w:tcPr>
            <w:tcW w:w="1559" w:type="dxa"/>
            <w:tcBorders>
              <w:top w:val="nil"/>
              <w:left w:val="nil"/>
              <w:bottom w:val="single" w:sz="4" w:space="0" w:color="auto"/>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Genome</w:t>
            </w:r>
          </w:p>
        </w:tc>
        <w:tc>
          <w:tcPr>
            <w:tcW w:w="850" w:type="dxa"/>
            <w:tcBorders>
              <w:top w:val="nil"/>
              <w:left w:val="nil"/>
              <w:bottom w:val="single" w:sz="4" w:space="0" w:color="auto"/>
              <w:right w:val="nil"/>
            </w:tcBorders>
            <w:noWrap/>
            <w:hideMark/>
          </w:tcPr>
          <w:p w:rsidR="009329A8" w:rsidRPr="00C94C09" w:rsidRDefault="009329A8" w:rsidP="009329A8">
            <w:pPr>
              <w:rPr>
                <w:rFonts w:ascii="Times New Roman" w:hAnsi="Times New Roman" w:cs="Times New Roman"/>
                <w:sz w:val="18"/>
                <w:szCs w:val="18"/>
              </w:rPr>
            </w:pPr>
            <w:r w:rsidRPr="00C94C09">
              <w:rPr>
                <w:rFonts w:ascii="Times New Roman" w:hAnsi="Times New Roman" w:cs="Times New Roman"/>
                <w:sz w:val="18"/>
                <w:szCs w:val="18"/>
              </w:rPr>
              <w:t>DNA</w:t>
            </w:r>
          </w:p>
        </w:tc>
        <w:tc>
          <w:tcPr>
            <w:tcW w:w="4111" w:type="dxa"/>
            <w:tcBorders>
              <w:top w:val="nil"/>
              <w:left w:val="nil"/>
              <w:bottom w:val="single" w:sz="4" w:space="0" w:color="auto"/>
              <w:right w:val="nil"/>
            </w:tcBorders>
            <w:noWrap/>
            <w:hideMark/>
          </w:tcPr>
          <w:p w:rsidR="009329A8" w:rsidRPr="00C94C09" w:rsidRDefault="009329A8" w:rsidP="00F5292F">
            <w:pPr>
              <w:rPr>
                <w:rFonts w:ascii="Times New Roman" w:hAnsi="Times New Roman" w:cs="Times New Roman"/>
                <w:sz w:val="18"/>
                <w:szCs w:val="18"/>
              </w:rPr>
            </w:pPr>
            <w:r w:rsidRPr="00C94C09">
              <w:rPr>
                <w:rFonts w:ascii="Times New Roman" w:hAnsi="Times New Roman" w:cs="Times New Roman"/>
                <w:sz w:val="18"/>
                <w:szCs w:val="18"/>
              </w:rPr>
              <w:t xml:space="preserve">Leavitt et al., </w:t>
            </w:r>
            <w:proofErr w:type="spellStart"/>
            <w:r w:rsidRPr="00C94C09">
              <w:rPr>
                <w:rFonts w:ascii="Times New Roman" w:hAnsi="Times New Roman" w:cs="Times New Roman"/>
                <w:sz w:val="18"/>
                <w:szCs w:val="18"/>
              </w:rPr>
              <w:t>Sci</w:t>
            </w:r>
            <w:proofErr w:type="spellEnd"/>
            <w:r w:rsidRPr="00C94C09">
              <w:rPr>
                <w:rFonts w:ascii="Times New Roman" w:hAnsi="Times New Roman" w:cs="Times New Roman"/>
                <w:sz w:val="18"/>
                <w:szCs w:val="18"/>
              </w:rPr>
              <w:t xml:space="preserve"> Rep, 2016</w:t>
            </w:r>
            <w:r w:rsidR="00873122">
              <w:rPr>
                <w:rFonts w:ascii="Times New Roman" w:hAnsi="Times New Roman" w:cs="Times New Roman"/>
                <w:sz w:val="18"/>
                <w:szCs w:val="18"/>
              </w:rPr>
              <w:t xml:space="preserve"> </w:t>
            </w:r>
            <w:bookmarkStart w:id="0" w:name="_GoBack"/>
            <w:bookmarkEnd w:id="0"/>
            <w:r w:rsidR="00961B1A" w:rsidRPr="00C94C09">
              <w:rPr>
                <w:rFonts w:ascii="Times New Roman" w:hAnsi="Times New Roman" w:cs="Times New Roman"/>
                <w:sz w:val="18"/>
                <w:szCs w:val="18"/>
              </w:rPr>
              <w:fldChar w:fldCharType="begin" w:fldLock="1"/>
            </w:r>
            <w:r w:rsidR="00F5292F">
              <w:rPr>
                <w:rFonts w:ascii="Times New Roman" w:hAnsi="Times New Roman" w:cs="Times New Roman"/>
                <w:sz w:val="18"/>
                <w:szCs w:val="18"/>
              </w:rPr>
              <w:instrText xml:space="preserve">ADDIN CSL_CITATION {"citationItems":[{"id":"ITEM-1","itemData":{"DOI":"10.1038/srep22262","ISSN":"2045-2322","abstract":"Evolutionary histories are now being inferred from unprecedented, genome-scale datasets for a broad range of organismal groups. While phylogenomic data has helped in resolving a number of difficult, long-standing questions, constructing appropriate datasets from genomes is not straightforward, particularly in non-model groups. Here we explore the utility of phylogenomic data to infer robust phylogenies for a lineage of closely related lichen-forming fungal species. We assembled multiple, distinct nuclear phylogenomic datasets, ranging from ca. 25 Kb to 16.8 Mb and inferred topologies using both concatenated gene tree approaches and species tree methods based on the multispecies coalescent model. In spite of evidence for rampant incongruence among individual loci, these genome-scale datasets provide a consistent, well-supported phylogenetic hypothesis using both concatenation and multispecies coalescent approaches (ASTRAL-II and SVDquartets). However, the popular full hierarchical coalescent approach implemented in </w:instrText>
            </w:r>
            <w:r w:rsidR="00F5292F">
              <w:rPr>
                <w:rFonts w:ascii="MS Gothic" w:hAnsi="MS Gothic" w:cs="MS Gothic"/>
                <w:sz w:val="18"/>
                <w:szCs w:val="18"/>
              </w:rPr>
              <w:instrText>∗</w:instrText>
            </w:r>
            <w:r w:rsidR="00F5292F">
              <w:rPr>
                <w:rFonts w:ascii="Times New Roman" w:hAnsi="Times New Roman" w:cs="Times New Roman"/>
                <w:sz w:val="18"/>
                <w:szCs w:val="18"/>
              </w:rPr>
              <w:instrText>BEAST provided inconsistent inferences, both in terms of nodal support and topology, with smaller subsets of the phylogenomic data. While comparable, well-supported topologies can be accurately inferred with only a small fraction of the overall genome, consistent results across a variety of datasets and methodological approaches provide reassurance that phylogenomic data can effectively be used to provide robust phylogenies for closely related lichen-forming fungal lineages.","author":[{"dropping-particle":"","family":"Leavitt","given":"Steven D.","non-dropping-particle":"","parse-names":false,"suffix":""},{"dropping-particle":"","family":"Grewe","given":"Felix","non-dropping-particle":"","parse-names":false,"suffix":""},{"dropping-particle":"","family":"Widhelm","given":"Todd","non-dropping-particle":"","parse-names":false,"suffix":""},{"dropping-particle":"","family":"Muggia","given":"Lucia","non-dropping-particle":"","parse-names":false,"suffix":""},{"dropping-particle":"","family":"Wray","given":"Brian","non-dropping-particle":"","parse-names":false,"suffix":""},{"dropping-particle":"","family":"Lumbsch","given":"H. Thorsten","non-dropping-particle":"","parse-names":false,"suffix":""}],"container-title":"Scientific Reports","id":"ITEM-1","issue":"1","issued":{"date-parts":[["2016","3","26"]]},"page":"22262","publisher":"Nature Publishing Group","title":"Resolving evolutionary relationships in lichen-forming fungi using diverse phylogenomic datasets and analytical approaches","type":"article-journal","volume":"6"},"uris":["http://www.mendeley.com/documents/?uuid=18af7451-357a-41d9-a652-3f21411c8d87"]}],"mendeley":{"formattedCitation":"&lt;sup&gt;15&lt;/sup&gt;","plainTextFormattedCitation":"15","previouslyFormattedCitation":"(15)"},"properties":{"noteIndex":0},"schema":"https://github.com/citation-style-language/schema/raw/master/csl-citation.json"}</w:instrText>
            </w:r>
            <w:r w:rsidR="00961B1A" w:rsidRPr="00C94C09">
              <w:rPr>
                <w:rFonts w:ascii="Times New Roman" w:hAnsi="Times New Roman" w:cs="Times New Roman"/>
                <w:sz w:val="18"/>
                <w:szCs w:val="18"/>
              </w:rPr>
              <w:fldChar w:fldCharType="separate"/>
            </w:r>
            <w:r w:rsidR="00F5292F" w:rsidRPr="00F5292F">
              <w:rPr>
                <w:rFonts w:ascii="Times New Roman" w:hAnsi="Times New Roman" w:cs="Times New Roman"/>
                <w:noProof/>
                <w:sz w:val="18"/>
                <w:szCs w:val="18"/>
                <w:vertAlign w:val="superscript"/>
              </w:rPr>
              <w:t>15</w:t>
            </w:r>
            <w:r w:rsidR="00961B1A" w:rsidRPr="00C94C09">
              <w:rPr>
                <w:rFonts w:ascii="Times New Roman" w:hAnsi="Times New Roman" w:cs="Times New Roman"/>
                <w:sz w:val="18"/>
                <w:szCs w:val="18"/>
              </w:rPr>
              <w:fldChar w:fldCharType="end"/>
            </w:r>
          </w:p>
        </w:tc>
      </w:tr>
    </w:tbl>
    <w:p w:rsidR="00B47FB5" w:rsidRDefault="00F535FC">
      <w:pPr>
        <w:rPr>
          <w:rFonts w:ascii="Arial" w:hAnsi="Arial" w:cs="Arial"/>
          <w:color w:val="3C4043"/>
          <w:szCs w:val="21"/>
          <w:shd w:val="clear" w:color="auto" w:fill="FFFFFF"/>
        </w:rPr>
      </w:pPr>
      <w:r w:rsidRPr="00B47FB5">
        <w:rPr>
          <w:rFonts w:ascii="Times New Roman" w:hAnsi="Times New Roman" w:cs="Times New Roman"/>
          <w:szCs w:val="21"/>
        </w:rPr>
        <w:t>UCE</w:t>
      </w:r>
      <w:r w:rsidR="00F33540">
        <w:rPr>
          <w:rFonts w:ascii="Times New Roman" w:hAnsi="Times New Roman" w:cs="Times New Roman"/>
          <w:szCs w:val="21"/>
        </w:rPr>
        <w:t xml:space="preserve">: </w:t>
      </w:r>
      <w:proofErr w:type="spellStart"/>
      <w:r w:rsidR="00F33540">
        <w:rPr>
          <w:rFonts w:ascii="Times New Roman" w:hAnsi="Times New Roman" w:cs="Times New Roman"/>
          <w:szCs w:val="21"/>
        </w:rPr>
        <w:t>Ultraconserved</w:t>
      </w:r>
      <w:proofErr w:type="spellEnd"/>
      <w:r w:rsidR="00F33540">
        <w:rPr>
          <w:rFonts w:ascii="Times New Roman" w:hAnsi="Times New Roman" w:cs="Times New Roman"/>
          <w:szCs w:val="21"/>
        </w:rPr>
        <w:t xml:space="preserve"> E</w:t>
      </w:r>
      <w:r>
        <w:rPr>
          <w:rFonts w:ascii="Times New Roman" w:hAnsi="Times New Roman" w:cs="Times New Roman"/>
          <w:szCs w:val="21"/>
        </w:rPr>
        <w:t>lement</w:t>
      </w:r>
      <w:r w:rsidR="00F33540">
        <w:rPr>
          <w:rFonts w:ascii="Times New Roman" w:hAnsi="Times New Roman" w:cs="Times New Roman"/>
          <w:szCs w:val="21"/>
        </w:rPr>
        <w:t>, AHE:</w:t>
      </w:r>
      <w:r w:rsidR="00F33540" w:rsidRPr="00F33540">
        <w:rPr>
          <w:rFonts w:ascii="Arial" w:hAnsi="Arial" w:cs="Arial"/>
          <w:color w:val="3C4043"/>
          <w:szCs w:val="21"/>
          <w:shd w:val="clear" w:color="auto" w:fill="FFFFFF"/>
        </w:rPr>
        <w:t xml:space="preserve"> </w:t>
      </w:r>
      <w:r w:rsidR="00F33540">
        <w:rPr>
          <w:rFonts w:ascii="Arial" w:hAnsi="Arial" w:cs="Arial"/>
          <w:color w:val="3C4043"/>
          <w:szCs w:val="21"/>
          <w:shd w:val="clear" w:color="auto" w:fill="FFFFFF"/>
        </w:rPr>
        <w:t xml:space="preserve">Anchored Hybrid Enriched, </w:t>
      </w:r>
      <w:r w:rsidR="008B5CF5">
        <w:rPr>
          <w:rFonts w:ascii="Arial" w:hAnsi="Arial" w:cs="Arial"/>
          <w:color w:val="3C4043"/>
          <w:szCs w:val="21"/>
          <w:shd w:val="clear" w:color="auto" w:fill="FFFFFF"/>
        </w:rPr>
        <w:t xml:space="preserve">DNA: deoxyribonucleic acid, </w:t>
      </w:r>
      <w:r w:rsidR="00F33540">
        <w:rPr>
          <w:rFonts w:ascii="Arial" w:hAnsi="Arial" w:cs="Arial"/>
          <w:color w:val="3C4043"/>
          <w:szCs w:val="21"/>
          <w:shd w:val="clear" w:color="auto" w:fill="FFFFFF"/>
        </w:rPr>
        <w:t>AA: amino acid.</w:t>
      </w:r>
    </w:p>
    <w:p w:rsidR="00FB1F65" w:rsidRDefault="00FB1F65">
      <w:pPr>
        <w:rPr>
          <w:rFonts w:ascii="Arial" w:hAnsi="Arial" w:cs="Arial"/>
          <w:color w:val="3C4043"/>
          <w:szCs w:val="21"/>
          <w:shd w:val="clear" w:color="auto" w:fill="FFFFFF"/>
        </w:rPr>
      </w:pPr>
    </w:p>
    <w:p w:rsidR="00FB1F65" w:rsidRPr="008D50BC" w:rsidRDefault="00FB1F65">
      <w:pPr>
        <w:rPr>
          <w:rFonts w:ascii="Arial" w:hAnsi="Arial" w:cs="Arial"/>
          <w:b/>
          <w:color w:val="3C4043"/>
          <w:sz w:val="22"/>
          <w:szCs w:val="21"/>
          <w:shd w:val="clear" w:color="auto" w:fill="FFFFFF"/>
        </w:rPr>
      </w:pPr>
      <w:r w:rsidRPr="008D50BC">
        <w:rPr>
          <w:rFonts w:ascii="Arial" w:hAnsi="Arial" w:cs="Arial"/>
          <w:b/>
          <w:color w:val="3C4043"/>
          <w:sz w:val="22"/>
          <w:szCs w:val="21"/>
          <w:shd w:val="clear" w:color="auto" w:fill="FFFFFF"/>
        </w:rPr>
        <w:t>References</w:t>
      </w:r>
    </w:p>
    <w:p w:rsidR="00F5292F" w:rsidRPr="00F5292F" w:rsidRDefault="00FB1F65" w:rsidP="00F5292F">
      <w:pPr>
        <w:autoSpaceDE w:val="0"/>
        <w:autoSpaceDN w:val="0"/>
        <w:adjustRightInd w:val="0"/>
        <w:ind w:left="640" w:hanging="640"/>
        <w:jc w:val="left"/>
        <w:rPr>
          <w:rFonts w:ascii="Arial" w:hAnsi="Arial" w:cs="Arial"/>
          <w:noProof/>
          <w:kern w:val="0"/>
          <w:sz w:val="20"/>
          <w:szCs w:val="24"/>
        </w:rPr>
      </w:pPr>
      <w:r>
        <w:rPr>
          <w:rFonts w:ascii="Arial" w:hAnsi="Arial" w:cs="Arial"/>
          <w:color w:val="3C4043"/>
          <w:szCs w:val="21"/>
          <w:shd w:val="clear" w:color="auto" w:fill="FFFFFF"/>
        </w:rPr>
        <w:fldChar w:fldCharType="begin" w:fldLock="1"/>
      </w:r>
      <w:r>
        <w:rPr>
          <w:rFonts w:ascii="Arial" w:hAnsi="Arial" w:cs="Arial"/>
          <w:color w:val="3C4043"/>
          <w:szCs w:val="21"/>
          <w:shd w:val="clear" w:color="auto" w:fill="FFFFFF"/>
        </w:rPr>
        <w:instrText xml:space="preserve">ADDIN Mendeley Bibliography CSL_BIBLIOGRAPHY </w:instrText>
      </w:r>
      <w:r>
        <w:rPr>
          <w:rFonts w:ascii="Arial" w:hAnsi="Arial" w:cs="Arial"/>
          <w:color w:val="3C4043"/>
          <w:szCs w:val="21"/>
          <w:shd w:val="clear" w:color="auto" w:fill="FFFFFF"/>
        </w:rPr>
        <w:fldChar w:fldCharType="separate"/>
      </w:r>
      <w:r w:rsidR="00F5292F" w:rsidRPr="00F5292F">
        <w:rPr>
          <w:rFonts w:ascii="Arial" w:hAnsi="Arial" w:cs="Arial"/>
          <w:noProof/>
          <w:kern w:val="0"/>
          <w:sz w:val="20"/>
          <w:szCs w:val="24"/>
        </w:rPr>
        <w:t>1.</w:t>
      </w:r>
      <w:r w:rsidR="00F5292F" w:rsidRPr="00F5292F">
        <w:rPr>
          <w:rFonts w:ascii="Arial" w:hAnsi="Arial" w:cs="Arial"/>
          <w:noProof/>
          <w:kern w:val="0"/>
          <w:sz w:val="20"/>
          <w:szCs w:val="24"/>
        </w:rPr>
        <w:tab/>
        <w:t xml:space="preserve">Blaimer, B. B., Mawdsley, J. R. &amp; Brady, S. G. Multiple origins of sexual dichromatism and aposematism within large carpenter bees. </w:t>
      </w:r>
      <w:r w:rsidR="00F5292F" w:rsidRPr="00F5292F">
        <w:rPr>
          <w:rFonts w:ascii="Arial" w:hAnsi="Arial" w:cs="Arial"/>
          <w:i/>
          <w:iCs/>
          <w:noProof/>
          <w:kern w:val="0"/>
          <w:sz w:val="20"/>
          <w:szCs w:val="24"/>
        </w:rPr>
        <w:t>Evolution (N. Y).</w:t>
      </w:r>
      <w:r w:rsidR="00F5292F" w:rsidRPr="00F5292F">
        <w:rPr>
          <w:rFonts w:ascii="Arial" w:hAnsi="Arial" w:cs="Arial"/>
          <w:noProof/>
          <w:kern w:val="0"/>
          <w:sz w:val="20"/>
          <w:szCs w:val="24"/>
        </w:rPr>
        <w:t xml:space="preserve"> </w:t>
      </w:r>
      <w:r w:rsidR="00F5292F" w:rsidRPr="00F5292F">
        <w:rPr>
          <w:rFonts w:ascii="Arial" w:hAnsi="Arial" w:cs="Arial"/>
          <w:b/>
          <w:bCs/>
          <w:noProof/>
          <w:kern w:val="0"/>
          <w:sz w:val="20"/>
          <w:szCs w:val="24"/>
        </w:rPr>
        <w:t>72</w:t>
      </w:r>
      <w:r w:rsidR="00F5292F" w:rsidRPr="00F5292F">
        <w:rPr>
          <w:rFonts w:ascii="Arial" w:hAnsi="Arial" w:cs="Arial"/>
          <w:noProof/>
          <w:kern w:val="0"/>
          <w:sz w:val="20"/>
          <w:szCs w:val="24"/>
        </w:rPr>
        <w:t>, 1874–1889 (2018).</w:t>
      </w:r>
    </w:p>
    <w:p w:rsidR="00F5292F" w:rsidRPr="00F5292F" w:rsidRDefault="00F5292F" w:rsidP="00F5292F">
      <w:pPr>
        <w:autoSpaceDE w:val="0"/>
        <w:autoSpaceDN w:val="0"/>
        <w:adjustRightInd w:val="0"/>
        <w:ind w:left="640" w:hanging="640"/>
        <w:jc w:val="left"/>
        <w:rPr>
          <w:rFonts w:ascii="Arial" w:hAnsi="Arial" w:cs="Arial"/>
          <w:noProof/>
          <w:kern w:val="0"/>
          <w:sz w:val="20"/>
          <w:szCs w:val="24"/>
        </w:rPr>
      </w:pPr>
      <w:r w:rsidRPr="00F5292F">
        <w:rPr>
          <w:rFonts w:ascii="Arial" w:hAnsi="Arial" w:cs="Arial"/>
          <w:noProof/>
          <w:kern w:val="0"/>
          <w:sz w:val="20"/>
          <w:szCs w:val="24"/>
        </w:rPr>
        <w:t>2.</w:t>
      </w:r>
      <w:r w:rsidRPr="00F5292F">
        <w:rPr>
          <w:rFonts w:ascii="Arial" w:hAnsi="Arial" w:cs="Arial"/>
          <w:noProof/>
          <w:kern w:val="0"/>
          <w:sz w:val="20"/>
          <w:szCs w:val="24"/>
        </w:rPr>
        <w:tab/>
        <w:t xml:space="preserve">Prum, R. O. </w:t>
      </w:r>
      <w:r w:rsidRPr="00F5292F">
        <w:rPr>
          <w:rFonts w:ascii="Arial" w:hAnsi="Arial" w:cs="Arial"/>
          <w:i/>
          <w:iCs/>
          <w:noProof/>
          <w:kern w:val="0"/>
          <w:sz w:val="20"/>
          <w:szCs w:val="24"/>
        </w:rPr>
        <w:t>et al.</w:t>
      </w:r>
      <w:r w:rsidRPr="00F5292F">
        <w:rPr>
          <w:rFonts w:ascii="Arial" w:hAnsi="Arial" w:cs="Arial"/>
          <w:noProof/>
          <w:kern w:val="0"/>
          <w:sz w:val="20"/>
          <w:szCs w:val="24"/>
        </w:rPr>
        <w:t xml:space="preserve"> A comprehensive phylogeny of birds (Aves) using targeted next-generation DNA sequencing. </w:t>
      </w:r>
      <w:r w:rsidRPr="00F5292F">
        <w:rPr>
          <w:rFonts w:ascii="Arial" w:hAnsi="Arial" w:cs="Arial"/>
          <w:i/>
          <w:iCs/>
          <w:noProof/>
          <w:kern w:val="0"/>
          <w:sz w:val="20"/>
          <w:szCs w:val="24"/>
        </w:rPr>
        <w:t>Nature</w:t>
      </w:r>
      <w:r w:rsidRPr="00F5292F">
        <w:rPr>
          <w:rFonts w:ascii="Arial" w:hAnsi="Arial" w:cs="Arial"/>
          <w:noProof/>
          <w:kern w:val="0"/>
          <w:sz w:val="20"/>
          <w:szCs w:val="24"/>
        </w:rPr>
        <w:t xml:space="preserve"> </w:t>
      </w:r>
      <w:r w:rsidRPr="00F5292F">
        <w:rPr>
          <w:rFonts w:ascii="Arial" w:hAnsi="Arial" w:cs="Arial"/>
          <w:b/>
          <w:bCs/>
          <w:noProof/>
          <w:kern w:val="0"/>
          <w:sz w:val="20"/>
          <w:szCs w:val="24"/>
        </w:rPr>
        <w:t>526</w:t>
      </w:r>
      <w:r w:rsidRPr="00F5292F">
        <w:rPr>
          <w:rFonts w:ascii="Arial" w:hAnsi="Arial" w:cs="Arial"/>
          <w:noProof/>
          <w:kern w:val="0"/>
          <w:sz w:val="20"/>
          <w:szCs w:val="24"/>
        </w:rPr>
        <w:t>, 569–573 (2015).</w:t>
      </w:r>
    </w:p>
    <w:p w:rsidR="00F5292F" w:rsidRPr="00F5292F" w:rsidRDefault="00F5292F" w:rsidP="00F5292F">
      <w:pPr>
        <w:autoSpaceDE w:val="0"/>
        <w:autoSpaceDN w:val="0"/>
        <w:adjustRightInd w:val="0"/>
        <w:ind w:left="640" w:hanging="640"/>
        <w:jc w:val="left"/>
        <w:rPr>
          <w:rFonts w:ascii="Arial" w:hAnsi="Arial" w:cs="Arial"/>
          <w:noProof/>
          <w:kern w:val="0"/>
          <w:sz w:val="20"/>
          <w:szCs w:val="24"/>
        </w:rPr>
      </w:pPr>
      <w:r w:rsidRPr="00F5292F">
        <w:rPr>
          <w:rFonts w:ascii="Arial" w:hAnsi="Arial" w:cs="Arial"/>
          <w:noProof/>
          <w:kern w:val="0"/>
          <w:sz w:val="20"/>
          <w:szCs w:val="24"/>
        </w:rPr>
        <w:t>3.</w:t>
      </w:r>
      <w:r w:rsidRPr="00F5292F">
        <w:rPr>
          <w:rFonts w:ascii="Arial" w:hAnsi="Arial" w:cs="Arial"/>
          <w:noProof/>
          <w:kern w:val="0"/>
          <w:sz w:val="20"/>
          <w:szCs w:val="24"/>
        </w:rPr>
        <w:tab/>
        <w:t xml:space="preserve">Espeland, M. </w:t>
      </w:r>
      <w:r w:rsidRPr="00F5292F">
        <w:rPr>
          <w:rFonts w:ascii="Arial" w:hAnsi="Arial" w:cs="Arial"/>
          <w:i/>
          <w:iCs/>
          <w:noProof/>
          <w:kern w:val="0"/>
          <w:sz w:val="20"/>
          <w:szCs w:val="24"/>
        </w:rPr>
        <w:t>et al.</w:t>
      </w:r>
      <w:r w:rsidRPr="00F5292F">
        <w:rPr>
          <w:rFonts w:ascii="Arial" w:hAnsi="Arial" w:cs="Arial"/>
          <w:noProof/>
          <w:kern w:val="0"/>
          <w:sz w:val="20"/>
          <w:szCs w:val="24"/>
        </w:rPr>
        <w:t xml:space="preserve"> A Comprehensive and Dated Phylogenomic Analysis of Butterflies. </w:t>
      </w:r>
      <w:r w:rsidRPr="00F5292F">
        <w:rPr>
          <w:rFonts w:ascii="Arial" w:hAnsi="Arial" w:cs="Arial"/>
          <w:i/>
          <w:iCs/>
          <w:noProof/>
          <w:kern w:val="0"/>
          <w:sz w:val="20"/>
          <w:szCs w:val="24"/>
        </w:rPr>
        <w:t>Curr. Biol.</w:t>
      </w:r>
      <w:r w:rsidRPr="00F5292F">
        <w:rPr>
          <w:rFonts w:ascii="Arial" w:hAnsi="Arial" w:cs="Arial"/>
          <w:noProof/>
          <w:kern w:val="0"/>
          <w:sz w:val="20"/>
          <w:szCs w:val="24"/>
        </w:rPr>
        <w:t xml:space="preserve"> </w:t>
      </w:r>
      <w:r w:rsidRPr="00F5292F">
        <w:rPr>
          <w:rFonts w:ascii="Arial" w:hAnsi="Arial" w:cs="Arial"/>
          <w:b/>
          <w:bCs/>
          <w:noProof/>
          <w:kern w:val="0"/>
          <w:sz w:val="20"/>
          <w:szCs w:val="24"/>
        </w:rPr>
        <w:t>28</w:t>
      </w:r>
      <w:r w:rsidRPr="00F5292F">
        <w:rPr>
          <w:rFonts w:ascii="Arial" w:hAnsi="Arial" w:cs="Arial"/>
          <w:noProof/>
          <w:kern w:val="0"/>
          <w:sz w:val="20"/>
          <w:szCs w:val="24"/>
        </w:rPr>
        <w:t>, 770-778.e5 (2018).</w:t>
      </w:r>
    </w:p>
    <w:p w:rsidR="00F5292F" w:rsidRPr="00F5292F" w:rsidRDefault="00F5292F" w:rsidP="00F5292F">
      <w:pPr>
        <w:autoSpaceDE w:val="0"/>
        <w:autoSpaceDN w:val="0"/>
        <w:adjustRightInd w:val="0"/>
        <w:ind w:left="640" w:hanging="640"/>
        <w:jc w:val="left"/>
        <w:rPr>
          <w:rFonts w:ascii="Arial" w:hAnsi="Arial" w:cs="Arial"/>
          <w:noProof/>
          <w:kern w:val="0"/>
          <w:sz w:val="20"/>
          <w:szCs w:val="24"/>
        </w:rPr>
      </w:pPr>
      <w:r w:rsidRPr="00F5292F">
        <w:rPr>
          <w:rFonts w:ascii="Arial" w:hAnsi="Arial" w:cs="Arial"/>
          <w:noProof/>
          <w:kern w:val="0"/>
          <w:sz w:val="20"/>
          <w:szCs w:val="24"/>
        </w:rPr>
        <w:t>4.</w:t>
      </w:r>
      <w:r w:rsidRPr="00F5292F">
        <w:rPr>
          <w:rFonts w:ascii="Arial" w:hAnsi="Arial" w:cs="Arial"/>
          <w:noProof/>
          <w:kern w:val="0"/>
          <w:sz w:val="20"/>
          <w:szCs w:val="24"/>
        </w:rPr>
        <w:tab/>
        <w:t xml:space="preserve">Blom, M. P. K., Bragg, J. G., Potter, S. &amp; Moritz, C. Accounting for uncertainty in gene tree estimation: Summary-coalescent species tree inference in </w:t>
      </w:r>
      <w:r w:rsidRPr="00F5292F">
        <w:rPr>
          <w:rFonts w:ascii="Arial" w:hAnsi="Arial" w:cs="Arial"/>
          <w:noProof/>
          <w:kern w:val="0"/>
          <w:sz w:val="20"/>
          <w:szCs w:val="24"/>
        </w:rPr>
        <w:lastRenderedPageBreak/>
        <w:t xml:space="preserve">a challenging radiation of Australian lizards. </w:t>
      </w:r>
      <w:r w:rsidRPr="00F5292F">
        <w:rPr>
          <w:rFonts w:ascii="Arial" w:hAnsi="Arial" w:cs="Arial"/>
          <w:i/>
          <w:iCs/>
          <w:noProof/>
          <w:kern w:val="0"/>
          <w:sz w:val="20"/>
          <w:szCs w:val="24"/>
        </w:rPr>
        <w:t>Syst. Biol.</w:t>
      </w:r>
      <w:r w:rsidRPr="00F5292F">
        <w:rPr>
          <w:rFonts w:ascii="Arial" w:hAnsi="Arial" w:cs="Arial"/>
          <w:noProof/>
          <w:kern w:val="0"/>
          <w:sz w:val="20"/>
          <w:szCs w:val="24"/>
        </w:rPr>
        <w:t xml:space="preserve"> </w:t>
      </w:r>
      <w:r w:rsidRPr="00F5292F">
        <w:rPr>
          <w:rFonts w:ascii="Arial" w:hAnsi="Arial" w:cs="Arial"/>
          <w:b/>
          <w:bCs/>
          <w:noProof/>
          <w:kern w:val="0"/>
          <w:sz w:val="20"/>
          <w:szCs w:val="24"/>
        </w:rPr>
        <w:t>66</w:t>
      </w:r>
      <w:r w:rsidRPr="00F5292F">
        <w:rPr>
          <w:rFonts w:ascii="Arial" w:hAnsi="Arial" w:cs="Arial"/>
          <w:noProof/>
          <w:kern w:val="0"/>
          <w:sz w:val="20"/>
          <w:szCs w:val="24"/>
        </w:rPr>
        <w:t>, 352–366 (2017).</w:t>
      </w:r>
    </w:p>
    <w:p w:rsidR="00F5292F" w:rsidRPr="00F5292F" w:rsidRDefault="00F5292F" w:rsidP="00F5292F">
      <w:pPr>
        <w:autoSpaceDE w:val="0"/>
        <w:autoSpaceDN w:val="0"/>
        <w:adjustRightInd w:val="0"/>
        <w:ind w:left="640" w:hanging="640"/>
        <w:jc w:val="left"/>
        <w:rPr>
          <w:rFonts w:ascii="Arial" w:hAnsi="Arial" w:cs="Arial"/>
          <w:noProof/>
          <w:kern w:val="0"/>
          <w:sz w:val="20"/>
          <w:szCs w:val="24"/>
        </w:rPr>
      </w:pPr>
      <w:r w:rsidRPr="00F5292F">
        <w:rPr>
          <w:rFonts w:ascii="Arial" w:hAnsi="Arial" w:cs="Arial"/>
          <w:noProof/>
          <w:kern w:val="0"/>
          <w:sz w:val="20"/>
          <w:szCs w:val="24"/>
        </w:rPr>
        <w:t>5.</w:t>
      </w:r>
      <w:r w:rsidRPr="00F5292F">
        <w:rPr>
          <w:rFonts w:ascii="Arial" w:hAnsi="Arial" w:cs="Arial"/>
          <w:noProof/>
          <w:kern w:val="0"/>
          <w:sz w:val="20"/>
          <w:szCs w:val="24"/>
        </w:rPr>
        <w:tab/>
        <w:t xml:space="preserve">Alfaro, M. E. </w:t>
      </w:r>
      <w:r w:rsidRPr="00F5292F">
        <w:rPr>
          <w:rFonts w:ascii="Arial" w:hAnsi="Arial" w:cs="Arial"/>
          <w:i/>
          <w:iCs/>
          <w:noProof/>
          <w:kern w:val="0"/>
          <w:sz w:val="20"/>
          <w:szCs w:val="24"/>
        </w:rPr>
        <w:t>et al.</w:t>
      </w:r>
      <w:r w:rsidRPr="00F5292F">
        <w:rPr>
          <w:rFonts w:ascii="Arial" w:hAnsi="Arial" w:cs="Arial"/>
          <w:noProof/>
          <w:kern w:val="0"/>
          <w:sz w:val="20"/>
          <w:szCs w:val="24"/>
        </w:rPr>
        <w:t xml:space="preserve"> Explosive diversification of marine fishes at the Cretaceous–Palaeogene boundary. </w:t>
      </w:r>
      <w:r w:rsidRPr="00F5292F">
        <w:rPr>
          <w:rFonts w:ascii="Arial" w:hAnsi="Arial" w:cs="Arial"/>
          <w:i/>
          <w:iCs/>
          <w:noProof/>
          <w:kern w:val="0"/>
          <w:sz w:val="20"/>
          <w:szCs w:val="24"/>
        </w:rPr>
        <w:t>Nat. Ecol. Evol.</w:t>
      </w:r>
      <w:r w:rsidRPr="00F5292F">
        <w:rPr>
          <w:rFonts w:ascii="Arial" w:hAnsi="Arial" w:cs="Arial"/>
          <w:noProof/>
          <w:kern w:val="0"/>
          <w:sz w:val="20"/>
          <w:szCs w:val="24"/>
        </w:rPr>
        <w:t xml:space="preserve"> </w:t>
      </w:r>
      <w:r w:rsidRPr="00F5292F">
        <w:rPr>
          <w:rFonts w:ascii="Arial" w:hAnsi="Arial" w:cs="Arial"/>
          <w:b/>
          <w:bCs/>
          <w:noProof/>
          <w:kern w:val="0"/>
          <w:sz w:val="20"/>
          <w:szCs w:val="24"/>
        </w:rPr>
        <w:t>2</w:t>
      </w:r>
      <w:r w:rsidRPr="00F5292F">
        <w:rPr>
          <w:rFonts w:ascii="Arial" w:hAnsi="Arial" w:cs="Arial"/>
          <w:noProof/>
          <w:kern w:val="0"/>
          <w:sz w:val="20"/>
          <w:szCs w:val="24"/>
        </w:rPr>
        <w:t>, 688–696 (2018).</w:t>
      </w:r>
    </w:p>
    <w:p w:rsidR="00F5292F" w:rsidRPr="00F5292F" w:rsidRDefault="00F5292F" w:rsidP="00F5292F">
      <w:pPr>
        <w:autoSpaceDE w:val="0"/>
        <w:autoSpaceDN w:val="0"/>
        <w:adjustRightInd w:val="0"/>
        <w:ind w:left="640" w:hanging="640"/>
        <w:jc w:val="left"/>
        <w:rPr>
          <w:rFonts w:ascii="Arial" w:hAnsi="Arial" w:cs="Arial"/>
          <w:noProof/>
          <w:kern w:val="0"/>
          <w:sz w:val="20"/>
          <w:szCs w:val="24"/>
        </w:rPr>
      </w:pPr>
      <w:r w:rsidRPr="00F5292F">
        <w:rPr>
          <w:rFonts w:ascii="Arial" w:hAnsi="Arial" w:cs="Arial"/>
          <w:noProof/>
          <w:kern w:val="0"/>
          <w:sz w:val="20"/>
          <w:szCs w:val="24"/>
        </w:rPr>
        <w:t>6.</w:t>
      </w:r>
      <w:r w:rsidRPr="00F5292F">
        <w:rPr>
          <w:rFonts w:ascii="Arial" w:hAnsi="Arial" w:cs="Arial"/>
          <w:noProof/>
          <w:kern w:val="0"/>
          <w:sz w:val="20"/>
          <w:szCs w:val="24"/>
        </w:rPr>
        <w:tab/>
        <w:t xml:space="preserve">Roycroft, E. J., Moussalli, A. &amp; Rowe, K. C. Phylogenomics Uncovers Confidence and Conflict in the Rapid Radiation of Australo-Papuan Rodents. </w:t>
      </w:r>
      <w:r w:rsidRPr="00F5292F">
        <w:rPr>
          <w:rFonts w:ascii="Arial" w:hAnsi="Arial" w:cs="Arial"/>
          <w:i/>
          <w:iCs/>
          <w:noProof/>
          <w:kern w:val="0"/>
          <w:sz w:val="20"/>
          <w:szCs w:val="24"/>
        </w:rPr>
        <w:t>Syst. Biol.</w:t>
      </w:r>
      <w:r w:rsidRPr="00F5292F">
        <w:rPr>
          <w:rFonts w:ascii="Arial" w:hAnsi="Arial" w:cs="Arial"/>
          <w:noProof/>
          <w:kern w:val="0"/>
          <w:sz w:val="20"/>
          <w:szCs w:val="24"/>
        </w:rPr>
        <w:t xml:space="preserve"> </w:t>
      </w:r>
      <w:r w:rsidRPr="00F5292F">
        <w:rPr>
          <w:rFonts w:ascii="Arial" w:hAnsi="Arial" w:cs="Arial"/>
          <w:b/>
          <w:bCs/>
          <w:noProof/>
          <w:kern w:val="0"/>
          <w:sz w:val="20"/>
          <w:szCs w:val="24"/>
        </w:rPr>
        <w:t>0</w:t>
      </w:r>
      <w:r w:rsidRPr="00F5292F">
        <w:rPr>
          <w:rFonts w:ascii="Arial" w:hAnsi="Arial" w:cs="Arial"/>
          <w:noProof/>
          <w:kern w:val="0"/>
          <w:sz w:val="20"/>
          <w:szCs w:val="24"/>
        </w:rPr>
        <w:t>, 1–14 (2019).</w:t>
      </w:r>
    </w:p>
    <w:p w:rsidR="00F5292F" w:rsidRPr="00F5292F" w:rsidRDefault="00F5292F" w:rsidP="00F5292F">
      <w:pPr>
        <w:autoSpaceDE w:val="0"/>
        <w:autoSpaceDN w:val="0"/>
        <w:adjustRightInd w:val="0"/>
        <w:ind w:left="640" w:hanging="640"/>
        <w:jc w:val="left"/>
        <w:rPr>
          <w:rFonts w:ascii="Arial" w:hAnsi="Arial" w:cs="Arial"/>
          <w:noProof/>
          <w:kern w:val="0"/>
          <w:sz w:val="20"/>
          <w:szCs w:val="24"/>
        </w:rPr>
      </w:pPr>
      <w:r w:rsidRPr="00F5292F">
        <w:rPr>
          <w:rFonts w:ascii="Arial" w:hAnsi="Arial" w:cs="Arial"/>
          <w:noProof/>
          <w:kern w:val="0"/>
          <w:sz w:val="20"/>
          <w:szCs w:val="24"/>
        </w:rPr>
        <w:t>7.</w:t>
      </w:r>
      <w:r w:rsidRPr="00F5292F">
        <w:rPr>
          <w:rFonts w:ascii="Arial" w:hAnsi="Arial" w:cs="Arial"/>
          <w:noProof/>
          <w:kern w:val="0"/>
          <w:sz w:val="20"/>
          <w:szCs w:val="24"/>
        </w:rPr>
        <w:tab/>
        <w:t xml:space="preserve">Herrando-Moraira, S. </w:t>
      </w:r>
      <w:r w:rsidRPr="00F5292F">
        <w:rPr>
          <w:rFonts w:ascii="Arial" w:hAnsi="Arial" w:cs="Arial"/>
          <w:i/>
          <w:iCs/>
          <w:noProof/>
          <w:kern w:val="0"/>
          <w:sz w:val="20"/>
          <w:szCs w:val="24"/>
        </w:rPr>
        <w:t>et al.</w:t>
      </w:r>
      <w:r w:rsidRPr="00F5292F">
        <w:rPr>
          <w:rFonts w:ascii="Arial" w:hAnsi="Arial" w:cs="Arial"/>
          <w:noProof/>
          <w:kern w:val="0"/>
          <w:sz w:val="20"/>
          <w:szCs w:val="24"/>
        </w:rPr>
        <w:t xml:space="preserve"> Exploring data processing strategies in NGS target enrichment to disentangle radiations in the tribe Cardueae (Compositae). </w:t>
      </w:r>
      <w:r w:rsidRPr="00F5292F">
        <w:rPr>
          <w:rFonts w:ascii="Arial" w:hAnsi="Arial" w:cs="Arial"/>
          <w:i/>
          <w:iCs/>
          <w:noProof/>
          <w:kern w:val="0"/>
          <w:sz w:val="20"/>
          <w:szCs w:val="24"/>
        </w:rPr>
        <w:t>Mol. Phylogenet. Evol.</w:t>
      </w:r>
      <w:r w:rsidRPr="00F5292F">
        <w:rPr>
          <w:rFonts w:ascii="Arial" w:hAnsi="Arial" w:cs="Arial"/>
          <w:noProof/>
          <w:kern w:val="0"/>
          <w:sz w:val="20"/>
          <w:szCs w:val="24"/>
        </w:rPr>
        <w:t xml:space="preserve"> </w:t>
      </w:r>
      <w:r w:rsidRPr="00F5292F">
        <w:rPr>
          <w:rFonts w:ascii="Arial" w:hAnsi="Arial" w:cs="Arial"/>
          <w:b/>
          <w:bCs/>
          <w:noProof/>
          <w:kern w:val="0"/>
          <w:sz w:val="20"/>
          <w:szCs w:val="24"/>
        </w:rPr>
        <w:t>128</w:t>
      </w:r>
      <w:r w:rsidRPr="00F5292F">
        <w:rPr>
          <w:rFonts w:ascii="Arial" w:hAnsi="Arial" w:cs="Arial"/>
          <w:noProof/>
          <w:kern w:val="0"/>
          <w:sz w:val="20"/>
          <w:szCs w:val="24"/>
        </w:rPr>
        <w:t>, 69–87 (2018).</w:t>
      </w:r>
    </w:p>
    <w:p w:rsidR="00F5292F" w:rsidRPr="00F5292F" w:rsidRDefault="00F5292F" w:rsidP="00F5292F">
      <w:pPr>
        <w:autoSpaceDE w:val="0"/>
        <w:autoSpaceDN w:val="0"/>
        <w:adjustRightInd w:val="0"/>
        <w:ind w:left="640" w:hanging="640"/>
        <w:jc w:val="left"/>
        <w:rPr>
          <w:rFonts w:ascii="Arial" w:hAnsi="Arial" w:cs="Arial"/>
          <w:noProof/>
          <w:kern w:val="0"/>
          <w:sz w:val="20"/>
          <w:szCs w:val="24"/>
        </w:rPr>
      </w:pPr>
      <w:r w:rsidRPr="00F5292F">
        <w:rPr>
          <w:rFonts w:ascii="Arial" w:hAnsi="Arial" w:cs="Arial"/>
          <w:noProof/>
          <w:kern w:val="0"/>
          <w:sz w:val="20"/>
          <w:szCs w:val="24"/>
        </w:rPr>
        <w:t>8.</w:t>
      </w:r>
      <w:r w:rsidRPr="00F5292F">
        <w:rPr>
          <w:rFonts w:ascii="Arial" w:hAnsi="Arial" w:cs="Arial"/>
          <w:noProof/>
          <w:kern w:val="0"/>
          <w:sz w:val="20"/>
          <w:szCs w:val="24"/>
        </w:rPr>
        <w:tab/>
        <w:t xml:space="preserve">Yang, Y. </w:t>
      </w:r>
      <w:r w:rsidRPr="00F5292F">
        <w:rPr>
          <w:rFonts w:ascii="Arial" w:hAnsi="Arial" w:cs="Arial"/>
          <w:i/>
          <w:iCs/>
          <w:noProof/>
          <w:kern w:val="0"/>
          <w:sz w:val="20"/>
          <w:szCs w:val="24"/>
        </w:rPr>
        <w:t>et al.</w:t>
      </w:r>
      <w:r w:rsidRPr="00F5292F">
        <w:rPr>
          <w:rFonts w:ascii="Arial" w:hAnsi="Arial" w:cs="Arial"/>
          <w:noProof/>
          <w:kern w:val="0"/>
          <w:sz w:val="20"/>
          <w:szCs w:val="24"/>
        </w:rPr>
        <w:t xml:space="preserve"> Dissecting molecular evolution in the highly diverse plant clade caryophyllales using transcriptome sequencing. </w:t>
      </w:r>
      <w:r w:rsidRPr="00F5292F">
        <w:rPr>
          <w:rFonts w:ascii="Arial" w:hAnsi="Arial" w:cs="Arial"/>
          <w:i/>
          <w:iCs/>
          <w:noProof/>
          <w:kern w:val="0"/>
          <w:sz w:val="20"/>
          <w:szCs w:val="24"/>
        </w:rPr>
        <w:t>Mol. Biol. Evol.</w:t>
      </w:r>
      <w:r w:rsidRPr="00F5292F">
        <w:rPr>
          <w:rFonts w:ascii="Arial" w:hAnsi="Arial" w:cs="Arial"/>
          <w:noProof/>
          <w:kern w:val="0"/>
          <w:sz w:val="20"/>
          <w:szCs w:val="24"/>
        </w:rPr>
        <w:t xml:space="preserve"> </w:t>
      </w:r>
      <w:r w:rsidRPr="00F5292F">
        <w:rPr>
          <w:rFonts w:ascii="Arial" w:hAnsi="Arial" w:cs="Arial"/>
          <w:b/>
          <w:bCs/>
          <w:noProof/>
          <w:kern w:val="0"/>
          <w:sz w:val="20"/>
          <w:szCs w:val="24"/>
        </w:rPr>
        <w:t>32</w:t>
      </w:r>
      <w:r w:rsidRPr="00F5292F">
        <w:rPr>
          <w:rFonts w:ascii="Arial" w:hAnsi="Arial" w:cs="Arial"/>
          <w:noProof/>
          <w:kern w:val="0"/>
          <w:sz w:val="20"/>
          <w:szCs w:val="24"/>
        </w:rPr>
        <w:t>, 2001–2014 (2015).</w:t>
      </w:r>
    </w:p>
    <w:p w:rsidR="00F5292F" w:rsidRPr="00F5292F" w:rsidRDefault="00F5292F" w:rsidP="00F5292F">
      <w:pPr>
        <w:autoSpaceDE w:val="0"/>
        <w:autoSpaceDN w:val="0"/>
        <w:adjustRightInd w:val="0"/>
        <w:ind w:left="640" w:hanging="640"/>
        <w:jc w:val="left"/>
        <w:rPr>
          <w:rFonts w:ascii="Arial" w:hAnsi="Arial" w:cs="Arial"/>
          <w:noProof/>
          <w:kern w:val="0"/>
          <w:sz w:val="20"/>
          <w:szCs w:val="24"/>
        </w:rPr>
      </w:pPr>
      <w:r w:rsidRPr="00F5292F">
        <w:rPr>
          <w:rFonts w:ascii="Arial" w:hAnsi="Arial" w:cs="Arial"/>
          <w:noProof/>
          <w:kern w:val="0"/>
          <w:sz w:val="20"/>
          <w:szCs w:val="24"/>
        </w:rPr>
        <w:t>9.</w:t>
      </w:r>
      <w:r w:rsidRPr="00F5292F">
        <w:rPr>
          <w:rFonts w:ascii="Arial" w:hAnsi="Arial" w:cs="Arial"/>
          <w:noProof/>
          <w:kern w:val="0"/>
          <w:sz w:val="20"/>
          <w:szCs w:val="24"/>
        </w:rPr>
        <w:tab/>
        <w:t xml:space="preserve">One Thousand Plant Transcriptomes Initiative. One thousand plant transcriptomes and the phylogenomics of green plants. </w:t>
      </w:r>
      <w:r w:rsidRPr="00F5292F">
        <w:rPr>
          <w:rFonts w:ascii="Arial" w:hAnsi="Arial" w:cs="Arial"/>
          <w:i/>
          <w:iCs/>
          <w:noProof/>
          <w:kern w:val="0"/>
          <w:sz w:val="20"/>
          <w:szCs w:val="24"/>
        </w:rPr>
        <w:t>Nature</w:t>
      </w:r>
      <w:r w:rsidRPr="00F5292F">
        <w:rPr>
          <w:rFonts w:ascii="Arial" w:hAnsi="Arial" w:cs="Arial"/>
          <w:noProof/>
          <w:kern w:val="0"/>
          <w:sz w:val="20"/>
          <w:szCs w:val="24"/>
        </w:rPr>
        <w:t xml:space="preserve"> </w:t>
      </w:r>
      <w:r w:rsidRPr="00F5292F">
        <w:rPr>
          <w:rFonts w:ascii="Arial" w:hAnsi="Arial" w:cs="Arial"/>
          <w:b/>
          <w:bCs/>
          <w:noProof/>
          <w:kern w:val="0"/>
          <w:sz w:val="20"/>
          <w:szCs w:val="24"/>
        </w:rPr>
        <w:t>574</w:t>
      </w:r>
      <w:r w:rsidRPr="00F5292F">
        <w:rPr>
          <w:rFonts w:ascii="Arial" w:hAnsi="Arial" w:cs="Arial"/>
          <w:noProof/>
          <w:kern w:val="0"/>
          <w:sz w:val="20"/>
          <w:szCs w:val="24"/>
        </w:rPr>
        <w:t>, 679–685 (2019).</w:t>
      </w:r>
    </w:p>
    <w:p w:rsidR="00F5292F" w:rsidRPr="00F5292F" w:rsidRDefault="00F5292F" w:rsidP="00F5292F">
      <w:pPr>
        <w:autoSpaceDE w:val="0"/>
        <w:autoSpaceDN w:val="0"/>
        <w:adjustRightInd w:val="0"/>
        <w:ind w:left="640" w:hanging="640"/>
        <w:jc w:val="left"/>
        <w:rPr>
          <w:rFonts w:ascii="Arial" w:hAnsi="Arial" w:cs="Arial"/>
          <w:noProof/>
          <w:kern w:val="0"/>
          <w:sz w:val="20"/>
          <w:szCs w:val="24"/>
        </w:rPr>
      </w:pPr>
      <w:r w:rsidRPr="00F5292F">
        <w:rPr>
          <w:rFonts w:ascii="Arial" w:hAnsi="Arial" w:cs="Arial"/>
          <w:noProof/>
          <w:kern w:val="0"/>
          <w:sz w:val="20"/>
          <w:szCs w:val="24"/>
        </w:rPr>
        <w:t>10.</w:t>
      </w:r>
      <w:r w:rsidRPr="00F5292F">
        <w:rPr>
          <w:rFonts w:ascii="Arial" w:hAnsi="Arial" w:cs="Arial"/>
          <w:noProof/>
          <w:kern w:val="0"/>
          <w:sz w:val="20"/>
          <w:szCs w:val="24"/>
        </w:rPr>
        <w:tab/>
        <w:t xml:space="preserve">Wu, M., Kostyun, J. L., Hahn, M. W. &amp; Moyle, L. C. Dissecting the basis of novel trait evolution in a radiation with widespread phylogenetic discordance. </w:t>
      </w:r>
      <w:r w:rsidRPr="00F5292F">
        <w:rPr>
          <w:rFonts w:ascii="Arial" w:hAnsi="Arial" w:cs="Arial"/>
          <w:i/>
          <w:iCs/>
          <w:noProof/>
          <w:kern w:val="0"/>
          <w:sz w:val="20"/>
          <w:szCs w:val="24"/>
        </w:rPr>
        <w:t>Mol. Ecol.</w:t>
      </w:r>
      <w:r w:rsidRPr="00F5292F">
        <w:rPr>
          <w:rFonts w:ascii="Arial" w:hAnsi="Arial" w:cs="Arial"/>
          <w:noProof/>
          <w:kern w:val="0"/>
          <w:sz w:val="20"/>
          <w:szCs w:val="24"/>
        </w:rPr>
        <w:t xml:space="preserve"> </w:t>
      </w:r>
      <w:r w:rsidRPr="00F5292F">
        <w:rPr>
          <w:rFonts w:ascii="Arial" w:hAnsi="Arial" w:cs="Arial"/>
          <w:b/>
          <w:bCs/>
          <w:noProof/>
          <w:kern w:val="0"/>
          <w:sz w:val="20"/>
          <w:szCs w:val="24"/>
        </w:rPr>
        <w:t>27</w:t>
      </w:r>
      <w:r w:rsidRPr="00F5292F">
        <w:rPr>
          <w:rFonts w:ascii="Arial" w:hAnsi="Arial" w:cs="Arial"/>
          <w:noProof/>
          <w:kern w:val="0"/>
          <w:sz w:val="20"/>
          <w:szCs w:val="24"/>
        </w:rPr>
        <w:t>, 3301–3316 (2018).</w:t>
      </w:r>
    </w:p>
    <w:p w:rsidR="00F5292F" w:rsidRPr="00F5292F" w:rsidRDefault="00F5292F" w:rsidP="00F5292F">
      <w:pPr>
        <w:autoSpaceDE w:val="0"/>
        <w:autoSpaceDN w:val="0"/>
        <w:adjustRightInd w:val="0"/>
        <w:ind w:left="640" w:hanging="640"/>
        <w:jc w:val="left"/>
        <w:rPr>
          <w:rFonts w:ascii="Arial" w:hAnsi="Arial" w:cs="Arial"/>
          <w:noProof/>
          <w:kern w:val="0"/>
          <w:sz w:val="20"/>
          <w:szCs w:val="24"/>
        </w:rPr>
      </w:pPr>
      <w:r w:rsidRPr="00F5292F">
        <w:rPr>
          <w:rFonts w:ascii="Arial" w:hAnsi="Arial" w:cs="Arial"/>
          <w:noProof/>
          <w:kern w:val="0"/>
          <w:sz w:val="20"/>
          <w:szCs w:val="24"/>
        </w:rPr>
        <w:t>11.</w:t>
      </w:r>
      <w:r w:rsidRPr="00F5292F">
        <w:rPr>
          <w:rFonts w:ascii="Arial" w:hAnsi="Arial" w:cs="Arial"/>
          <w:noProof/>
          <w:kern w:val="0"/>
          <w:sz w:val="20"/>
          <w:szCs w:val="24"/>
        </w:rPr>
        <w:tab/>
        <w:t xml:space="preserve">Mitchell, N., Lewis, P. O., Lemmon, E. M., Lemmon, A. R. &amp; Holsinger, K. E. Anchored phylogenomics improves the resolution of evolutionary relationships in the rapid radiation of </w:t>
      </w:r>
      <w:r w:rsidRPr="00F5292F">
        <w:rPr>
          <w:rFonts w:ascii="Arial" w:hAnsi="Arial" w:cs="Arial"/>
          <w:i/>
          <w:iCs/>
          <w:noProof/>
          <w:kern w:val="0"/>
          <w:sz w:val="20"/>
          <w:szCs w:val="24"/>
        </w:rPr>
        <w:t>protea</w:t>
      </w:r>
      <w:r w:rsidRPr="00F5292F">
        <w:rPr>
          <w:rFonts w:ascii="Arial" w:hAnsi="Arial" w:cs="Arial"/>
          <w:noProof/>
          <w:kern w:val="0"/>
          <w:sz w:val="20"/>
          <w:szCs w:val="24"/>
        </w:rPr>
        <w:t xml:space="preserve"> L. </w:t>
      </w:r>
      <w:r w:rsidRPr="00F5292F">
        <w:rPr>
          <w:rFonts w:ascii="Arial" w:hAnsi="Arial" w:cs="Arial"/>
          <w:i/>
          <w:iCs/>
          <w:noProof/>
          <w:kern w:val="0"/>
          <w:sz w:val="20"/>
          <w:szCs w:val="24"/>
        </w:rPr>
        <w:t>Am. J. Bot.</w:t>
      </w:r>
      <w:r w:rsidRPr="00F5292F">
        <w:rPr>
          <w:rFonts w:ascii="Arial" w:hAnsi="Arial" w:cs="Arial"/>
          <w:noProof/>
          <w:kern w:val="0"/>
          <w:sz w:val="20"/>
          <w:szCs w:val="24"/>
        </w:rPr>
        <w:t xml:space="preserve"> </w:t>
      </w:r>
      <w:r w:rsidRPr="00F5292F">
        <w:rPr>
          <w:rFonts w:ascii="Arial" w:hAnsi="Arial" w:cs="Arial"/>
          <w:b/>
          <w:bCs/>
          <w:noProof/>
          <w:kern w:val="0"/>
          <w:sz w:val="20"/>
          <w:szCs w:val="24"/>
        </w:rPr>
        <w:t>104</w:t>
      </w:r>
      <w:r w:rsidRPr="00F5292F">
        <w:rPr>
          <w:rFonts w:ascii="Arial" w:hAnsi="Arial" w:cs="Arial"/>
          <w:noProof/>
          <w:kern w:val="0"/>
          <w:sz w:val="20"/>
          <w:szCs w:val="24"/>
        </w:rPr>
        <w:t>, 102–115 (2017).</w:t>
      </w:r>
    </w:p>
    <w:p w:rsidR="00F5292F" w:rsidRPr="00F5292F" w:rsidRDefault="00F5292F" w:rsidP="00F5292F">
      <w:pPr>
        <w:autoSpaceDE w:val="0"/>
        <w:autoSpaceDN w:val="0"/>
        <w:adjustRightInd w:val="0"/>
        <w:ind w:left="640" w:hanging="640"/>
        <w:jc w:val="left"/>
        <w:rPr>
          <w:rFonts w:ascii="Arial" w:hAnsi="Arial" w:cs="Arial"/>
          <w:noProof/>
          <w:kern w:val="0"/>
          <w:sz w:val="20"/>
          <w:szCs w:val="24"/>
        </w:rPr>
      </w:pPr>
      <w:r w:rsidRPr="00F5292F">
        <w:rPr>
          <w:rFonts w:ascii="Arial" w:hAnsi="Arial" w:cs="Arial"/>
          <w:noProof/>
          <w:kern w:val="0"/>
          <w:sz w:val="20"/>
          <w:szCs w:val="24"/>
        </w:rPr>
        <w:t>12.</w:t>
      </w:r>
      <w:r w:rsidRPr="00F5292F">
        <w:rPr>
          <w:rFonts w:ascii="Arial" w:hAnsi="Arial" w:cs="Arial"/>
          <w:noProof/>
          <w:kern w:val="0"/>
          <w:sz w:val="20"/>
          <w:szCs w:val="24"/>
        </w:rPr>
        <w:tab/>
        <w:t xml:space="preserve">Steenwyk, J. L., Shen, X.-X., Lind, A. L., Goldman, G. H. &amp; Rokas, A. A Robust Phylogenomic Time Tree for Biotechnologically and Medically Important Fungi in the Genera </w:t>
      </w:r>
      <w:r w:rsidRPr="00F5292F">
        <w:rPr>
          <w:rFonts w:ascii="Arial" w:hAnsi="Arial" w:cs="Arial"/>
          <w:i/>
          <w:iCs/>
          <w:noProof/>
          <w:kern w:val="0"/>
          <w:sz w:val="20"/>
          <w:szCs w:val="24"/>
        </w:rPr>
        <w:t>Aspergillus</w:t>
      </w:r>
      <w:r w:rsidRPr="00F5292F">
        <w:rPr>
          <w:rFonts w:ascii="Arial" w:hAnsi="Arial" w:cs="Arial"/>
          <w:noProof/>
          <w:kern w:val="0"/>
          <w:sz w:val="20"/>
          <w:szCs w:val="24"/>
        </w:rPr>
        <w:t xml:space="preserve"> and </w:t>
      </w:r>
      <w:r w:rsidRPr="00F5292F">
        <w:rPr>
          <w:rFonts w:ascii="Arial" w:hAnsi="Arial" w:cs="Arial"/>
          <w:i/>
          <w:iCs/>
          <w:noProof/>
          <w:kern w:val="0"/>
          <w:sz w:val="20"/>
          <w:szCs w:val="24"/>
        </w:rPr>
        <w:t>Penicillium</w:t>
      </w:r>
      <w:r w:rsidRPr="00F5292F">
        <w:rPr>
          <w:rFonts w:ascii="Arial" w:hAnsi="Arial" w:cs="Arial"/>
          <w:noProof/>
          <w:kern w:val="0"/>
          <w:sz w:val="20"/>
          <w:szCs w:val="24"/>
        </w:rPr>
        <w:t xml:space="preserve">. </w:t>
      </w:r>
      <w:r w:rsidRPr="00F5292F">
        <w:rPr>
          <w:rFonts w:ascii="Arial" w:hAnsi="Arial" w:cs="Arial"/>
          <w:i/>
          <w:iCs/>
          <w:noProof/>
          <w:kern w:val="0"/>
          <w:sz w:val="20"/>
          <w:szCs w:val="24"/>
        </w:rPr>
        <w:t>MBio</w:t>
      </w:r>
      <w:r w:rsidRPr="00F5292F">
        <w:rPr>
          <w:rFonts w:ascii="Arial" w:hAnsi="Arial" w:cs="Arial"/>
          <w:noProof/>
          <w:kern w:val="0"/>
          <w:sz w:val="20"/>
          <w:szCs w:val="24"/>
        </w:rPr>
        <w:t xml:space="preserve"> </w:t>
      </w:r>
      <w:r w:rsidRPr="00F5292F">
        <w:rPr>
          <w:rFonts w:ascii="Arial" w:hAnsi="Arial" w:cs="Arial"/>
          <w:b/>
          <w:bCs/>
          <w:noProof/>
          <w:kern w:val="0"/>
          <w:sz w:val="20"/>
          <w:szCs w:val="24"/>
        </w:rPr>
        <w:t>10</w:t>
      </w:r>
      <w:r w:rsidRPr="00F5292F">
        <w:rPr>
          <w:rFonts w:ascii="Arial" w:hAnsi="Arial" w:cs="Arial"/>
          <w:noProof/>
          <w:kern w:val="0"/>
          <w:sz w:val="20"/>
          <w:szCs w:val="24"/>
        </w:rPr>
        <w:t>, 1–25 (2019).</w:t>
      </w:r>
    </w:p>
    <w:p w:rsidR="00F5292F" w:rsidRPr="00F5292F" w:rsidRDefault="00F5292F" w:rsidP="00F5292F">
      <w:pPr>
        <w:autoSpaceDE w:val="0"/>
        <w:autoSpaceDN w:val="0"/>
        <w:adjustRightInd w:val="0"/>
        <w:ind w:left="640" w:hanging="640"/>
        <w:jc w:val="left"/>
        <w:rPr>
          <w:rFonts w:ascii="Arial" w:hAnsi="Arial" w:cs="Arial"/>
          <w:noProof/>
          <w:kern w:val="0"/>
          <w:sz w:val="20"/>
          <w:szCs w:val="24"/>
        </w:rPr>
      </w:pPr>
      <w:r w:rsidRPr="00F5292F">
        <w:rPr>
          <w:rFonts w:ascii="Arial" w:hAnsi="Arial" w:cs="Arial"/>
          <w:noProof/>
          <w:kern w:val="0"/>
          <w:sz w:val="20"/>
          <w:szCs w:val="24"/>
        </w:rPr>
        <w:t>13.</w:t>
      </w:r>
      <w:r w:rsidRPr="00F5292F">
        <w:rPr>
          <w:rFonts w:ascii="Arial" w:hAnsi="Arial" w:cs="Arial"/>
          <w:noProof/>
          <w:kern w:val="0"/>
          <w:sz w:val="20"/>
          <w:szCs w:val="24"/>
        </w:rPr>
        <w:tab/>
        <w:t xml:space="preserve">Shen, X.-X. </w:t>
      </w:r>
      <w:r w:rsidRPr="00F5292F">
        <w:rPr>
          <w:rFonts w:ascii="Arial" w:hAnsi="Arial" w:cs="Arial"/>
          <w:i/>
          <w:iCs/>
          <w:noProof/>
          <w:kern w:val="0"/>
          <w:sz w:val="20"/>
          <w:szCs w:val="24"/>
        </w:rPr>
        <w:t>et al.</w:t>
      </w:r>
      <w:r w:rsidRPr="00F5292F">
        <w:rPr>
          <w:rFonts w:ascii="Arial" w:hAnsi="Arial" w:cs="Arial"/>
          <w:noProof/>
          <w:kern w:val="0"/>
          <w:sz w:val="20"/>
          <w:szCs w:val="24"/>
        </w:rPr>
        <w:t xml:space="preserve"> Tempo and Mode of Genome Evolution in the Budding Yeast Subphylum. </w:t>
      </w:r>
      <w:r w:rsidRPr="00F5292F">
        <w:rPr>
          <w:rFonts w:ascii="Arial" w:hAnsi="Arial" w:cs="Arial"/>
          <w:i/>
          <w:iCs/>
          <w:noProof/>
          <w:kern w:val="0"/>
          <w:sz w:val="20"/>
          <w:szCs w:val="24"/>
        </w:rPr>
        <w:t>Cell</w:t>
      </w:r>
      <w:r w:rsidRPr="00F5292F">
        <w:rPr>
          <w:rFonts w:ascii="Arial" w:hAnsi="Arial" w:cs="Arial"/>
          <w:noProof/>
          <w:kern w:val="0"/>
          <w:sz w:val="20"/>
          <w:szCs w:val="24"/>
        </w:rPr>
        <w:t xml:space="preserve"> </w:t>
      </w:r>
      <w:r w:rsidRPr="00F5292F">
        <w:rPr>
          <w:rFonts w:ascii="Arial" w:hAnsi="Arial" w:cs="Arial"/>
          <w:b/>
          <w:bCs/>
          <w:noProof/>
          <w:kern w:val="0"/>
          <w:sz w:val="20"/>
          <w:szCs w:val="24"/>
        </w:rPr>
        <w:t>175</w:t>
      </w:r>
      <w:r w:rsidRPr="00F5292F">
        <w:rPr>
          <w:rFonts w:ascii="Arial" w:hAnsi="Arial" w:cs="Arial"/>
          <w:noProof/>
          <w:kern w:val="0"/>
          <w:sz w:val="20"/>
          <w:szCs w:val="24"/>
        </w:rPr>
        <w:t>, 1533–1545 (2018).</w:t>
      </w:r>
    </w:p>
    <w:p w:rsidR="00F5292F" w:rsidRPr="00F5292F" w:rsidRDefault="00F5292F" w:rsidP="00F5292F">
      <w:pPr>
        <w:autoSpaceDE w:val="0"/>
        <w:autoSpaceDN w:val="0"/>
        <w:adjustRightInd w:val="0"/>
        <w:ind w:left="640" w:hanging="640"/>
        <w:jc w:val="left"/>
        <w:rPr>
          <w:rFonts w:ascii="Arial" w:hAnsi="Arial" w:cs="Arial"/>
          <w:noProof/>
          <w:kern w:val="0"/>
          <w:sz w:val="20"/>
          <w:szCs w:val="24"/>
        </w:rPr>
      </w:pPr>
      <w:r w:rsidRPr="00F5292F">
        <w:rPr>
          <w:rFonts w:ascii="Arial" w:hAnsi="Arial" w:cs="Arial"/>
          <w:noProof/>
          <w:kern w:val="0"/>
          <w:sz w:val="20"/>
          <w:szCs w:val="24"/>
        </w:rPr>
        <w:t>14.</w:t>
      </w:r>
      <w:r w:rsidRPr="00F5292F">
        <w:rPr>
          <w:rFonts w:ascii="Arial" w:hAnsi="Arial" w:cs="Arial"/>
          <w:noProof/>
          <w:kern w:val="0"/>
          <w:sz w:val="20"/>
          <w:szCs w:val="24"/>
        </w:rPr>
        <w:tab/>
        <w:t xml:space="preserve">Steenwyk, J. L. </w:t>
      </w:r>
      <w:r w:rsidRPr="00F5292F">
        <w:rPr>
          <w:rFonts w:ascii="Arial" w:hAnsi="Arial" w:cs="Arial"/>
          <w:i/>
          <w:iCs/>
          <w:noProof/>
          <w:kern w:val="0"/>
          <w:sz w:val="20"/>
          <w:szCs w:val="24"/>
        </w:rPr>
        <w:t>et al.</w:t>
      </w:r>
      <w:r w:rsidRPr="00F5292F">
        <w:rPr>
          <w:rFonts w:ascii="Arial" w:hAnsi="Arial" w:cs="Arial"/>
          <w:noProof/>
          <w:kern w:val="0"/>
          <w:sz w:val="20"/>
          <w:szCs w:val="24"/>
        </w:rPr>
        <w:t xml:space="preserve"> Extensive loss of cell-cycle and DNA repair genes in an ancient lineage of bipolar budding yeasts. </w:t>
      </w:r>
      <w:r w:rsidRPr="00F5292F">
        <w:rPr>
          <w:rFonts w:ascii="Arial" w:hAnsi="Arial" w:cs="Arial"/>
          <w:i/>
          <w:iCs/>
          <w:noProof/>
          <w:kern w:val="0"/>
          <w:sz w:val="20"/>
          <w:szCs w:val="24"/>
        </w:rPr>
        <w:t>PLOS Biol.</w:t>
      </w:r>
      <w:r w:rsidRPr="00F5292F">
        <w:rPr>
          <w:rFonts w:ascii="Arial" w:hAnsi="Arial" w:cs="Arial"/>
          <w:noProof/>
          <w:kern w:val="0"/>
          <w:sz w:val="20"/>
          <w:szCs w:val="24"/>
        </w:rPr>
        <w:t xml:space="preserve"> </w:t>
      </w:r>
      <w:r w:rsidRPr="00F5292F">
        <w:rPr>
          <w:rFonts w:ascii="Arial" w:hAnsi="Arial" w:cs="Arial"/>
          <w:b/>
          <w:bCs/>
          <w:noProof/>
          <w:kern w:val="0"/>
          <w:sz w:val="20"/>
          <w:szCs w:val="24"/>
        </w:rPr>
        <w:t>17</w:t>
      </w:r>
      <w:r w:rsidRPr="00F5292F">
        <w:rPr>
          <w:rFonts w:ascii="Arial" w:hAnsi="Arial" w:cs="Arial"/>
          <w:noProof/>
          <w:kern w:val="0"/>
          <w:sz w:val="20"/>
          <w:szCs w:val="24"/>
        </w:rPr>
        <w:t>, e3000255 (2019).</w:t>
      </w:r>
    </w:p>
    <w:p w:rsidR="00F5292F" w:rsidRPr="00F5292F" w:rsidRDefault="00F5292F" w:rsidP="00F5292F">
      <w:pPr>
        <w:autoSpaceDE w:val="0"/>
        <w:autoSpaceDN w:val="0"/>
        <w:adjustRightInd w:val="0"/>
        <w:ind w:left="640" w:hanging="640"/>
        <w:jc w:val="left"/>
        <w:rPr>
          <w:rFonts w:ascii="Arial" w:hAnsi="Arial" w:cs="Arial"/>
          <w:noProof/>
          <w:sz w:val="20"/>
        </w:rPr>
      </w:pPr>
      <w:r w:rsidRPr="00F5292F">
        <w:rPr>
          <w:rFonts w:ascii="Arial" w:hAnsi="Arial" w:cs="Arial"/>
          <w:noProof/>
          <w:kern w:val="0"/>
          <w:sz w:val="20"/>
          <w:szCs w:val="24"/>
        </w:rPr>
        <w:t>15.</w:t>
      </w:r>
      <w:r w:rsidRPr="00F5292F">
        <w:rPr>
          <w:rFonts w:ascii="Arial" w:hAnsi="Arial" w:cs="Arial"/>
          <w:noProof/>
          <w:kern w:val="0"/>
          <w:sz w:val="20"/>
          <w:szCs w:val="24"/>
        </w:rPr>
        <w:tab/>
        <w:t xml:space="preserve">Leavitt, S. D. </w:t>
      </w:r>
      <w:r w:rsidRPr="00F5292F">
        <w:rPr>
          <w:rFonts w:ascii="Arial" w:hAnsi="Arial" w:cs="Arial"/>
          <w:i/>
          <w:iCs/>
          <w:noProof/>
          <w:kern w:val="0"/>
          <w:sz w:val="20"/>
          <w:szCs w:val="24"/>
        </w:rPr>
        <w:t>et al.</w:t>
      </w:r>
      <w:r w:rsidRPr="00F5292F">
        <w:rPr>
          <w:rFonts w:ascii="Arial" w:hAnsi="Arial" w:cs="Arial"/>
          <w:noProof/>
          <w:kern w:val="0"/>
          <w:sz w:val="20"/>
          <w:szCs w:val="24"/>
        </w:rPr>
        <w:t xml:space="preserve"> Resolving evolutionary relationships in lichen-forming fungi using diverse phylogenomic datasets and analytical approaches. </w:t>
      </w:r>
      <w:r w:rsidRPr="00F5292F">
        <w:rPr>
          <w:rFonts w:ascii="Arial" w:hAnsi="Arial" w:cs="Arial"/>
          <w:i/>
          <w:iCs/>
          <w:noProof/>
          <w:kern w:val="0"/>
          <w:sz w:val="20"/>
          <w:szCs w:val="24"/>
        </w:rPr>
        <w:t>Sci. Rep.</w:t>
      </w:r>
      <w:r w:rsidRPr="00F5292F">
        <w:rPr>
          <w:rFonts w:ascii="Arial" w:hAnsi="Arial" w:cs="Arial"/>
          <w:noProof/>
          <w:kern w:val="0"/>
          <w:sz w:val="20"/>
          <w:szCs w:val="24"/>
        </w:rPr>
        <w:t xml:space="preserve"> </w:t>
      </w:r>
      <w:r w:rsidRPr="00F5292F">
        <w:rPr>
          <w:rFonts w:ascii="Arial" w:hAnsi="Arial" w:cs="Arial"/>
          <w:b/>
          <w:bCs/>
          <w:noProof/>
          <w:kern w:val="0"/>
          <w:sz w:val="20"/>
          <w:szCs w:val="24"/>
        </w:rPr>
        <w:t>6</w:t>
      </w:r>
      <w:r w:rsidRPr="00F5292F">
        <w:rPr>
          <w:rFonts w:ascii="Arial" w:hAnsi="Arial" w:cs="Arial"/>
          <w:noProof/>
          <w:kern w:val="0"/>
          <w:sz w:val="20"/>
          <w:szCs w:val="24"/>
        </w:rPr>
        <w:t>, 22262 (2016).</w:t>
      </w:r>
    </w:p>
    <w:p w:rsidR="00FB1F65" w:rsidRDefault="00FB1F65">
      <w:pPr>
        <w:rPr>
          <w:rFonts w:ascii="Arial" w:hAnsi="Arial" w:cs="Arial"/>
          <w:color w:val="3C4043"/>
          <w:szCs w:val="21"/>
          <w:shd w:val="clear" w:color="auto" w:fill="FFFFFF"/>
        </w:rPr>
      </w:pPr>
      <w:r>
        <w:rPr>
          <w:rFonts w:ascii="Arial" w:hAnsi="Arial" w:cs="Arial"/>
          <w:color w:val="3C4043"/>
          <w:szCs w:val="21"/>
          <w:shd w:val="clear" w:color="auto" w:fill="FFFFFF"/>
        </w:rPr>
        <w:fldChar w:fldCharType="end"/>
      </w:r>
    </w:p>
    <w:p w:rsidR="00FB1F65" w:rsidRPr="00B47FB5" w:rsidRDefault="00FB1F65">
      <w:pPr>
        <w:rPr>
          <w:rFonts w:ascii="Times New Roman" w:hAnsi="Times New Roman" w:cs="Times New Roman"/>
          <w:sz w:val="24"/>
          <w:szCs w:val="24"/>
        </w:rPr>
      </w:pPr>
    </w:p>
    <w:sectPr w:rsidR="00FB1F65" w:rsidRPr="00B47FB5" w:rsidSect="00B47FB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MwsTAwN7U0Mjc0tjBU0lEKTi0uzszPAykwrAUAO5RolywAAAA="/>
  </w:docVars>
  <w:rsids>
    <w:rsidRoot w:val="004837BA"/>
    <w:rsid w:val="000F4176"/>
    <w:rsid w:val="00174EAE"/>
    <w:rsid w:val="00197437"/>
    <w:rsid w:val="001A41E2"/>
    <w:rsid w:val="001F2814"/>
    <w:rsid w:val="002F2F30"/>
    <w:rsid w:val="003F17B8"/>
    <w:rsid w:val="004837BA"/>
    <w:rsid w:val="005B3A42"/>
    <w:rsid w:val="00664D25"/>
    <w:rsid w:val="006F4F50"/>
    <w:rsid w:val="008214CF"/>
    <w:rsid w:val="00847BEA"/>
    <w:rsid w:val="00873122"/>
    <w:rsid w:val="008839D3"/>
    <w:rsid w:val="008B5CF5"/>
    <w:rsid w:val="008D50BC"/>
    <w:rsid w:val="009329A8"/>
    <w:rsid w:val="00961B1A"/>
    <w:rsid w:val="009622EC"/>
    <w:rsid w:val="00A448EF"/>
    <w:rsid w:val="00A55EF9"/>
    <w:rsid w:val="00B2347A"/>
    <w:rsid w:val="00B47FB5"/>
    <w:rsid w:val="00C5053F"/>
    <w:rsid w:val="00C52690"/>
    <w:rsid w:val="00C94C09"/>
    <w:rsid w:val="00CD6145"/>
    <w:rsid w:val="00CE14EE"/>
    <w:rsid w:val="00E224FB"/>
    <w:rsid w:val="00E32D2A"/>
    <w:rsid w:val="00E858BF"/>
    <w:rsid w:val="00F33540"/>
    <w:rsid w:val="00F5292F"/>
    <w:rsid w:val="00F535FC"/>
    <w:rsid w:val="00FB1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40B7C-43F4-427B-9E9B-2EC78E47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7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856586">
      <w:bodyDiv w:val="1"/>
      <w:marLeft w:val="0"/>
      <w:marRight w:val="0"/>
      <w:marTop w:val="0"/>
      <w:marBottom w:val="0"/>
      <w:divBdr>
        <w:top w:val="none" w:sz="0" w:space="0" w:color="auto"/>
        <w:left w:val="none" w:sz="0" w:space="0" w:color="auto"/>
        <w:bottom w:val="none" w:sz="0" w:space="0" w:color="auto"/>
        <w:right w:val="none" w:sz="0" w:space="0" w:color="auto"/>
      </w:divBdr>
    </w:div>
    <w:div w:id="121072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CC846-04B3-416A-995A-355F3369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8763</Words>
  <Characters>49950</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xingxing</dc:creator>
  <cp:keywords/>
  <dc:description/>
  <cp:lastModifiedBy>Shen, Xingxing</cp:lastModifiedBy>
  <cp:revision>39</cp:revision>
  <dcterms:created xsi:type="dcterms:W3CDTF">2020-02-17T04:06:00Z</dcterms:created>
  <dcterms:modified xsi:type="dcterms:W3CDTF">2020-09-24T01:24:00Z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f467572d-eecc-3d9c-9ddf-f8081c510c2c</vt:lpwstr>
  </property>
  <property fmtid="{D5CDD505-2E9C-101B-9397-08002B2CF9AE}" pid="4" name="Mendeley Citation Style_1">
    <vt:lpwstr>http://www.zotero.org/styles/nature-communications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http://www.zotero.org/styles/bmc-genomics</vt:lpwstr>
  </property>
  <property fmtid="{D5CDD505-2E9C-101B-9397-08002B2CF9AE}" pid="12" name="Mendeley Recent Style Name 3_1">
    <vt:lpwstr>BMC Genomics</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http://www.zotero.org/styles/nature-communications</vt:lpwstr>
  </property>
  <property fmtid="{D5CDD505-2E9C-101B-9397-08002B2CF9AE}" pid="20" name="Mendeley Recent Style Name 7_1">
    <vt:lpwstr>Nature Communications</vt:lpwstr>
  </property>
  <property fmtid="{D5CDD505-2E9C-101B-9397-08002B2CF9AE}" pid="21" name="Mendeley Recent Style Id 8_1">
    <vt:lpwstr>http://www.zotero.org/styles/pnas</vt:lpwstr>
  </property>
  <property fmtid="{D5CDD505-2E9C-101B-9397-08002B2CF9AE}" pid="22" name="Mendeley Recent Style Name 8_1">
    <vt:lpwstr>Proceedings of the National Academy of Sciences of the United States of America</vt:lpwstr>
  </property>
  <property fmtid="{D5CDD505-2E9C-101B-9397-08002B2CF9AE}" pid="23" name="Mendeley Recent Style Id 9_1">
    <vt:lpwstr>http://www.zotero.org/styles/science-advances</vt:lpwstr>
  </property>
  <property fmtid="{D5CDD505-2E9C-101B-9397-08002B2CF9AE}" pid="24" name="Mendeley Recent Style Name 9_1">
    <vt:lpwstr>Science Advances</vt:lpwstr>
  </property>
</Properties>
</file>