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15D0E" w14:textId="77777777" w:rsidR="00876D9B" w:rsidRDefault="00876D9B" w:rsidP="00876D9B">
      <w:pPr>
        <w:rPr>
          <w:b/>
        </w:rPr>
      </w:pPr>
      <w:r>
        <w:rPr>
          <w:b/>
        </w:rPr>
        <w:t>Supplemental data</w:t>
      </w:r>
    </w:p>
    <w:p w14:paraId="18291C1A" w14:textId="58DC1F00" w:rsidR="001F6CC1" w:rsidRPr="00406804" w:rsidRDefault="001F6CC1" w:rsidP="002D7911">
      <w:pPr>
        <w:pStyle w:val="Articletitle"/>
      </w:pPr>
      <w:bookmarkStart w:id="0" w:name="_Hlk42591282"/>
      <w:r w:rsidRPr="00406804">
        <w:t xml:space="preserve">Xrn1-resistant RNA </w:t>
      </w:r>
      <w:r>
        <w:t xml:space="preserve">structures </w:t>
      </w:r>
      <w:r w:rsidRPr="00406804">
        <w:t xml:space="preserve">are </w:t>
      </w:r>
      <w:r>
        <w:t>well</w:t>
      </w:r>
      <w:r w:rsidR="00BD574D">
        <w:t>-</w:t>
      </w:r>
      <w:r w:rsidRPr="00406804">
        <w:t xml:space="preserve">conserved within the </w:t>
      </w:r>
      <w:r>
        <w:t xml:space="preserve">genus </w:t>
      </w:r>
      <w:r w:rsidRPr="00406804">
        <w:t>flavi</w:t>
      </w:r>
      <w:r>
        <w:t>vi</w:t>
      </w:r>
      <w:r w:rsidRPr="00406804">
        <w:t>rus</w:t>
      </w:r>
    </w:p>
    <w:bookmarkEnd w:id="0"/>
    <w:p w14:paraId="7C27CC30" w14:textId="15450C43" w:rsidR="001F6CC1" w:rsidRPr="002D7911" w:rsidRDefault="001F6CC1" w:rsidP="002D7911">
      <w:pPr>
        <w:pStyle w:val="Authornames"/>
      </w:pPr>
      <w:r>
        <w:t xml:space="preserve">Ivar W. </w:t>
      </w:r>
      <w:proofErr w:type="spellStart"/>
      <w:r>
        <w:t>Dilweg</w:t>
      </w:r>
      <w:r>
        <w:rPr>
          <w:vertAlign w:val="superscript"/>
        </w:rPr>
        <w:t>a</w:t>
      </w:r>
      <w:proofErr w:type="spellEnd"/>
      <w:r w:rsidRPr="00384DCA">
        <w:t xml:space="preserve">, </w:t>
      </w:r>
      <w:proofErr w:type="spellStart"/>
      <w:r w:rsidRPr="00384DCA">
        <w:t>A</w:t>
      </w:r>
      <w:r w:rsidR="002D7911">
        <w:t>ssi</w:t>
      </w:r>
      <w:r w:rsidRPr="00384DCA">
        <w:t>a</w:t>
      </w:r>
      <w:proofErr w:type="spellEnd"/>
      <w:r w:rsidRPr="00384DCA">
        <w:t xml:space="preserve"> </w:t>
      </w:r>
      <w:proofErr w:type="spellStart"/>
      <w:r w:rsidRPr="00384DCA">
        <w:t>Bouabda</w:t>
      </w:r>
      <w:r w:rsidRPr="00384DCA">
        <w:rPr>
          <w:vertAlign w:val="superscript"/>
        </w:rPr>
        <w:t>b</w:t>
      </w:r>
      <w:proofErr w:type="spellEnd"/>
      <w:r w:rsidRPr="00384DCA">
        <w:t xml:space="preserve">, Tim </w:t>
      </w:r>
      <w:proofErr w:type="spellStart"/>
      <w:r w:rsidRPr="00384DCA">
        <w:t>Dalebout</w:t>
      </w:r>
      <w:r w:rsidRPr="00384DCA">
        <w:rPr>
          <w:vertAlign w:val="superscript"/>
        </w:rPr>
        <w:t>b</w:t>
      </w:r>
      <w:proofErr w:type="spellEnd"/>
      <w:r>
        <w:t xml:space="preserve">, Alexander P. </w:t>
      </w:r>
      <w:proofErr w:type="spellStart"/>
      <w:proofErr w:type="gramStart"/>
      <w:r>
        <w:t>Gultyaev</w:t>
      </w:r>
      <w:r>
        <w:rPr>
          <w:vertAlign w:val="superscript"/>
        </w:rPr>
        <w:t>cd</w:t>
      </w:r>
      <w:proofErr w:type="spellEnd"/>
      <w:r w:rsidRPr="00384DCA">
        <w:t xml:space="preserve"> ,Peter</w:t>
      </w:r>
      <w:proofErr w:type="gramEnd"/>
      <w:r w:rsidRPr="00384DCA">
        <w:t xml:space="preserve"> </w:t>
      </w:r>
      <w:proofErr w:type="spellStart"/>
      <w:r w:rsidRPr="00384DCA">
        <w:t>Bredenbeek</w:t>
      </w:r>
      <w:r w:rsidRPr="00384DCA">
        <w:rPr>
          <w:vertAlign w:val="superscript"/>
        </w:rPr>
        <w:t>b</w:t>
      </w:r>
      <w:proofErr w:type="spellEnd"/>
      <w:r>
        <w:t xml:space="preserve">, René C. </w:t>
      </w:r>
      <w:proofErr w:type="spellStart"/>
      <w:r>
        <w:t>Olsthoorn</w:t>
      </w:r>
      <w:r>
        <w:rPr>
          <w:vertAlign w:val="superscript"/>
        </w:rPr>
        <w:t>a</w:t>
      </w:r>
      <w:proofErr w:type="spellEnd"/>
    </w:p>
    <w:p w14:paraId="1DD136DD" w14:textId="4982D83E" w:rsidR="001F6CC1" w:rsidRDefault="001F6CC1" w:rsidP="002D7911">
      <w:pPr>
        <w:pStyle w:val="Affiliation"/>
      </w:pPr>
      <w:r>
        <w:rPr>
          <w:position w:val="8"/>
        </w:rPr>
        <w:t>a</w:t>
      </w:r>
      <w:r>
        <w:t xml:space="preserve">Leiden Institute of Chemistry, Leiden University, P.O. Box 9502, 2300 RA Leiden, The Netherlands; </w:t>
      </w:r>
      <w:r>
        <w:rPr>
          <w:position w:val="8"/>
        </w:rPr>
        <w:t>b</w:t>
      </w:r>
      <w:r>
        <w:t xml:space="preserve">Department of Medical Microbiology, Leiden University  Medical Center , 2300 RC, Leiden The Netherlands;  </w:t>
      </w:r>
      <w:r>
        <w:rPr>
          <w:position w:val="8"/>
        </w:rPr>
        <w:t>c</w:t>
      </w:r>
      <w:r>
        <w:t xml:space="preserve">Leiden Institute of Advanced Computer Science, Leiden University, P.O. Box 9512, 2300 RA Leiden, The Netherlands; </w:t>
      </w:r>
      <w:r>
        <w:rPr>
          <w:position w:val="8"/>
        </w:rPr>
        <w:t>d</w:t>
      </w:r>
      <w:r>
        <w:t xml:space="preserve">Department of </w:t>
      </w:r>
      <w:proofErr w:type="spellStart"/>
      <w:r>
        <w:t>Viroscience</w:t>
      </w:r>
      <w:proofErr w:type="spellEnd"/>
      <w:r>
        <w:t xml:space="preserve">, Erasmus Medical </w:t>
      </w:r>
      <w:proofErr w:type="spellStart"/>
      <w:r>
        <w:t>Center</w:t>
      </w:r>
      <w:proofErr w:type="spellEnd"/>
      <w:r>
        <w:t xml:space="preserve">, P.O. Box 2040, 3000 CA Rotterdam, The Netherlands. </w:t>
      </w:r>
    </w:p>
    <w:p w14:paraId="6F1C6D17" w14:textId="77777777" w:rsidR="002D7911" w:rsidRDefault="002D7911" w:rsidP="002D7911">
      <w:pPr>
        <w:pStyle w:val="Correspondencedetails"/>
      </w:pPr>
      <w:r>
        <w:rPr>
          <w:b/>
          <w:bCs/>
        </w:rPr>
        <w:t xml:space="preserve">Correspondence: </w:t>
      </w:r>
      <w:r>
        <w:t xml:space="preserve">R.C. </w:t>
      </w:r>
      <w:proofErr w:type="spellStart"/>
      <w:r>
        <w:t>Olsthoorn</w:t>
      </w:r>
      <w:proofErr w:type="spellEnd"/>
      <w:r>
        <w:t xml:space="preserve">, </w:t>
      </w:r>
      <w:r>
        <w:rPr>
          <w:color w:val="0260BF"/>
          <w:u w:color="0260BF"/>
        </w:rPr>
        <w:t>olsthoor@chem.leidenuniv.nl</w:t>
      </w:r>
      <w:r>
        <w:t xml:space="preserve">, Leiden University, P.O. Box 9502, 2300 RA Leiden, the Netherlands </w:t>
      </w:r>
    </w:p>
    <w:p w14:paraId="135EC7AF" w14:textId="77777777" w:rsidR="00197504" w:rsidRDefault="00197504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CB883B8" w14:textId="77777777" w:rsidR="00C2438B" w:rsidRDefault="00AF5588" w:rsidP="00C2438B">
      <w:pPr>
        <w:spacing w:after="200" w:line="276" w:lineRule="auto"/>
        <w:jc w:val="center"/>
        <w:rPr>
          <w:b/>
        </w:rPr>
      </w:pPr>
      <w:r>
        <w:rPr>
          <w:b/>
          <w:noProof/>
        </w:rPr>
        <w:lastRenderedPageBreak/>
        <w:pict w14:anchorId="5503E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322.1pt;height:178.75pt;mso-width-percent:0;mso-height-percent:0;mso-width-percent:0;mso-height-percent:0">
            <v:imagedata r:id="rId6" o:title="Supplementary Figure S1"/>
          </v:shape>
        </w:pict>
      </w:r>
    </w:p>
    <w:p w14:paraId="214B6B68" w14:textId="53176F56" w:rsidR="00F0357D" w:rsidRDefault="0093567F">
      <w:pPr>
        <w:spacing w:after="200" w:line="276" w:lineRule="auto"/>
        <w:rPr>
          <w:b/>
          <w:sz w:val="20"/>
          <w:szCs w:val="20"/>
        </w:rPr>
      </w:pPr>
      <w:r w:rsidRPr="00A61F0D">
        <w:rPr>
          <w:b/>
        </w:rPr>
        <w:t>Supplementary F</w:t>
      </w:r>
      <w:r>
        <w:rPr>
          <w:b/>
        </w:rPr>
        <w:t>igure S1.</w:t>
      </w:r>
      <w:r w:rsidR="00925404">
        <w:rPr>
          <w:b/>
        </w:rPr>
        <w:t xml:space="preserve"> Schematic representation of the secondary structure two classes of </w:t>
      </w:r>
      <w:proofErr w:type="spellStart"/>
      <w:r w:rsidR="00925404">
        <w:rPr>
          <w:b/>
        </w:rPr>
        <w:t>flaviviral</w:t>
      </w:r>
      <w:proofErr w:type="spellEnd"/>
      <w:r w:rsidR="00925404">
        <w:rPr>
          <w:b/>
        </w:rPr>
        <w:t xml:space="preserve"> </w:t>
      </w:r>
      <w:proofErr w:type="spellStart"/>
      <w:r w:rsidR="00925404">
        <w:rPr>
          <w:b/>
        </w:rPr>
        <w:t>xrRNA</w:t>
      </w:r>
      <w:proofErr w:type="spellEnd"/>
      <w:r w:rsidR="00925404">
        <w:rPr>
          <w:b/>
        </w:rPr>
        <w:t xml:space="preserve">, as proposed by </w:t>
      </w:r>
      <w:proofErr w:type="spellStart"/>
      <w:r w:rsidR="00925404">
        <w:rPr>
          <w:b/>
        </w:rPr>
        <w:t>MacFadden</w:t>
      </w:r>
      <w:proofErr w:type="spellEnd"/>
      <w:r w:rsidR="00925404">
        <w:rPr>
          <w:b/>
        </w:rPr>
        <w:t xml:space="preserve"> et al. </w:t>
      </w:r>
      <w:r w:rsidR="00925404">
        <w:t xml:space="preserve">Previously identified tertiary interactions are depicted in </w:t>
      </w:r>
      <w:proofErr w:type="spellStart"/>
      <w:r w:rsidR="00925404">
        <w:t>colored</w:t>
      </w:r>
      <w:proofErr w:type="spellEnd"/>
      <w:r w:rsidR="00925404">
        <w:t>, dashed boxes. The previously proposed Xrn1</w:t>
      </w:r>
      <w:r w:rsidR="00295EB7">
        <w:t>-</w:t>
      </w:r>
      <w:r w:rsidR="00925404">
        <w:t>stalling site is depicted by the red arrows for each class.</w:t>
      </w:r>
      <w:r w:rsidR="00F0357D">
        <w:rPr>
          <w:b/>
          <w:sz w:val="20"/>
          <w:szCs w:val="20"/>
        </w:rPr>
        <w:br w:type="page"/>
      </w:r>
    </w:p>
    <w:p w14:paraId="361F4DA1" w14:textId="4A079E29" w:rsidR="00772340" w:rsidRPr="00071515" w:rsidRDefault="002C2839" w:rsidP="00A746AC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nl-NL" w:eastAsia="nl-NL"/>
        </w:rPr>
        <w:lastRenderedPageBreak/>
        <w:drawing>
          <wp:inline distT="0" distB="0" distL="0" distR="0" wp14:anchorId="07F1A8AB" wp14:editId="0CC97FE3">
            <wp:extent cx="5756910" cy="27870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FD7C" w14:textId="451725BD" w:rsidR="00F0357D" w:rsidRDefault="00A746AC" w:rsidP="002D7911">
      <w:pPr>
        <w:pStyle w:val="Figurecaption"/>
      </w:pPr>
      <w:r w:rsidRPr="00A61F0D">
        <w:rPr>
          <w:b/>
        </w:rPr>
        <w:t>Supplementary Figure S</w:t>
      </w:r>
      <w:r w:rsidR="00F0357D">
        <w:rPr>
          <w:b/>
        </w:rPr>
        <w:t>2</w:t>
      </w:r>
      <w:r w:rsidR="00772340" w:rsidRPr="00A61F0D">
        <w:rPr>
          <w:b/>
        </w:rPr>
        <w:t>. Additional three-dimensional model structures of TB</w:t>
      </w:r>
      <w:r w:rsidR="002C2839">
        <w:rPr>
          <w:b/>
        </w:rPr>
        <w:t>E</w:t>
      </w:r>
      <w:r w:rsidR="00772340" w:rsidRPr="00A61F0D">
        <w:rPr>
          <w:b/>
        </w:rPr>
        <w:t>V and NKVFV Xrn1 stalling sites.</w:t>
      </w:r>
      <w:r w:rsidR="00772340" w:rsidRPr="00A61F0D">
        <w:t xml:space="preserve"> Models are based on structural alignment following the sequences gained from the following accession numbers: </w:t>
      </w:r>
      <w:r w:rsidR="00A61F0D">
        <w:t xml:space="preserve">second Xrn1 stalling site of Tick-borne encephalitis virus </w:t>
      </w:r>
      <w:proofErr w:type="spellStart"/>
      <w:r w:rsidR="00A61F0D">
        <w:t>Sofjin</w:t>
      </w:r>
      <w:proofErr w:type="spellEnd"/>
      <w:r w:rsidR="00A61F0D">
        <w:t>-HO</w:t>
      </w:r>
      <w:r w:rsidR="00772340" w:rsidRPr="00A61F0D">
        <w:t xml:space="preserve"> (</w:t>
      </w:r>
      <w:r w:rsidR="00A61F0D">
        <w:t>TBEV 2</w:t>
      </w:r>
      <w:r w:rsidR="002C2839" w:rsidRPr="002C2839">
        <w:rPr>
          <w:vertAlign w:val="superscript"/>
        </w:rPr>
        <w:t>nd</w:t>
      </w:r>
      <w:r w:rsidR="00772340" w:rsidRPr="00A61F0D">
        <w:t xml:space="preserve">), </w:t>
      </w:r>
      <w:r w:rsidR="00A61F0D" w:rsidRPr="00A61F0D">
        <w:t>AB062064</w:t>
      </w:r>
      <w:r w:rsidR="00772340" w:rsidRPr="00A61F0D">
        <w:t xml:space="preserve">; </w:t>
      </w:r>
      <w:r w:rsidR="00A61F0D">
        <w:t>Montana myotis leukoencephalitis virus</w:t>
      </w:r>
      <w:r w:rsidR="00772340" w:rsidRPr="00A61F0D">
        <w:t xml:space="preserve"> (</w:t>
      </w:r>
      <w:r w:rsidR="00A61F0D">
        <w:t>MMLV</w:t>
      </w:r>
      <w:r w:rsidR="00772340" w:rsidRPr="00A61F0D">
        <w:t xml:space="preserve">), </w:t>
      </w:r>
      <w:r w:rsidR="00A61F0D">
        <w:t>NC_004119; first</w:t>
      </w:r>
      <w:r w:rsidR="002C2839">
        <w:t xml:space="preserve"> and second</w:t>
      </w:r>
      <w:r w:rsidR="00A61F0D" w:rsidRPr="00A61F0D">
        <w:t xml:space="preserve"> Xrn1 stalling site of </w:t>
      </w:r>
      <w:proofErr w:type="spellStart"/>
      <w:r w:rsidR="00A61F0D" w:rsidRPr="00A61F0D">
        <w:t>Apoi</w:t>
      </w:r>
      <w:proofErr w:type="spellEnd"/>
      <w:r w:rsidR="00A61F0D" w:rsidRPr="00A61F0D">
        <w:t xml:space="preserve"> virus</w:t>
      </w:r>
      <w:r w:rsidR="00772340" w:rsidRPr="00A61F0D">
        <w:t xml:space="preserve"> (APOIV</w:t>
      </w:r>
      <w:r w:rsidR="00A61F0D">
        <w:t xml:space="preserve"> 1</w:t>
      </w:r>
      <w:r w:rsidR="002C2839">
        <w:rPr>
          <w:vertAlign w:val="superscript"/>
        </w:rPr>
        <w:t>st</w:t>
      </w:r>
      <w:r w:rsidR="002C2839">
        <w:t>/2</w:t>
      </w:r>
      <w:r w:rsidR="002C2839" w:rsidRPr="002C2839">
        <w:rPr>
          <w:vertAlign w:val="superscript"/>
        </w:rPr>
        <w:t>nd</w:t>
      </w:r>
      <w:r w:rsidR="00772340" w:rsidRPr="00A61F0D">
        <w:t>),</w:t>
      </w:r>
      <w:r w:rsidR="00A61F0D" w:rsidRPr="00A61F0D">
        <w:t xml:space="preserve"> AF452050</w:t>
      </w:r>
      <w:r w:rsidR="00772340" w:rsidRPr="00A61F0D">
        <w:t>.</w:t>
      </w:r>
    </w:p>
    <w:p w14:paraId="45FB0550" w14:textId="77777777" w:rsidR="00F0357D" w:rsidRDefault="00F0357D">
      <w:pPr>
        <w:spacing w:after="200" w:line="276" w:lineRule="auto"/>
      </w:pPr>
      <w:r>
        <w:br w:type="page"/>
      </w:r>
    </w:p>
    <w:p w14:paraId="3405CD65" w14:textId="77777777" w:rsidR="0093567F" w:rsidRDefault="00AF5588" w:rsidP="002D7911">
      <w:pPr>
        <w:pStyle w:val="Figurecaption"/>
        <w:rPr>
          <w:b/>
        </w:rPr>
      </w:pPr>
      <w:r>
        <w:rPr>
          <w:b/>
          <w:noProof/>
        </w:rPr>
        <w:lastRenderedPageBreak/>
        <w:pict w14:anchorId="0541FF88">
          <v:shape id="_x0000_i1026" type="#_x0000_t75" alt="" style="width:397.25pt;height:238.1pt;mso-width-percent:0;mso-height-percent:0;mso-width-percent:0;mso-height-percent:0">
            <v:imagedata r:id="rId8" o:title="Supplementary Figure S3, with quantification"/>
          </v:shape>
        </w:pict>
      </w:r>
    </w:p>
    <w:p w14:paraId="69F1F725" w14:textId="17C8FA6A" w:rsidR="00A746AC" w:rsidRPr="00A61F0D" w:rsidRDefault="0093567F" w:rsidP="002D7911">
      <w:pPr>
        <w:pStyle w:val="Figurecaption"/>
        <w:rPr>
          <w:b/>
        </w:rPr>
      </w:pPr>
      <w:r w:rsidRPr="00A61F0D">
        <w:rPr>
          <w:b/>
        </w:rPr>
        <w:t>Supplementary F</w:t>
      </w:r>
      <w:r>
        <w:rPr>
          <w:b/>
        </w:rPr>
        <w:t>igure S3.</w:t>
      </w:r>
      <w:r w:rsidR="00B15582">
        <w:rPr>
          <w:b/>
        </w:rPr>
        <w:t xml:space="preserve"> </w:t>
      </w:r>
      <w:r w:rsidR="00B15582" w:rsidRPr="002D7911">
        <w:rPr>
          <w:b/>
          <w:bCs/>
          <w:i/>
        </w:rPr>
        <w:t xml:space="preserve">In vitro </w:t>
      </w:r>
      <w:r w:rsidR="00B15582" w:rsidRPr="002D7911">
        <w:rPr>
          <w:b/>
          <w:bCs/>
        </w:rPr>
        <w:t>Xrn1 degradation assay demonstrating</w:t>
      </w:r>
      <w:r w:rsidR="00B15582">
        <w:rPr>
          <w:b/>
          <w:bCs/>
        </w:rPr>
        <w:t xml:space="preserve"> the effects of mutations targeted at the ε–stem (upper panel) and the base triple (lower panel) on Xrn1 resistance.</w:t>
      </w:r>
      <w:r w:rsidR="00B15582">
        <w:rPr>
          <w:b/>
        </w:rPr>
        <w:t xml:space="preserve"> </w:t>
      </w:r>
      <w:r w:rsidR="00B15582">
        <w:t>Mutant constructs, treated either with or without Xrn1, are represented above the corresponding denaturing polyacrylamide gels. Data below the gels depict the average percentage (± SD) of Xrn1-resistant RNA. ‘N.D.’ signifies that this value could not be determined reliably, but does not exceed 10%.</w:t>
      </w:r>
      <w:r w:rsidR="00A746AC" w:rsidRPr="00A61F0D">
        <w:rPr>
          <w:b/>
        </w:rPr>
        <w:br w:type="page"/>
      </w:r>
    </w:p>
    <w:p w14:paraId="4D24B640" w14:textId="34164FA8" w:rsidR="006C0651" w:rsidRDefault="00AF5588" w:rsidP="006C0651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nl-NL" w:eastAsia="nl-NL"/>
        </w:rPr>
        <w:lastRenderedPageBreak/>
        <w:pict w14:anchorId="0C79B4B6">
          <v:shape id="_x0000_i1025" type="#_x0000_t75" alt="" style="width:377.05pt;height:228pt;mso-width-percent:0;mso-height-percent:0;mso-width-percent:0;mso-height-percent:0">
            <v:imagedata r:id="rId9" o:title="Supplementary Figure S4, with quantification"/>
          </v:shape>
        </w:pict>
      </w:r>
    </w:p>
    <w:p w14:paraId="14709696" w14:textId="69177B0B" w:rsidR="006C0651" w:rsidRPr="00197504" w:rsidRDefault="006C0651" w:rsidP="002D7911">
      <w:pPr>
        <w:pStyle w:val="Figurecaption"/>
      </w:pPr>
      <w:r w:rsidRPr="002D7911">
        <w:rPr>
          <w:b/>
          <w:bCs/>
        </w:rPr>
        <w:t>Supplementary Figure S</w:t>
      </w:r>
      <w:r w:rsidR="00F0357D">
        <w:rPr>
          <w:b/>
          <w:bCs/>
        </w:rPr>
        <w:t>4</w:t>
      </w:r>
      <w:r w:rsidRPr="002D7911">
        <w:rPr>
          <w:b/>
          <w:bCs/>
        </w:rPr>
        <w:t xml:space="preserve">. </w:t>
      </w:r>
      <w:r w:rsidRPr="002D7911">
        <w:rPr>
          <w:b/>
          <w:bCs/>
          <w:i/>
        </w:rPr>
        <w:t xml:space="preserve">In vitro </w:t>
      </w:r>
      <w:r w:rsidRPr="002D7911">
        <w:rPr>
          <w:b/>
          <w:bCs/>
        </w:rPr>
        <w:t xml:space="preserve">Xrn1 degradation assay </w:t>
      </w:r>
      <w:r w:rsidR="00197504" w:rsidRPr="002D7911">
        <w:rPr>
          <w:b/>
          <w:bCs/>
        </w:rPr>
        <w:t>demonstrating the disruptive</w:t>
      </w:r>
      <w:r w:rsidRPr="002D7911">
        <w:rPr>
          <w:b/>
          <w:bCs/>
        </w:rPr>
        <w:t xml:space="preserve"> effects of mutations in the junction between stem β and ε.</w:t>
      </w:r>
      <w:r>
        <w:t xml:space="preserve"> </w:t>
      </w:r>
      <w:r w:rsidR="00197504">
        <w:t xml:space="preserve">The dashed box within the structural model of </w:t>
      </w:r>
      <w:r w:rsidR="00565649">
        <w:t xml:space="preserve">the first </w:t>
      </w:r>
      <w:proofErr w:type="spellStart"/>
      <w:r w:rsidR="00565649">
        <w:t>xrRNA</w:t>
      </w:r>
      <w:proofErr w:type="spellEnd"/>
      <w:r w:rsidR="00565649">
        <w:t xml:space="preserve"> of </w:t>
      </w:r>
      <w:r w:rsidR="00197504">
        <w:t xml:space="preserve">TBEV strain </w:t>
      </w:r>
      <w:proofErr w:type="spellStart"/>
      <w:r w:rsidR="00197504">
        <w:t>Sofjin</w:t>
      </w:r>
      <w:proofErr w:type="spellEnd"/>
      <w:r w:rsidR="00197504">
        <w:t>-HO shown on the left indicates the nucleotides of interest. Mutant constructs</w:t>
      </w:r>
      <w:r w:rsidR="00565649">
        <w:t>, treated either with or without Xrn1,</w:t>
      </w:r>
      <w:r w:rsidR="00197504">
        <w:t xml:space="preserve"> are represented in similar boxes above the corresponding denaturing polyacrylamide gels.</w:t>
      </w:r>
      <w:r w:rsidR="00B15582">
        <w:t xml:space="preserve"> Data below the gels depict the average percentage (± SD) of Xrn1-resistant RNA. ‘N.D.’ signifies that this value could not be determined reliably, but does not exceed 10%.</w:t>
      </w:r>
    </w:p>
    <w:sectPr w:rsidR="006C0651" w:rsidRPr="00197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18"/>
  </w:num>
  <w:num w:numId="21">
    <w:abstractNumId w:val="21"/>
  </w:num>
  <w:num w:numId="22">
    <w:abstractNumId w:val="22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attachedTemplate r:id="rId1"/>
  <w:linkStyles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3E4"/>
    <w:rsid w:val="00071515"/>
    <w:rsid w:val="000B76B3"/>
    <w:rsid w:val="00197504"/>
    <w:rsid w:val="001F6CC1"/>
    <w:rsid w:val="002257D9"/>
    <w:rsid w:val="002612DE"/>
    <w:rsid w:val="002829CB"/>
    <w:rsid w:val="00295EB7"/>
    <w:rsid w:val="002C2839"/>
    <w:rsid w:val="002D7911"/>
    <w:rsid w:val="00447F3B"/>
    <w:rsid w:val="004602A1"/>
    <w:rsid w:val="0053203A"/>
    <w:rsid w:val="00565649"/>
    <w:rsid w:val="005D02FD"/>
    <w:rsid w:val="006C0651"/>
    <w:rsid w:val="00725F7D"/>
    <w:rsid w:val="00772340"/>
    <w:rsid w:val="007E42C6"/>
    <w:rsid w:val="007F5B28"/>
    <w:rsid w:val="008153E4"/>
    <w:rsid w:val="00875BBC"/>
    <w:rsid w:val="00876D9B"/>
    <w:rsid w:val="0089776D"/>
    <w:rsid w:val="00925404"/>
    <w:rsid w:val="0093567F"/>
    <w:rsid w:val="00957A84"/>
    <w:rsid w:val="009A4B92"/>
    <w:rsid w:val="00A61F0D"/>
    <w:rsid w:val="00A746AC"/>
    <w:rsid w:val="00A92D54"/>
    <w:rsid w:val="00AF5588"/>
    <w:rsid w:val="00B15582"/>
    <w:rsid w:val="00BC1A64"/>
    <w:rsid w:val="00BD430E"/>
    <w:rsid w:val="00BD574D"/>
    <w:rsid w:val="00C2438B"/>
    <w:rsid w:val="00CD52D3"/>
    <w:rsid w:val="00D11502"/>
    <w:rsid w:val="00D45F21"/>
    <w:rsid w:val="00E665E3"/>
    <w:rsid w:val="00E6715A"/>
    <w:rsid w:val="00EF1DEA"/>
    <w:rsid w:val="00F0357D"/>
    <w:rsid w:val="00F9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09EF9"/>
  <w15:docId w15:val="{CF3BBBA4-B945-4766-8959-F9EA77C8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911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2D7911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2D7911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2D7911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2D7911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CB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qFormat/>
    <w:rsid w:val="00F92FFF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2D7911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2D7911"/>
    <w:rPr>
      <w:rFonts w:ascii="Times New Roman" w:eastAsia="Times New Roman" w:hAnsi="Times New Roman" w:cs="Arial"/>
      <w:b/>
      <w:bCs/>
      <w:i/>
      <w:iCs/>
      <w:sz w:val="24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2D7911"/>
    <w:rPr>
      <w:rFonts w:ascii="Times New Roman" w:eastAsia="Times New Roman" w:hAnsi="Times New Roman" w:cs="Arial"/>
      <w:bCs/>
      <w:i/>
      <w:sz w:val="24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2D7911"/>
    <w:rPr>
      <w:rFonts w:ascii="Times New Roman" w:eastAsia="Times New Roman" w:hAnsi="Times New Roman" w:cs="Times New Roman"/>
      <w:bCs/>
      <w:sz w:val="24"/>
      <w:szCs w:val="28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2D7911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2D7911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2D7911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2D7911"/>
  </w:style>
  <w:style w:type="paragraph" w:customStyle="1" w:styleId="Abstract">
    <w:name w:val="Abstract"/>
    <w:basedOn w:val="Normal"/>
    <w:next w:val="Keywords"/>
    <w:qFormat/>
    <w:rsid w:val="002D7911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2D7911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2D7911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2D7911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2D7911"/>
    <w:pPr>
      <w:widowControl/>
      <w:numPr>
        <w:numId w:val="13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2D7911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2D7911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2D7911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2D7911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2D7911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2D7911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2D7911"/>
  </w:style>
  <w:style w:type="paragraph" w:customStyle="1" w:styleId="Paragraph">
    <w:name w:val="Paragraph"/>
    <w:basedOn w:val="Normal"/>
    <w:next w:val="Newparagraph"/>
    <w:qFormat/>
    <w:rsid w:val="002D791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2D7911"/>
    <w:pPr>
      <w:ind w:firstLine="720"/>
    </w:pPr>
  </w:style>
  <w:style w:type="paragraph" w:styleId="NormalIndent">
    <w:name w:val="Normal Indent"/>
    <w:basedOn w:val="Normal"/>
    <w:rsid w:val="002D7911"/>
    <w:pPr>
      <w:ind w:left="720"/>
    </w:pPr>
  </w:style>
  <w:style w:type="paragraph" w:customStyle="1" w:styleId="References">
    <w:name w:val="References"/>
    <w:basedOn w:val="Normal"/>
    <w:qFormat/>
    <w:rsid w:val="002D7911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2D7911"/>
  </w:style>
  <w:style w:type="paragraph" w:customStyle="1" w:styleId="Bulletedlist">
    <w:name w:val="Bulleted list"/>
    <w:basedOn w:val="Paragraph"/>
    <w:next w:val="Paragraph"/>
    <w:qFormat/>
    <w:rsid w:val="002D7911"/>
    <w:pPr>
      <w:widowControl/>
      <w:numPr>
        <w:numId w:val="14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2D7911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2D7911"/>
    <w:rPr>
      <w:rFonts w:ascii="Times New Roman" w:eastAsia="Times New Roman" w:hAnsi="Times New Roman" w:cs="Times New Roman"/>
      <w:szCs w:val="20"/>
      <w:lang w:val="en-GB" w:eastAsia="en-GB"/>
    </w:rPr>
  </w:style>
  <w:style w:type="character" w:styleId="FootnoteReference">
    <w:name w:val="footnote reference"/>
    <w:basedOn w:val="DefaultParagraphFont"/>
    <w:rsid w:val="002D7911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2D7911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2D7911"/>
    <w:rPr>
      <w:rFonts w:ascii="Times New Roman" w:eastAsia="Times New Roman" w:hAnsi="Times New Roman" w:cs="Times New Roman"/>
      <w:szCs w:val="20"/>
      <w:lang w:val="en-GB" w:eastAsia="en-GB"/>
    </w:rPr>
  </w:style>
  <w:style w:type="character" w:styleId="EndnoteReference">
    <w:name w:val="endnote reference"/>
    <w:basedOn w:val="DefaultParagraphFont"/>
    <w:rsid w:val="002D7911"/>
    <w:rPr>
      <w:vertAlign w:val="superscript"/>
    </w:rPr>
  </w:style>
  <w:style w:type="paragraph" w:styleId="Header">
    <w:name w:val="header"/>
    <w:basedOn w:val="Normal"/>
    <w:link w:val="HeaderChar"/>
    <w:rsid w:val="002D7911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2D7911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2D791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2D7911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2D7911"/>
    <w:pPr>
      <w:widowControl/>
      <w:spacing w:before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r\Downloads\TF_Template_Word_Windows_2016\TF_Template_Word_Windows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67B41-1C06-4CAB-923D-86203879B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C:\Users\Ivar\Downloads\TF_Template_Word_Windows_2016\TF_Template_Word_Windows_2016.dotx</Template>
  <TotalTime>1</TotalTime>
  <Pages>5</Pages>
  <Words>392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 Dilweg</dc:creator>
  <cp:lastModifiedBy>Microsoft Office User</cp:lastModifiedBy>
  <cp:revision>2</cp:revision>
  <dcterms:created xsi:type="dcterms:W3CDTF">2020-09-22T13:42:00Z</dcterms:created>
  <dcterms:modified xsi:type="dcterms:W3CDTF">2020-09-22T13:42:00Z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http://www.zotero.org/styles/nucleic-acids-research</vt:lpwstr>
  </property>
  <property fmtid="{D5CDD505-2E9C-101B-9397-08002B2CF9AE}" pid="21" name="Mendeley Recent Style Name 9_1">
    <vt:lpwstr>Nucleic Acids Research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91275f24-44b6-3d5c-bda6-ec4ae493be7f</vt:lpwstr>
  </property>
  <property fmtid="{D5CDD505-2E9C-101B-9397-08002B2CF9AE}" pid="24" name="Mendeley Citation Style_1">
    <vt:lpwstr>http://www.zotero.org/styles/nature</vt:lpwstr>
  </property>
</Properties>
</file>