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281FD0C3" w14:textId="77777777" w:rsidR="00C62E81" w:rsidRDefault="00C62E81" w:rsidP="00C62E81">
      <w:pPr>
        <w:pStyle w:val="BodyC"/>
        <w:spacing w:line="276" w:lineRule="auto"/>
        <w:rPr>
          <w:rStyle w:val="None"/>
          <w:b/>
          <w:bCs/>
        </w:rPr>
      </w:pPr>
    </w:p>
    <w:p w14:paraId="5147BE11" w14:textId="33824863" w:rsidR="00C62E81" w:rsidRDefault="00C62E81" w:rsidP="00C62E81">
      <w:pPr>
        <w:pStyle w:val="BodyC"/>
        <w:spacing w:line="276" w:lineRule="auto"/>
      </w:pPr>
      <w:r>
        <w:rPr>
          <w:rStyle w:val="None"/>
          <w:b/>
          <w:bCs/>
        </w:rPr>
        <w:t xml:space="preserve">Supplementary </w:t>
      </w:r>
      <w:r>
        <w:rPr>
          <w:rStyle w:val="None"/>
          <w:b/>
          <w:bCs/>
        </w:rPr>
        <w:t>Table 1</w:t>
      </w:r>
      <w:r>
        <w:rPr>
          <w:rStyle w:val="Hyperlink3"/>
        </w:rPr>
        <w:t>: Animal husbandry and environmental conditions of the two zoological collections where cases of emphysematous ingluvitis originated.</w:t>
      </w:r>
    </w:p>
    <w:p w14:paraId="48537588" w14:textId="77777777" w:rsidR="00C62E81" w:rsidRDefault="00C62E81" w:rsidP="00C62E81">
      <w:pPr>
        <w:pStyle w:val="BodyC"/>
      </w:pPr>
    </w:p>
    <w:tbl>
      <w:tblPr>
        <w:tblW w:w="963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72"/>
        <w:gridCol w:w="3792"/>
        <w:gridCol w:w="4166"/>
      </w:tblGrid>
      <w:tr w:rsidR="00C62E81" w14:paraId="4659416E" w14:textId="77777777" w:rsidTr="0071197D">
        <w:trPr>
          <w:trHeight w:val="300"/>
        </w:trPr>
        <w:tc>
          <w:tcPr>
            <w:tcW w:w="16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0B6B3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  <w:b/>
                <w:bCs/>
              </w:rPr>
              <w:t>Husbandry / environmental conditions</w:t>
            </w:r>
          </w:p>
        </w:tc>
        <w:tc>
          <w:tcPr>
            <w:tcW w:w="7958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FDD822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  <w:b/>
                <w:bCs/>
              </w:rPr>
              <w:t>Zoological collection</w:t>
            </w:r>
          </w:p>
        </w:tc>
      </w:tr>
      <w:tr w:rsidR="00C62E81" w14:paraId="69E40EF7" w14:textId="77777777" w:rsidTr="0071197D">
        <w:trPr>
          <w:trHeight w:val="300"/>
        </w:trPr>
        <w:tc>
          <w:tcPr>
            <w:tcW w:w="167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92FF1D3" w14:textId="77777777" w:rsidR="00C62E81" w:rsidRDefault="00C62E81" w:rsidP="0071197D"/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5D15D3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  <w:b/>
                <w:bCs/>
              </w:rPr>
              <w:t>Z1</w:t>
            </w:r>
          </w:p>
        </w:tc>
        <w:tc>
          <w:tcPr>
            <w:tcW w:w="4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1B2840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  <w:b/>
                <w:bCs/>
              </w:rPr>
              <w:t>Z2</w:t>
            </w:r>
          </w:p>
        </w:tc>
      </w:tr>
      <w:tr w:rsidR="00C62E81" w14:paraId="32837318" w14:textId="77777777" w:rsidTr="0071197D">
        <w:trPr>
          <w:trHeight w:val="300"/>
        </w:trPr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1F1343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  <w:b/>
                <w:bCs/>
              </w:rPr>
              <w:t>Cases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32E301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</w:rPr>
              <w:t>B1-B5, B7-10 and both control birds.</w:t>
            </w:r>
          </w:p>
        </w:tc>
        <w:tc>
          <w:tcPr>
            <w:tcW w:w="4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3B8C55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</w:rPr>
              <w:t>B6</w:t>
            </w:r>
          </w:p>
        </w:tc>
      </w:tr>
      <w:tr w:rsidR="00C62E81" w14:paraId="54F6F380" w14:textId="77777777" w:rsidTr="0071197D">
        <w:trPr>
          <w:trHeight w:val="483"/>
        </w:trPr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32DDE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  <w:b/>
                <w:bCs/>
              </w:rPr>
              <w:t>Enclosure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388CB" w14:textId="77777777" w:rsidR="00C62E81" w:rsidRDefault="00C62E81" w:rsidP="0071197D">
            <w:pPr>
              <w:pStyle w:val="TableStyle2A"/>
              <w:rPr>
                <w:rFonts w:hint="eastAsia"/>
              </w:rPr>
            </w:pPr>
            <w:r>
              <w:rPr>
                <w:rStyle w:val="None"/>
              </w:rPr>
              <w:t>Indoors (24</w:t>
            </w:r>
            <w:r>
              <w:rPr>
                <w:rStyle w:val="None"/>
                <w:rFonts w:ascii="Times New Roman" w:hAnsi="Times New Roman"/>
                <w:vertAlign w:val="superscript"/>
              </w:rPr>
              <w:t>ᵒ</w:t>
            </w:r>
            <w:r>
              <w:rPr>
                <w:rStyle w:val="None"/>
              </w:rPr>
              <w:t>C) and outdoors access. Serviced twice daily.</w:t>
            </w:r>
          </w:p>
        </w:tc>
        <w:tc>
          <w:tcPr>
            <w:tcW w:w="4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83CA5C" w14:textId="77777777" w:rsidR="00C62E81" w:rsidRDefault="00C62E81" w:rsidP="0071197D">
            <w:pPr>
              <w:pStyle w:val="TableStyle2A"/>
              <w:rPr>
                <w:rFonts w:hint="eastAsia"/>
              </w:rPr>
            </w:pPr>
            <w:r>
              <w:rPr>
                <w:rStyle w:val="None"/>
              </w:rPr>
              <w:t>Indoor access (24</w:t>
            </w:r>
            <w:r>
              <w:rPr>
                <w:rStyle w:val="None"/>
                <w:rFonts w:ascii="Times New Roman" w:hAnsi="Times New Roman"/>
                <w:vertAlign w:val="superscript"/>
              </w:rPr>
              <w:t>ᵒ</w:t>
            </w:r>
            <w:r>
              <w:rPr>
                <w:rStyle w:val="None"/>
              </w:rPr>
              <w:t>C). Serviced twice daily.</w:t>
            </w:r>
          </w:p>
        </w:tc>
      </w:tr>
      <w:tr w:rsidR="00C62E81" w14:paraId="7DC71734" w14:textId="77777777" w:rsidTr="0071197D">
        <w:trPr>
          <w:trHeight w:val="959"/>
        </w:trPr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E86BAA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  <w:b/>
                <w:bCs/>
              </w:rPr>
              <w:t>Husbandry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771D65" w14:textId="77777777" w:rsidR="00C62E81" w:rsidRDefault="00C62E81" w:rsidP="0071197D">
            <w:pPr>
              <w:pStyle w:val="TableStyle2A"/>
              <w:rPr>
                <w:rFonts w:hint="eastAsia"/>
              </w:rPr>
            </w:pPr>
            <w:r>
              <w:rPr>
                <w:rStyle w:val="None"/>
              </w:rPr>
              <w:t>Purple naped lories and Mindanao lorikeets were kept as individual breeding pairs; breeding between aviaries was not synchronized. Yellow-backed chattering lories were kept communally and as pairs.</w:t>
            </w:r>
          </w:p>
        </w:tc>
        <w:tc>
          <w:tcPr>
            <w:tcW w:w="4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AF6DDA" w14:textId="77777777" w:rsidR="00C62E81" w:rsidRDefault="00C62E81" w:rsidP="0071197D">
            <w:pPr>
              <w:pStyle w:val="TableStyle2A"/>
              <w:rPr>
                <w:rStyle w:val="None"/>
                <w:rFonts w:hint="eastAsia"/>
              </w:rPr>
            </w:pPr>
            <w:r>
              <w:rPr>
                <w:rStyle w:val="None"/>
              </w:rPr>
              <w:t>Group of 34 rainbow lorikeets</w:t>
            </w:r>
          </w:p>
          <w:p w14:paraId="50162CF2" w14:textId="77777777" w:rsidR="00C62E81" w:rsidRDefault="00C62E81" w:rsidP="0071197D">
            <w:pPr>
              <w:pStyle w:val="TableStyle2A"/>
              <w:rPr>
                <w:rFonts w:hint="eastAsia"/>
              </w:rPr>
            </w:pPr>
            <w:r>
              <w:rPr>
                <w:rStyle w:val="None"/>
              </w:rPr>
              <w:t>Access to 8 nest boxes; individual breeding pairs occupied all boxes at any one time.</w:t>
            </w:r>
          </w:p>
        </w:tc>
      </w:tr>
      <w:tr w:rsidR="00C62E81" w14:paraId="3A8061DE" w14:textId="77777777" w:rsidTr="0071197D">
        <w:trPr>
          <w:trHeight w:val="1615"/>
        </w:trPr>
        <w:tc>
          <w:tcPr>
            <w:tcW w:w="16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2172E" w14:textId="77777777" w:rsidR="00C62E81" w:rsidRDefault="00C62E81" w:rsidP="0071197D">
            <w:pPr>
              <w:pStyle w:val="TableStyle2A"/>
              <w:jc w:val="center"/>
              <w:rPr>
                <w:rFonts w:hint="eastAsia"/>
              </w:rPr>
            </w:pPr>
            <w:r>
              <w:rPr>
                <w:rStyle w:val="None"/>
                <w:b/>
                <w:bCs/>
              </w:rPr>
              <w:t>Diet</w:t>
            </w:r>
          </w:p>
        </w:tc>
        <w:tc>
          <w:tcPr>
            <w:tcW w:w="37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D03220" w14:textId="77777777" w:rsidR="00C62E81" w:rsidRDefault="00C62E81" w:rsidP="0071197D">
            <w:pPr>
              <w:pStyle w:val="Default"/>
              <w:spacing w:before="0" w:line="276" w:lineRule="auto"/>
            </w:pPr>
            <w:r>
              <w:rPr>
                <w:rStyle w:val="None"/>
                <w:sz w:val="20"/>
                <w:szCs w:val="20"/>
              </w:rPr>
              <w:t xml:space="preserve">Commercially available nectar mix; replenished once daily outside of the nesting season and twice daily during the nesting season. Fresh fruit (apples, pears, grapes, papaya, </w:t>
            </w:r>
            <w:proofErr w:type="gramStart"/>
            <w:r>
              <w:rPr>
                <w:rStyle w:val="None"/>
                <w:sz w:val="20"/>
                <w:szCs w:val="20"/>
              </w:rPr>
              <w:t>strawberries</w:t>
            </w:r>
            <w:proofErr w:type="gramEnd"/>
            <w:r>
              <w:rPr>
                <w:rStyle w:val="None"/>
                <w:sz w:val="20"/>
                <w:szCs w:val="20"/>
              </w:rPr>
              <w:t xml:space="preserve"> and banana); offered once or twice daily.</w:t>
            </w:r>
          </w:p>
        </w:tc>
        <w:tc>
          <w:tcPr>
            <w:tcW w:w="41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1FDD7A" w14:textId="77777777" w:rsidR="00C62E81" w:rsidRDefault="00C62E81" w:rsidP="0071197D">
            <w:pPr>
              <w:pStyle w:val="Body"/>
              <w:spacing w:line="276" w:lineRule="auto"/>
            </w:pPr>
            <w:r>
              <w:rPr>
                <w:rStyle w:val="None"/>
                <w:rFonts w:ascii="Helvetica Neue" w:hAnsi="Helvetica Neue"/>
                <w:sz w:val="20"/>
                <w:szCs w:val="2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Commercially available nectar mix and fresh fruit (</w:t>
            </w:r>
            <w:r>
              <w:rPr>
                <w:rStyle w:val="None"/>
                <w:sz w:val="20"/>
                <w:szCs w:val="20"/>
                <w:lang w:val="en-US"/>
              </w:rPr>
              <w:t xml:space="preserve">apples, pears, grapes, papaya, </w:t>
            </w:r>
            <w:proofErr w:type="gramStart"/>
            <w:r>
              <w:rPr>
                <w:rStyle w:val="None"/>
                <w:sz w:val="20"/>
                <w:szCs w:val="20"/>
                <w:lang w:val="en-US"/>
              </w:rPr>
              <w:t>pomegranate</w:t>
            </w:r>
            <w:proofErr w:type="gramEnd"/>
            <w:r>
              <w:rPr>
                <w:rStyle w:val="None"/>
                <w:sz w:val="20"/>
                <w:szCs w:val="20"/>
                <w:lang w:val="en-US"/>
              </w:rPr>
              <w:t xml:space="preserve"> and banana)</w:t>
            </w:r>
            <w:r>
              <w:rPr>
                <w:rStyle w:val="None"/>
                <w:rFonts w:ascii="Helvetica Neue" w:hAnsi="Helvetica Neue"/>
                <w:sz w:val="20"/>
                <w:szCs w:val="20"/>
                <w:lang w:val="en-US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; offered twice daily.</w:t>
            </w:r>
          </w:p>
        </w:tc>
      </w:tr>
    </w:tbl>
    <w:p w14:paraId="6A37659A" w14:textId="77777777" w:rsidR="00C62E81" w:rsidRDefault="00C62E81" w:rsidP="00C62E81">
      <w:pPr>
        <w:pStyle w:val="Body"/>
      </w:pPr>
      <w:r>
        <w:rPr>
          <w:rStyle w:val="Hyperlink3"/>
          <w:rFonts w:ascii="Arial Unicode MS" w:eastAsia="Arial Unicode MS" w:hAnsi="Arial Unicode MS" w:cs="Arial Unicode MS"/>
        </w:rPr>
        <w:br w:type="page"/>
      </w:r>
    </w:p>
    <w:p w14:paraId="49FE0799" w14:textId="45B3CC66" w:rsidR="002F4A86" w:rsidRPr="002F4A86" w:rsidRDefault="00994A3D" w:rsidP="002F4A86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lastRenderedPageBreak/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6C28B2" w:rsidRPr="002F4A86">
        <w:rPr>
          <w:rFonts w:cs="Times New Roman"/>
          <w:szCs w:val="24"/>
        </w:rPr>
        <w:t>Case 10, emphysematous crop freely floating in 10% formalin solution due to sub-epithelial air-filled pseudocysts.</w:t>
      </w:r>
      <w:r w:rsidR="002F4A86" w:rsidRPr="002F4A86">
        <w:rPr>
          <w:rStyle w:val="None"/>
          <w:rFonts w:ascii="Arial Unicode MS" w:hAnsi="Arial Unicode MS"/>
        </w:rPr>
        <w:br/>
      </w:r>
    </w:p>
    <w:p w14:paraId="15168DD3" w14:textId="0BABD004" w:rsidR="002F4A86" w:rsidRPr="002B4A57" w:rsidRDefault="00C62E81" w:rsidP="00C62E81">
      <w:pPr>
        <w:keepNext/>
        <w:jc w:val="center"/>
        <w:rPr>
          <w:rFonts w:cs="Times New Roman"/>
          <w:b/>
          <w:szCs w:val="24"/>
        </w:rPr>
      </w:pPr>
      <w:r>
        <w:rPr>
          <w:b/>
          <w:noProof/>
          <w:lang w:val="en-GB" w:eastAsia="en-GB"/>
        </w:rPr>
        <w:drawing>
          <wp:inline distT="0" distB="0" distL="0" distR="0" wp14:anchorId="5957D07D" wp14:editId="18E63D9B">
            <wp:extent cx="2170430" cy="3194685"/>
            <wp:effectExtent l="0" t="0" r="127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319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94FDB2" w14:textId="77777777" w:rsidR="00D060CF" w:rsidRDefault="00D060CF" w:rsidP="00117666">
      <w:pPr>
        <w:spacing w:after="0"/>
      </w:pPr>
      <w:r>
        <w:separator/>
      </w:r>
    </w:p>
  </w:endnote>
  <w:endnote w:type="continuationSeparator" w:id="0">
    <w:p w14:paraId="14E0830A" w14:textId="77777777" w:rsidR="00D060CF" w:rsidRDefault="00D060CF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39188C6B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F4A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39188C6B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F4A86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67302975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F4A8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6730297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F4A86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709C91" w14:textId="77777777" w:rsidR="00D060CF" w:rsidRDefault="00D060CF" w:rsidP="00117666">
      <w:pPr>
        <w:spacing w:after="0"/>
      </w:pPr>
      <w:r>
        <w:separator/>
      </w:r>
    </w:p>
  </w:footnote>
  <w:footnote w:type="continuationSeparator" w:id="0">
    <w:p w14:paraId="5BACC2C0" w14:textId="77777777" w:rsidR="00D060CF" w:rsidRDefault="00D060CF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37447EB"/>
    <w:multiLevelType w:val="hybridMultilevel"/>
    <w:tmpl w:val="7178A6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2E8DF84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FCC632C">
      <w:start w:val="1"/>
      <w:numFmt w:val="lowerRoman"/>
      <w:lvlText w:val="%3."/>
      <w:lvlJc w:val="left"/>
      <w:pPr>
        <w:ind w:left="216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2A0CB8A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40A046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D46192">
      <w:start w:val="1"/>
      <w:numFmt w:val="lowerRoman"/>
      <w:lvlText w:val="%6."/>
      <w:lvlJc w:val="left"/>
      <w:pPr>
        <w:ind w:left="432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1E2069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2F10D3B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C7E1414">
      <w:start w:val="1"/>
      <w:numFmt w:val="lowerRoman"/>
      <w:lvlText w:val="%9."/>
      <w:lvlJc w:val="left"/>
      <w:pPr>
        <w:ind w:left="6480" w:hanging="3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4A86"/>
    <w:rsid w:val="003123F4"/>
    <w:rsid w:val="00345371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013"/>
    <w:rsid w:val="006375C7"/>
    <w:rsid w:val="00654E8F"/>
    <w:rsid w:val="00660D05"/>
    <w:rsid w:val="006820B1"/>
    <w:rsid w:val="006B7D14"/>
    <w:rsid w:val="006C28B2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2E81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BodyA">
    <w:name w:val="Body A"/>
    <w:rsid w:val="002F4A86"/>
    <w:pPr>
      <w:pBdr>
        <w:top w:val="nil"/>
        <w:left w:val="nil"/>
        <w:bottom w:val="nil"/>
        <w:right w:val="nil"/>
        <w:between w:val="nil"/>
        <w:bar w:val="nil"/>
      </w:pBdr>
      <w:spacing w:before="120" w:after="24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one">
    <w:name w:val="None"/>
    <w:rsid w:val="002F4A86"/>
  </w:style>
  <w:style w:type="paragraph" w:customStyle="1" w:styleId="Body">
    <w:name w:val="Body"/>
    <w:rsid w:val="00C62E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en-GB" w:eastAsia="en-GB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rsid w:val="00C62E81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odyC">
    <w:name w:val="Body C"/>
    <w:rsid w:val="00C62E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3">
    <w:name w:val="Hyperlink.3"/>
    <w:basedOn w:val="None"/>
    <w:rsid w:val="00C62E81"/>
  </w:style>
  <w:style w:type="paragraph" w:customStyle="1" w:styleId="TableStyle2A">
    <w:name w:val="Table Style 2 A"/>
    <w:rsid w:val="00C62E8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sz w:val="20"/>
      <w:szCs w:val="20"/>
      <w:u w:color="000000"/>
      <w:bdr w:val="nil"/>
      <w:lang w:eastAsia="en-GB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84114FA6-2526-48A3-925D-F444E7424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1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Rich, Andrew [africh]</cp:lastModifiedBy>
  <cp:revision>6</cp:revision>
  <cp:lastPrinted>2013-10-03T12:51:00Z</cp:lastPrinted>
  <dcterms:created xsi:type="dcterms:W3CDTF">2020-09-03T23:48:00Z</dcterms:created>
  <dcterms:modified xsi:type="dcterms:W3CDTF">2020-09-12T10:57:00Z</dcterms:modified>
</cp:coreProperties>
</file>