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2E203" w14:textId="741A7A88" w:rsidR="00FD5E5A" w:rsidRPr="0077496D" w:rsidRDefault="0008294E" w:rsidP="0008294E">
      <w:pPr>
        <w:spacing w:line="480" w:lineRule="auto"/>
        <w:rPr>
          <w:rFonts w:ascii="Arial" w:hAnsi="Arial" w:cs="Arial"/>
          <w:b/>
          <w:bCs/>
          <w:lang w:val="en-US"/>
        </w:rPr>
      </w:pPr>
      <w:proofErr w:type="gramStart"/>
      <w:r w:rsidRPr="0077496D">
        <w:rPr>
          <w:rFonts w:ascii="Arial" w:hAnsi="Arial" w:cs="Arial"/>
          <w:b/>
          <w:bCs/>
          <w:lang w:val="en-US"/>
        </w:rPr>
        <w:t>S</w:t>
      </w:r>
      <w:r w:rsidR="00375713">
        <w:rPr>
          <w:rFonts w:ascii="Arial" w:hAnsi="Arial" w:cs="Arial"/>
          <w:b/>
          <w:bCs/>
          <w:lang w:val="en-US"/>
        </w:rPr>
        <w:t>1</w:t>
      </w:r>
      <w:bookmarkStart w:id="0" w:name="_GoBack"/>
      <w:bookmarkEnd w:id="0"/>
      <w:r w:rsidRPr="0077496D">
        <w:rPr>
          <w:rFonts w:ascii="Arial" w:hAnsi="Arial" w:cs="Arial"/>
          <w:b/>
          <w:bCs/>
          <w:lang w:val="en-US"/>
        </w:rPr>
        <w:t xml:space="preserve"> Appendix.</w:t>
      </w:r>
      <w:proofErr w:type="gramEnd"/>
      <w:r w:rsidRPr="0077496D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="00FD5E5A" w:rsidRPr="0077496D">
        <w:rPr>
          <w:rFonts w:ascii="Arial" w:hAnsi="Arial" w:cs="Arial"/>
          <w:b/>
          <w:bCs/>
          <w:lang w:val="en-US"/>
        </w:rPr>
        <w:t>Additional correlations</w:t>
      </w:r>
      <w:r w:rsidR="00863A56" w:rsidRPr="0077496D">
        <w:rPr>
          <w:rFonts w:ascii="Arial" w:hAnsi="Arial" w:cs="Arial"/>
          <w:b/>
          <w:bCs/>
          <w:lang w:val="en-US"/>
        </w:rPr>
        <w:t xml:space="preserve"> of screen time and delay discounting</w:t>
      </w:r>
      <w:r w:rsidR="00FD5E5A" w:rsidRPr="0077496D">
        <w:rPr>
          <w:rFonts w:ascii="Arial" w:hAnsi="Arial" w:cs="Arial"/>
          <w:b/>
          <w:bCs/>
          <w:lang w:val="en-US"/>
        </w:rPr>
        <w:t>.</w:t>
      </w:r>
      <w:proofErr w:type="gramEnd"/>
    </w:p>
    <w:tbl>
      <w:tblPr>
        <w:tblStyle w:val="TableGrid"/>
        <w:tblW w:w="6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863A56" w:rsidRPr="0077496D" w14:paraId="11AAFECE" w14:textId="77777777" w:rsidTr="00ED68C7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164B4" w14:textId="77777777" w:rsidR="00863A56" w:rsidRPr="0077496D" w:rsidRDefault="00863A56" w:rsidP="00D142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0EDFD" w14:textId="77777777" w:rsidR="00863A56" w:rsidRPr="0077496D" w:rsidRDefault="00863A56" w:rsidP="00D142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B6E9" w14:textId="77777777" w:rsidR="00863A56" w:rsidRPr="0077496D" w:rsidRDefault="00863A56" w:rsidP="00D142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E4BB" w14:textId="77777777" w:rsidR="00863A56" w:rsidRPr="0077496D" w:rsidRDefault="00863A56" w:rsidP="00D142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BCD6" w14:textId="77777777" w:rsidR="00863A56" w:rsidRPr="0077496D" w:rsidRDefault="00863A56" w:rsidP="00D142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B54F4" w14:textId="77777777" w:rsidR="00863A56" w:rsidRPr="0077496D" w:rsidRDefault="00863A56" w:rsidP="00D142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6EE2E" w14:textId="77777777" w:rsidR="00863A56" w:rsidRPr="0077496D" w:rsidRDefault="00863A56" w:rsidP="00D142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</w:tr>
      <w:tr w:rsidR="00863A56" w:rsidRPr="0077496D" w14:paraId="53DE3444" w14:textId="77777777" w:rsidTr="00ED68C7">
        <w:trPr>
          <w:trHeight w:val="46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7FDF096" w14:textId="3BBC9332" w:rsidR="00863A56" w:rsidRPr="0077496D" w:rsidRDefault="00863A56" w:rsidP="00ED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LDR proportion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14039CD6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69A47842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65A676DB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E2AAB91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0604A4C2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B315A19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A56" w:rsidRPr="0077496D" w14:paraId="3AD0A12B" w14:textId="77777777" w:rsidTr="00ED68C7">
        <w:trPr>
          <w:trHeight w:val="460"/>
        </w:trPr>
        <w:tc>
          <w:tcPr>
            <w:tcW w:w="2268" w:type="dxa"/>
            <w:vAlign w:val="center"/>
          </w:tcPr>
          <w:p w14:paraId="0E8802A0" w14:textId="5E17448B" w:rsidR="00863A56" w:rsidRPr="0077496D" w:rsidRDefault="00863A56" w:rsidP="00ED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ln overall k</w:t>
            </w:r>
          </w:p>
        </w:tc>
        <w:tc>
          <w:tcPr>
            <w:tcW w:w="737" w:type="dxa"/>
            <w:vAlign w:val="center"/>
          </w:tcPr>
          <w:p w14:paraId="12D97983" w14:textId="48CB8199" w:rsidR="00863A56" w:rsidRPr="0077496D" w:rsidRDefault="0084318E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863A56" w:rsidRPr="0077496D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863A56" w:rsidRPr="0077496D">
              <w:rPr>
                <w:rFonts w:ascii="Arial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737" w:type="dxa"/>
            <w:vAlign w:val="center"/>
          </w:tcPr>
          <w:p w14:paraId="3C1751B5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  <w:vAlign w:val="center"/>
          </w:tcPr>
          <w:p w14:paraId="65A672A8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D897212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5CE9EA9D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14DA6D38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A56" w:rsidRPr="0077496D" w14:paraId="62EAD871" w14:textId="77777777" w:rsidTr="00ED68C7">
        <w:trPr>
          <w:trHeight w:val="460"/>
        </w:trPr>
        <w:tc>
          <w:tcPr>
            <w:tcW w:w="2268" w:type="dxa"/>
            <w:vAlign w:val="center"/>
          </w:tcPr>
          <w:p w14:paraId="70C3D366" w14:textId="66A8301A" w:rsidR="00863A56" w:rsidRPr="0077496D" w:rsidRDefault="00863A56" w:rsidP="00ED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Net of music, TV and functionalities</w:t>
            </w:r>
          </w:p>
        </w:tc>
        <w:tc>
          <w:tcPr>
            <w:tcW w:w="737" w:type="dxa"/>
            <w:vAlign w:val="center"/>
          </w:tcPr>
          <w:p w14:paraId="2391D5A9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-0.25*</w:t>
            </w:r>
          </w:p>
        </w:tc>
        <w:tc>
          <w:tcPr>
            <w:tcW w:w="737" w:type="dxa"/>
            <w:vAlign w:val="center"/>
          </w:tcPr>
          <w:p w14:paraId="2CBE7390" w14:textId="132A46BD" w:rsidR="00863A56" w:rsidRPr="0077496D" w:rsidRDefault="00B771C5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0.21*</w:t>
            </w:r>
          </w:p>
        </w:tc>
        <w:tc>
          <w:tcPr>
            <w:tcW w:w="737" w:type="dxa"/>
            <w:vAlign w:val="center"/>
          </w:tcPr>
          <w:p w14:paraId="21641383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  <w:vAlign w:val="center"/>
          </w:tcPr>
          <w:p w14:paraId="174D44E9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0A595A97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20F51252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A56" w:rsidRPr="0077496D" w14:paraId="52976CDC" w14:textId="77777777" w:rsidTr="00ED68C7">
        <w:trPr>
          <w:trHeight w:val="460"/>
        </w:trPr>
        <w:tc>
          <w:tcPr>
            <w:tcW w:w="2268" w:type="dxa"/>
            <w:vAlign w:val="center"/>
          </w:tcPr>
          <w:p w14:paraId="667E5A83" w14:textId="08EB5915" w:rsidR="00863A56" w:rsidRPr="0077496D" w:rsidRDefault="00863A56" w:rsidP="00ED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Net of music</w:t>
            </w:r>
          </w:p>
        </w:tc>
        <w:tc>
          <w:tcPr>
            <w:tcW w:w="737" w:type="dxa"/>
            <w:vAlign w:val="center"/>
          </w:tcPr>
          <w:p w14:paraId="18635046" w14:textId="67BBD795" w:rsidR="00863A56" w:rsidRPr="0077496D" w:rsidRDefault="0084318E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-0</w:t>
            </w:r>
            <w:r w:rsidR="00863A56" w:rsidRPr="0077496D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37" w:type="dxa"/>
            <w:vAlign w:val="center"/>
          </w:tcPr>
          <w:p w14:paraId="350B4A7F" w14:textId="64669905" w:rsidR="00863A56" w:rsidRPr="0077496D" w:rsidRDefault="00B771C5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0.13</w:t>
            </w:r>
          </w:p>
        </w:tc>
        <w:tc>
          <w:tcPr>
            <w:tcW w:w="737" w:type="dxa"/>
            <w:vAlign w:val="center"/>
          </w:tcPr>
          <w:p w14:paraId="0D35C567" w14:textId="57E86F7D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0.98***</w:t>
            </w:r>
          </w:p>
        </w:tc>
        <w:tc>
          <w:tcPr>
            <w:tcW w:w="737" w:type="dxa"/>
            <w:vAlign w:val="center"/>
          </w:tcPr>
          <w:p w14:paraId="62E2BD08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  <w:vAlign w:val="center"/>
          </w:tcPr>
          <w:p w14:paraId="2F7ADA16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170D5357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A56" w:rsidRPr="0077496D" w14:paraId="467CD059" w14:textId="77777777" w:rsidTr="00ED68C7">
        <w:trPr>
          <w:trHeight w:val="460"/>
        </w:trPr>
        <w:tc>
          <w:tcPr>
            <w:tcW w:w="2268" w:type="dxa"/>
            <w:vAlign w:val="center"/>
          </w:tcPr>
          <w:p w14:paraId="1638206C" w14:textId="4E7CE450" w:rsidR="00863A56" w:rsidRPr="0077496D" w:rsidRDefault="00863A56" w:rsidP="00ED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Net of TV</w:t>
            </w:r>
          </w:p>
        </w:tc>
        <w:tc>
          <w:tcPr>
            <w:tcW w:w="737" w:type="dxa"/>
            <w:vAlign w:val="center"/>
          </w:tcPr>
          <w:p w14:paraId="02408350" w14:textId="3C35FE6A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-0.</w:t>
            </w:r>
            <w:r w:rsidR="0084318E" w:rsidRPr="0077496D">
              <w:rPr>
                <w:rFonts w:ascii="Arial" w:hAnsi="Arial" w:cs="Arial"/>
                <w:sz w:val="20"/>
                <w:szCs w:val="20"/>
                <w:lang w:val="en-US"/>
              </w:rPr>
              <w:t>23*</w:t>
            </w:r>
          </w:p>
        </w:tc>
        <w:tc>
          <w:tcPr>
            <w:tcW w:w="737" w:type="dxa"/>
            <w:vAlign w:val="center"/>
          </w:tcPr>
          <w:p w14:paraId="7FFA50C0" w14:textId="3C551724" w:rsidR="00863A56" w:rsidRPr="0077496D" w:rsidRDefault="00B771C5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37" w:type="dxa"/>
            <w:vAlign w:val="center"/>
          </w:tcPr>
          <w:p w14:paraId="40F8DAE6" w14:textId="46F3D6F2" w:rsidR="00863A56" w:rsidRPr="0077496D" w:rsidRDefault="00B771C5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0.94***</w:t>
            </w:r>
          </w:p>
        </w:tc>
        <w:tc>
          <w:tcPr>
            <w:tcW w:w="737" w:type="dxa"/>
            <w:vAlign w:val="center"/>
          </w:tcPr>
          <w:p w14:paraId="25F291C8" w14:textId="184BBEBF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B771C5">
              <w:rPr>
                <w:rFonts w:ascii="Arial" w:hAnsi="Arial" w:cs="Arial"/>
                <w:sz w:val="20"/>
                <w:szCs w:val="20"/>
                <w:lang w:val="en-US"/>
              </w:rPr>
              <w:t>96***</w:t>
            </w:r>
          </w:p>
        </w:tc>
        <w:tc>
          <w:tcPr>
            <w:tcW w:w="737" w:type="dxa"/>
            <w:vAlign w:val="center"/>
          </w:tcPr>
          <w:p w14:paraId="65CF7288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  <w:vAlign w:val="center"/>
          </w:tcPr>
          <w:p w14:paraId="6269B32E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63A56" w:rsidRPr="0077496D" w14:paraId="7BA414FC" w14:textId="77777777" w:rsidTr="00ED68C7">
        <w:trPr>
          <w:trHeight w:val="46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51AF50" w14:textId="1A146559" w:rsidR="00863A56" w:rsidRPr="0077496D" w:rsidRDefault="00863A56" w:rsidP="00ED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Net of functionalities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1BF66C2" w14:textId="7AFCB21E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-0.</w:t>
            </w:r>
            <w:r w:rsidR="0084318E" w:rsidRPr="0077496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6D5DA06" w14:textId="51D698E8" w:rsidR="00863A56" w:rsidRPr="0077496D" w:rsidRDefault="00B771C5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519DED6" w14:textId="40BF580C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B771C5">
              <w:rPr>
                <w:rFonts w:ascii="Arial" w:hAnsi="Arial" w:cs="Arial"/>
                <w:sz w:val="20"/>
                <w:szCs w:val="20"/>
                <w:lang w:val="en-US"/>
              </w:rPr>
              <w:t>.95***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C86B398" w14:textId="19F2723E" w:rsidR="00863A56" w:rsidRPr="0077496D" w:rsidRDefault="00B771C5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0.98***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6A4D829" w14:textId="13240893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B771C5">
              <w:rPr>
                <w:rFonts w:ascii="Arial" w:hAnsi="Arial" w:cs="Arial"/>
                <w:sz w:val="20"/>
                <w:szCs w:val="20"/>
                <w:lang w:val="en-US"/>
              </w:rPr>
              <w:t>94***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D05862C" w14:textId="77777777" w:rsidR="00863A56" w:rsidRPr="0077496D" w:rsidRDefault="00863A56" w:rsidP="00ED68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496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14:paraId="41788A08" w14:textId="77777777" w:rsidR="008954BB" w:rsidRPr="0077496D" w:rsidRDefault="008954BB" w:rsidP="008954BB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77496D">
        <w:rPr>
          <w:rFonts w:ascii="Arial" w:hAnsi="Arial" w:cs="Arial"/>
          <w:sz w:val="20"/>
          <w:szCs w:val="20"/>
          <w:vertAlign w:val="superscript"/>
          <w:lang w:val="en-US"/>
        </w:rPr>
        <w:t>*</w:t>
      </w:r>
      <w:r w:rsidRPr="0077496D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7496D">
        <w:rPr>
          <w:rFonts w:ascii="Arial" w:hAnsi="Arial" w:cs="Arial"/>
          <w:sz w:val="20"/>
          <w:szCs w:val="20"/>
          <w:lang w:val="en-US"/>
        </w:rPr>
        <w:t xml:space="preserve"> &lt; 0.05, </w:t>
      </w:r>
      <w:r w:rsidRPr="0077496D">
        <w:rPr>
          <w:rFonts w:ascii="Arial" w:hAnsi="Arial" w:cs="Arial"/>
          <w:sz w:val="20"/>
          <w:szCs w:val="20"/>
          <w:vertAlign w:val="superscript"/>
          <w:lang w:val="en-US"/>
        </w:rPr>
        <w:t>**</w:t>
      </w:r>
      <w:r w:rsidRPr="0077496D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77496D">
        <w:rPr>
          <w:rFonts w:ascii="Arial" w:hAnsi="Arial" w:cs="Arial"/>
          <w:sz w:val="20"/>
          <w:szCs w:val="20"/>
          <w:lang w:val="en-US"/>
        </w:rPr>
        <w:t xml:space="preserve"> &lt; 0.01, *** </w:t>
      </w:r>
      <w:r w:rsidRPr="0077496D">
        <w:rPr>
          <w:rFonts w:ascii="Arial" w:hAnsi="Arial" w:cs="Arial"/>
          <w:i/>
          <w:iCs/>
          <w:sz w:val="20"/>
          <w:szCs w:val="20"/>
          <w:lang w:val="en-US"/>
        </w:rPr>
        <w:t xml:space="preserve">p </w:t>
      </w:r>
      <w:r w:rsidRPr="004777A4">
        <w:rPr>
          <w:rFonts w:ascii="Arial" w:hAnsi="Arial" w:cs="Arial"/>
          <w:sz w:val="20"/>
          <w:szCs w:val="20"/>
          <w:lang w:val="en-US"/>
        </w:rPr>
        <w:t>&lt; 0.001</w:t>
      </w:r>
    </w:p>
    <w:p w14:paraId="7170D763" w14:textId="710871E5" w:rsidR="00FD5E5A" w:rsidRPr="0077496D" w:rsidRDefault="00FD5E5A" w:rsidP="00FD5E5A">
      <w:pPr>
        <w:spacing w:line="480" w:lineRule="auto"/>
        <w:rPr>
          <w:rFonts w:ascii="Arial" w:hAnsi="Arial" w:cs="Arial"/>
          <w:lang w:val="en-US"/>
        </w:rPr>
      </w:pPr>
    </w:p>
    <w:p w14:paraId="5BFD9655" w14:textId="292BCEC0" w:rsidR="00397DF3" w:rsidRPr="0077496D" w:rsidRDefault="00A459D0" w:rsidP="0008294E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various alternative</w:t>
      </w:r>
      <w:r w:rsidR="009B48A4">
        <w:rPr>
          <w:rFonts w:ascii="Arial" w:hAnsi="Arial" w:cs="Arial"/>
          <w:lang w:val="en-US"/>
        </w:rPr>
        <w:t xml:space="preserve"> calculations</w:t>
      </w:r>
      <w:r>
        <w:rPr>
          <w:rFonts w:ascii="Arial" w:hAnsi="Arial" w:cs="Arial"/>
          <w:lang w:val="en-US"/>
        </w:rPr>
        <w:t xml:space="preserve"> of net screen time and their correlations with both parameters of delay discounting.</w:t>
      </w:r>
      <w:r w:rsidR="009B48A4">
        <w:rPr>
          <w:rFonts w:ascii="Arial" w:hAnsi="Arial" w:cs="Arial"/>
          <w:lang w:val="en-US"/>
        </w:rPr>
        <w:t xml:space="preserve"> When only screen time of TV apps is deducted from total screen time, this variant is significantly correlated with the LDR proportion (r=-0.23, p &lt; 0.05). When only </w:t>
      </w:r>
      <w:r w:rsidR="00E762D1">
        <w:rPr>
          <w:rFonts w:ascii="Arial" w:hAnsi="Arial" w:cs="Arial"/>
          <w:lang w:val="en-US"/>
        </w:rPr>
        <w:t>screen time of functionalities (settings, GPS etc.) is subtracted</w:t>
      </w:r>
      <w:r w:rsidR="00012D5B">
        <w:rPr>
          <w:rFonts w:ascii="Arial" w:hAnsi="Arial" w:cs="Arial"/>
          <w:lang w:val="en-US"/>
        </w:rPr>
        <w:t xml:space="preserve"> and TV and music apps are included</w:t>
      </w:r>
      <w:r w:rsidR="00E762D1">
        <w:rPr>
          <w:rFonts w:ascii="Arial" w:hAnsi="Arial" w:cs="Arial"/>
          <w:lang w:val="en-US"/>
        </w:rPr>
        <w:t>, there is still a significant correlation with the LDR proportion (-0.20, p &lt; 0.05).</w:t>
      </w:r>
      <w:r w:rsidR="00CB6ABF">
        <w:rPr>
          <w:rFonts w:ascii="Arial" w:hAnsi="Arial" w:cs="Arial"/>
          <w:lang w:val="en-US"/>
        </w:rPr>
        <w:t xml:space="preserve"> The latter indicates that the main result of this paper is fairly robust, given the overall weak association between screen time and delay discounting.</w:t>
      </w:r>
    </w:p>
    <w:sectPr w:rsidR="00397DF3" w:rsidRPr="0077496D" w:rsidSect="004E64A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4552"/>
    <w:multiLevelType w:val="hybridMultilevel"/>
    <w:tmpl w:val="36165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4E"/>
    <w:rsid w:val="00012D5B"/>
    <w:rsid w:val="0008294E"/>
    <w:rsid w:val="00166738"/>
    <w:rsid w:val="002B6272"/>
    <w:rsid w:val="002E0950"/>
    <w:rsid w:val="00375713"/>
    <w:rsid w:val="00397DF3"/>
    <w:rsid w:val="004777A4"/>
    <w:rsid w:val="006A1541"/>
    <w:rsid w:val="0077496D"/>
    <w:rsid w:val="0084318E"/>
    <w:rsid w:val="00863A56"/>
    <w:rsid w:val="008954BB"/>
    <w:rsid w:val="009B48A4"/>
    <w:rsid w:val="00A459D0"/>
    <w:rsid w:val="00B771C5"/>
    <w:rsid w:val="00BD69CE"/>
    <w:rsid w:val="00CB6ABF"/>
    <w:rsid w:val="00D91D5F"/>
    <w:rsid w:val="00E762D1"/>
    <w:rsid w:val="00ED68C7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C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4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5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FD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4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5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FD5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Wc3ceJoTt5k4rsPF</dc:creator>
  <cp:keywords/>
  <dc:description/>
  <cp:lastModifiedBy>PG3646</cp:lastModifiedBy>
  <cp:revision>15</cp:revision>
  <dcterms:created xsi:type="dcterms:W3CDTF">2020-03-29T17:18:00Z</dcterms:created>
  <dcterms:modified xsi:type="dcterms:W3CDTF">2020-10-23T03:54:00Z</dcterms:modified>
</cp:coreProperties>
</file>