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65457" w14:textId="77777777" w:rsidR="008E4BE7" w:rsidRDefault="008E4BE7" w:rsidP="00493328">
      <w:pPr>
        <w:spacing w:after="120"/>
        <w:jc w:val="center"/>
        <w:rPr>
          <w:b/>
        </w:rPr>
      </w:pPr>
    </w:p>
    <w:p w14:paraId="32025DA8" w14:textId="77777777" w:rsidR="008E4BE7" w:rsidRDefault="008E4BE7" w:rsidP="00493328">
      <w:pPr>
        <w:spacing w:after="120"/>
        <w:jc w:val="center"/>
        <w:rPr>
          <w:b/>
        </w:rPr>
      </w:pPr>
    </w:p>
    <w:p w14:paraId="78DCD014" w14:textId="77777777" w:rsidR="001B160F" w:rsidRDefault="001B160F" w:rsidP="00801814">
      <w:pPr>
        <w:spacing w:after="120"/>
        <w:jc w:val="center"/>
        <w:rPr>
          <w:b/>
        </w:rPr>
      </w:pPr>
    </w:p>
    <w:p w14:paraId="670BCA8E" w14:textId="77777777" w:rsidR="001B160F" w:rsidRDefault="001B160F" w:rsidP="00801814">
      <w:pPr>
        <w:spacing w:after="120"/>
        <w:jc w:val="center"/>
        <w:rPr>
          <w:b/>
        </w:rPr>
      </w:pPr>
    </w:p>
    <w:p w14:paraId="527E05FB" w14:textId="4A2776F7" w:rsidR="00801814" w:rsidRDefault="00801814" w:rsidP="00801814">
      <w:pPr>
        <w:spacing w:after="120"/>
        <w:jc w:val="center"/>
        <w:rPr>
          <w:b/>
        </w:rPr>
      </w:pPr>
      <w:r>
        <w:rPr>
          <w:b/>
        </w:rPr>
        <w:t xml:space="preserve">Constructing </w:t>
      </w:r>
      <w:r w:rsidRPr="009323D9">
        <w:rPr>
          <w:b/>
        </w:rPr>
        <w:t>Gender-</w:t>
      </w:r>
      <w:r w:rsidR="00AE66E8">
        <w:rPr>
          <w:b/>
        </w:rPr>
        <w:t>r</w:t>
      </w:r>
      <w:r w:rsidR="00AE66E8" w:rsidRPr="009323D9">
        <w:rPr>
          <w:b/>
        </w:rPr>
        <w:t xml:space="preserve">esponsive </w:t>
      </w:r>
      <w:r>
        <w:rPr>
          <w:b/>
        </w:rPr>
        <w:t>COVID-19 SME Recovery Measure</w:t>
      </w:r>
      <w:r w:rsidR="00DB4549">
        <w:rPr>
          <w:b/>
        </w:rPr>
        <w:t>s</w:t>
      </w:r>
      <w:r>
        <w:rPr>
          <w:b/>
        </w:rPr>
        <w:t>:</w:t>
      </w:r>
    </w:p>
    <w:p w14:paraId="47B857C2" w14:textId="77777777" w:rsidR="00801814" w:rsidRDefault="00801814" w:rsidP="00801814">
      <w:pPr>
        <w:spacing w:after="120"/>
        <w:jc w:val="center"/>
        <w:rPr>
          <w:b/>
        </w:rPr>
      </w:pPr>
      <w:r>
        <w:rPr>
          <w:b/>
        </w:rPr>
        <w:t>An Entrepreneurial Feminist Perspective</w:t>
      </w:r>
    </w:p>
    <w:p w14:paraId="34352606" w14:textId="58D09B16" w:rsidR="008165DA" w:rsidRDefault="008165DA">
      <w:pPr>
        <w:rPr>
          <w:b/>
        </w:rPr>
      </w:pPr>
    </w:p>
    <w:p w14:paraId="774DD42B" w14:textId="77777777" w:rsidR="008165DA" w:rsidRDefault="008165DA" w:rsidP="008165DA">
      <w:pPr>
        <w:jc w:val="center"/>
      </w:pPr>
    </w:p>
    <w:p w14:paraId="20D2FAB6" w14:textId="77777777" w:rsidR="008165DA" w:rsidRDefault="008165DA" w:rsidP="008165DA">
      <w:pPr>
        <w:jc w:val="center"/>
      </w:pPr>
    </w:p>
    <w:p w14:paraId="7B0D1BE1" w14:textId="77777777" w:rsidR="008165DA" w:rsidRDefault="008165DA" w:rsidP="008165DA">
      <w:pPr>
        <w:jc w:val="center"/>
      </w:pPr>
    </w:p>
    <w:p w14:paraId="5A6153BA" w14:textId="77777777" w:rsidR="008165DA" w:rsidRDefault="008165DA" w:rsidP="008165DA">
      <w:pPr>
        <w:jc w:val="center"/>
      </w:pPr>
    </w:p>
    <w:p w14:paraId="66900715" w14:textId="40F38C7C" w:rsidR="008165DA" w:rsidRPr="008165DA" w:rsidRDefault="008165DA" w:rsidP="00B84521">
      <w:pPr>
        <w:spacing w:line="480" w:lineRule="auto"/>
        <w:jc w:val="center"/>
      </w:pPr>
      <w:r w:rsidRPr="008165DA">
        <w:t>Submitted to</w:t>
      </w:r>
    </w:p>
    <w:p w14:paraId="322E74FD" w14:textId="28E965F0" w:rsidR="008165DA" w:rsidRDefault="0044277E" w:rsidP="00B84521">
      <w:pPr>
        <w:spacing w:line="480" w:lineRule="auto"/>
        <w:jc w:val="center"/>
      </w:pPr>
      <w:r>
        <w:t xml:space="preserve">Entrepreneurship Theory &amp; Practice </w:t>
      </w:r>
    </w:p>
    <w:p w14:paraId="1CF87105" w14:textId="7E940B2E" w:rsidR="00F60897" w:rsidRDefault="00F60897" w:rsidP="00F60897">
      <w:pPr>
        <w:spacing w:line="480" w:lineRule="auto"/>
        <w:jc w:val="center"/>
      </w:pPr>
      <w:r w:rsidRPr="00F60897">
        <w:t xml:space="preserve">Crises and Coronavirus: A Special Issue on the Responses of Entrepreneurs and Entrepreneurial </w:t>
      </w:r>
      <w:r w:rsidR="0085564C" w:rsidRPr="00F60897">
        <w:t>Organi</w:t>
      </w:r>
      <w:r w:rsidR="0085564C">
        <w:t>s</w:t>
      </w:r>
      <w:r w:rsidR="0085564C" w:rsidRPr="00F60897">
        <w:t xml:space="preserve">ations </w:t>
      </w:r>
      <w:r w:rsidRPr="00F60897">
        <w:t xml:space="preserve">to Catastrophic Events </w:t>
      </w:r>
    </w:p>
    <w:p w14:paraId="2EC6177D" w14:textId="77777777" w:rsidR="0023189D" w:rsidRDefault="0023189D" w:rsidP="00F60897">
      <w:pPr>
        <w:spacing w:line="480" w:lineRule="auto"/>
        <w:jc w:val="center"/>
      </w:pPr>
    </w:p>
    <w:p w14:paraId="107DEA10" w14:textId="2F321115" w:rsidR="0023189D" w:rsidRDefault="0023189D" w:rsidP="00F60897">
      <w:pPr>
        <w:spacing w:line="480" w:lineRule="auto"/>
        <w:jc w:val="center"/>
      </w:pPr>
      <w:r>
        <w:t>Proposal to SI submitted in August 2020</w:t>
      </w:r>
    </w:p>
    <w:p w14:paraId="45353838" w14:textId="46C63DB5" w:rsidR="0023189D" w:rsidRPr="000F17A1" w:rsidRDefault="0023189D" w:rsidP="00F60897">
      <w:pPr>
        <w:spacing w:line="480" w:lineRule="auto"/>
        <w:jc w:val="center"/>
      </w:pPr>
      <w:r>
        <w:t>M</w:t>
      </w:r>
      <w:bookmarkStart w:id="0" w:name="_GoBack"/>
      <w:bookmarkEnd w:id="0"/>
      <w:r>
        <w:t>anuscript submitted in December 2020</w:t>
      </w:r>
    </w:p>
    <w:p w14:paraId="5E39F1C8" w14:textId="7C64BBAB" w:rsidR="008165DA" w:rsidRDefault="008165DA">
      <w:pPr>
        <w:rPr>
          <w:b/>
        </w:rPr>
      </w:pPr>
    </w:p>
    <w:p w14:paraId="3F809BFD" w14:textId="43ECFEF8" w:rsidR="001A7A2F" w:rsidRDefault="001A7A2F">
      <w:pPr>
        <w:rPr>
          <w:b/>
        </w:rPr>
      </w:pPr>
    </w:p>
    <w:p w14:paraId="75FE4390" w14:textId="77777777" w:rsidR="001A7A2F" w:rsidRDefault="001A7A2F">
      <w:pPr>
        <w:rPr>
          <w:b/>
        </w:rPr>
      </w:pPr>
    </w:p>
    <w:p w14:paraId="43B501E8" w14:textId="125007C2" w:rsidR="008165DA" w:rsidRPr="008165DA" w:rsidRDefault="0044277E" w:rsidP="008165DA">
      <w:pPr>
        <w:jc w:val="center"/>
        <w:rPr>
          <w:rFonts w:cs="Courier New"/>
        </w:rPr>
      </w:pPr>
      <w:r>
        <w:rPr>
          <w:rFonts w:cs="Courier New"/>
        </w:rPr>
        <w:t xml:space="preserve"> </w:t>
      </w:r>
    </w:p>
    <w:p w14:paraId="791802B9" w14:textId="77777777" w:rsidR="00F60897" w:rsidRDefault="00F60897" w:rsidP="008165DA">
      <w:pPr>
        <w:rPr>
          <w:b/>
        </w:rPr>
      </w:pPr>
    </w:p>
    <w:p w14:paraId="4EA600FE" w14:textId="77777777" w:rsidR="00F60897" w:rsidRDefault="00F60897" w:rsidP="008165DA">
      <w:pPr>
        <w:rPr>
          <w:b/>
        </w:rPr>
      </w:pPr>
    </w:p>
    <w:p w14:paraId="5B993593" w14:textId="77777777" w:rsidR="00F60897" w:rsidRDefault="00F60897" w:rsidP="008165DA">
      <w:pPr>
        <w:rPr>
          <w:b/>
        </w:rPr>
      </w:pPr>
    </w:p>
    <w:p w14:paraId="37AA49A7" w14:textId="77777777" w:rsidR="00F60897" w:rsidRDefault="00F60897" w:rsidP="008165DA">
      <w:pPr>
        <w:rPr>
          <w:b/>
        </w:rPr>
      </w:pPr>
    </w:p>
    <w:p w14:paraId="783FBA7A" w14:textId="77777777" w:rsidR="00F60897" w:rsidRDefault="00F60897" w:rsidP="008165DA">
      <w:pPr>
        <w:rPr>
          <w:b/>
        </w:rPr>
      </w:pPr>
    </w:p>
    <w:p w14:paraId="12348BBC" w14:textId="1AD854F3" w:rsidR="008165DA" w:rsidRPr="00073A0C" w:rsidRDefault="008165DA" w:rsidP="008165DA">
      <w:pPr>
        <w:rPr>
          <w:b/>
        </w:rPr>
      </w:pPr>
      <w:r w:rsidRPr="00073A0C">
        <w:rPr>
          <w:b/>
        </w:rPr>
        <w:t>Barbara Orser</w:t>
      </w:r>
    </w:p>
    <w:p w14:paraId="50F771A7" w14:textId="77777777" w:rsidR="00745795" w:rsidRDefault="008165DA" w:rsidP="008165DA">
      <w:r w:rsidRPr="00073A0C">
        <w:t>Full Professor</w:t>
      </w:r>
    </w:p>
    <w:p w14:paraId="04E16465" w14:textId="536E7E7D" w:rsidR="008165DA" w:rsidRPr="00073A0C" w:rsidRDefault="00745795" w:rsidP="008165DA">
      <w:r>
        <w:t>Deloitte Professor in the Management of Growth Enterprises</w:t>
      </w:r>
    </w:p>
    <w:p w14:paraId="55D539E7" w14:textId="77777777" w:rsidR="008165DA" w:rsidRPr="00073A0C" w:rsidRDefault="008165DA" w:rsidP="008165DA">
      <w:r w:rsidRPr="00073A0C">
        <w:t>Telfer School of Management, University of Ottawa</w:t>
      </w:r>
    </w:p>
    <w:p w14:paraId="479A059B" w14:textId="77777777" w:rsidR="00B22758" w:rsidRDefault="008165DA" w:rsidP="008165DA">
      <w:r w:rsidRPr="00073A0C">
        <w:t>55 Laurier Avenue East</w:t>
      </w:r>
    </w:p>
    <w:p w14:paraId="701B2A22" w14:textId="6483A3B3" w:rsidR="008165DA" w:rsidRPr="00073A0C" w:rsidRDefault="008165DA" w:rsidP="008165DA">
      <w:r w:rsidRPr="00073A0C">
        <w:t>Ottawa, ON, K1N</w:t>
      </w:r>
      <w:r w:rsidR="00AE66E8">
        <w:t xml:space="preserve"> </w:t>
      </w:r>
      <w:r w:rsidRPr="00073A0C">
        <w:t>6N5</w:t>
      </w:r>
      <w:r w:rsidR="00AE66E8">
        <w:t>,</w:t>
      </w:r>
      <w:r w:rsidR="00AE66E8" w:rsidRPr="00AE66E8">
        <w:t xml:space="preserve"> </w:t>
      </w:r>
      <w:r w:rsidR="00AE66E8" w:rsidRPr="00073A0C">
        <w:t>Canada</w:t>
      </w:r>
    </w:p>
    <w:p w14:paraId="5D2C44AC" w14:textId="31721C9E" w:rsidR="008165DA" w:rsidRPr="00073A0C" w:rsidRDefault="00AE66E8" w:rsidP="008165DA">
      <w:r>
        <w:t xml:space="preserve">Email: </w:t>
      </w:r>
      <w:r w:rsidR="008165DA" w:rsidRPr="00073A0C">
        <w:t>orser@telfer.uottawa.ca</w:t>
      </w:r>
    </w:p>
    <w:p w14:paraId="3C4631BD" w14:textId="23451CA6" w:rsidR="00324187" w:rsidRDefault="00745795" w:rsidP="001B160F">
      <w:r>
        <w:t>Cell</w:t>
      </w:r>
      <w:r w:rsidR="008165DA" w:rsidRPr="00073A0C">
        <w:t xml:space="preserve">: </w:t>
      </w:r>
      <w:r>
        <w:t xml:space="preserve">+1 </w:t>
      </w:r>
      <w:r w:rsidR="008165DA" w:rsidRPr="00073A0C">
        <w:t xml:space="preserve">613 </w:t>
      </w:r>
      <w:r w:rsidR="001B160F">
        <w:t>355 8652</w:t>
      </w:r>
    </w:p>
    <w:p w14:paraId="4D36314B" w14:textId="77777777" w:rsidR="00324187" w:rsidRDefault="00324187">
      <w:r>
        <w:br w:type="page"/>
      </w:r>
    </w:p>
    <w:p w14:paraId="24801E1E" w14:textId="77777777" w:rsidR="00EE18FD" w:rsidRPr="00D91F1D" w:rsidRDefault="00EE18FD" w:rsidP="00EE18FD">
      <w:pPr>
        <w:rPr>
          <w:b/>
        </w:rPr>
      </w:pPr>
      <w:r w:rsidRPr="00D91F1D">
        <w:rPr>
          <w:b/>
        </w:rPr>
        <w:lastRenderedPageBreak/>
        <w:t>Abstract</w:t>
      </w:r>
    </w:p>
    <w:p w14:paraId="62101A52" w14:textId="77777777" w:rsidR="00EE18FD" w:rsidRDefault="00EE18FD" w:rsidP="00EE18FD"/>
    <w:p w14:paraId="1ECEA930" w14:textId="09E394E5" w:rsidR="00EE18FD" w:rsidRPr="004B5990" w:rsidRDefault="00EE18FD" w:rsidP="00745795">
      <w:pPr>
        <w:jc w:val="both"/>
      </w:pPr>
      <w:r w:rsidRPr="00D91F1D">
        <w:t xml:space="preserve">The pandemic </w:t>
      </w:r>
      <w:r>
        <w:t xml:space="preserve">has </w:t>
      </w:r>
      <w:r w:rsidRPr="00D91F1D">
        <w:t>unveil</w:t>
      </w:r>
      <w:r>
        <w:t>ed</w:t>
      </w:r>
      <w:r w:rsidRPr="00D91F1D">
        <w:t xml:space="preserve"> fragilities </w:t>
      </w:r>
      <w:r>
        <w:t>of</w:t>
      </w:r>
      <w:r w:rsidRPr="00D91F1D">
        <w:t xml:space="preserve"> </w:t>
      </w:r>
      <w:r>
        <w:t xml:space="preserve">economic </w:t>
      </w:r>
      <w:r w:rsidRPr="00D91F1D">
        <w:t xml:space="preserve">gains that women have </w:t>
      </w:r>
      <w:r>
        <w:t>achieved</w:t>
      </w:r>
      <w:r w:rsidRPr="00D91F1D">
        <w:t xml:space="preserve">, </w:t>
      </w:r>
      <w:r>
        <w:t xml:space="preserve">in part, because policies have not </w:t>
      </w:r>
      <w:r w:rsidR="00745795">
        <w:t xml:space="preserve">yet </w:t>
      </w:r>
      <w:r>
        <w:t xml:space="preserve">recognized the particular needs of women entrepreneurs. Accordingly, this research identifies </w:t>
      </w:r>
      <w:r w:rsidRPr="00D91F1D">
        <w:t xml:space="preserve">parameters </w:t>
      </w:r>
      <w:r>
        <w:t xml:space="preserve">associated with </w:t>
      </w:r>
      <w:r w:rsidR="00745795">
        <w:t xml:space="preserve">good </w:t>
      </w:r>
      <w:r>
        <w:t xml:space="preserve">practices </w:t>
      </w:r>
      <w:r w:rsidRPr="00D91F1D">
        <w:t xml:space="preserve">of gender-responsive </w:t>
      </w:r>
      <w:r>
        <w:t>entrepreneurship policy.</w:t>
      </w:r>
      <w:r w:rsidR="00745795">
        <w:t xml:space="preserve"> </w:t>
      </w:r>
      <w:r>
        <w:t xml:space="preserve">The parameters are then applied to an analysis </w:t>
      </w:r>
      <w:r w:rsidRPr="004B5990">
        <w:t xml:space="preserve">of </w:t>
      </w:r>
      <w:r>
        <w:t xml:space="preserve">three </w:t>
      </w:r>
      <w:r w:rsidRPr="000145FD">
        <w:t xml:space="preserve">published </w:t>
      </w:r>
      <w:r w:rsidRPr="004B5990">
        <w:t>feminist pandemic recovery plans t</w:t>
      </w:r>
      <w:r>
        <w:t xml:space="preserve">hat seek to </w:t>
      </w:r>
      <w:r w:rsidRPr="004B5990">
        <w:t>support gender-responsive recovery measures</w:t>
      </w:r>
      <w:r>
        <w:t xml:space="preserve">. </w:t>
      </w:r>
      <w:r w:rsidR="00745795" w:rsidRPr="00D91F1D">
        <w:t>Th</w:t>
      </w:r>
      <w:r w:rsidR="00745795">
        <w:t>e</w:t>
      </w:r>
      <w:r w:rsidR="00745795" w:rsidRPr="00D91F1D">
        <w:t xml:space="preserve"> study </w:t>
      </w:r>
      <w:r w:rsidR="00745795">
        <w:t>also employs</w:t>
      </w:r>
      <w:r w:rsidR="00745795" w:rsidRPr="00D91F1D">
        <w:t xml:space="preserve"> entrepreneurial feminism </w:t>
      </w:r>
      <w:r w:rsidR="00745795">
        <w:t xml:space="preserve">as a theoretical framework for </w:t>
      </w:r>
      <w:r w:rsidR="00745795" w:rsidRPr="00D91F1D">
        <w:t>examin</w:t>
      </w:r>
      <w:r w:rsidR="00745795">
        <w:t>ing</w:t>
      </w:r>
      <w:r w:rsidR="00745795" w:rsidRPr="00D91F1D">
        <w:t xml:space="preserve"> th</w:t>
      </w:r>
      <w:r w:rsidR="00745795">
        <w:t xml:space="preserve">is issue. </w:t>
      </w:r>
      <w:r>
        <w:t>The analysis identifies the extent to which the parameters are embodied within</w:t>
      </w:r>
      <w:r w:rsidRPr="004B5990">
        <w:t xml:space="preserve"> </w:t>
      </w:r>
      <w:r>
        <w:t>these initiatives.</w:t>
      </w:r>
      <w:r w:rsidRPr="004B5990">
        <w:t xml:space="preserve"> </w:t>
      </w:r>
      <w:r>
        <w:t>A</w:t>
      </w:r>
      <w:r w:rsidRPr="004B5990">
        <w:t xml:space="preserve"> framework of feminist entrepreneurship policy </w:t>
      </w:r>
      <w:r>
        <w:t>is</w:t>
      </w:r>
      <w:r w:rsidRPr="004B5990">
        <w:t xml:space="preserve"> constructed</w:t>
      </w:r>
      <w:r>
        <w:t xml:space="preserve"> to help guide policy development</w:t>
      </w:r>
      <w:r w:rsidR="00745795">
        <w:t xml:space="preserve"> and implementation</w:t>
      </w:r>
      <w:r w:rsidRPr="004B5990">
        <w:t xml:space="preserve">. </w:t>
      </w:r>
    </w:p>
    <w:p w14:paraId="47248C61" w14:textId="052352B9" w:rsidR="00357388" w:rsidRDefault="00357388" w:rsidP="001B160F"/>
    <w:p w14:paraId="4246E4CF" w14:textId="77777777" w:rsidR="00EE18FD" w:rsidRPr="00B85068" w:rsidRDefault="00EE18FD" w:rsidP="00EE18FD">
      <w:pPr>
        <w:pStyle w:val="Heading1"/>
      </w:pPr>
      <w:r w:rsidRPr="00B85068">
        <w:t xml:space="preserve">1.0 </w:t>
      </w:r>
      <w:r w:rsidRPr="00B85068">
        <w:tab/>
        <w:t>Introduction</w:t>
      </w:r>
    </w:p>
    <w:p w14:paraId="34C4A22E" w14:textId="77777777" w:rsidR="00EE18FD" w:rsidRDefault="00EE18FD" w:rsidP="00EE18FD">
      <w:pPr>
        <w:spacing w:line="480" w:lineRule="auto"/>
        <w:ind w:firstLine="720"/>
      </w:pPr>
      <w:r>
        <w:rPr>
          <w:color w:val="000000" w:themeColor="text1"/>
        </w:rPr>
        <w:t>T</w:t>
      </w:r>
      <w:r>
        <w:t xml:space="preserve">he International Monetary Fund (IMF) has </w:t>
      </w:r>
      <w:r w:rsidRPr="00B85068">
        <w:t xml:space="preserve">forecast that the </w:t>
      </w:r>
      <w:r>
        <w:t xml:space="preserve">COVID-19 </w:t>
      </w:r>
      <w:r w:rsidRPr="00B85068">
        <w:t>pandemic “</w:t>
      </w:r>
      <w:r w:rsidRPr="006F1BD4">
        <w:rPr>
          <w:iCs/>
        </w:rPr>
        <w:t>threatens to roll back gains in women’s economic opportunities, widening gender gaps that persist despite 30 years of progress</w:t>
      </w:r>
      <w:r w:rsidRPr="00A75CBF">
        <w:t>” (</w:t>
      </w:r>
      <w:r w:rsidRPr="006F1BD4">
        <w:t>Georgieva</w:t>
      </w:r>
      <w:r w:rsidRPr="00724A16">
        <w:t>,</w:t>
      </w:r>
      <w:r w:rsidRPr="00724A16" w:rsidDel="00724A16">
        <w:t xml:space="preserve"> </w:t>
      </w:r>
      <w:r w:rsidRPr="003D179C">
        <w:rPr>
          <w:color w:val="000000" w:themeColor="text1"/>
        </w:rPr>
        <w:t>2020</w:t>
      </w:r>
      <w:r>
        <w:rPr>
          <w:color w:val="000000" w:themeColor="text1"/>
        </w:rPr>
        <w:t xml:space="preserve">, </w:t>
      </w:r>
      <w:proofErr w:type="spellStart"/>
      <w:r>
        <w:rPr>
          <w:color w:val="000000" w:themeColor="text1"/>
        </w:rPr>
        <w:t>n.p</w:t>
      </w:r>
      <w:proofErr w:type="spellEnd"/>
      <w:r>
        <w:rPr>
          <w:color w:val="000000" w:themeColor="text1"/>
        </w:rPr>
        <w:t>.</w:t>
      </w:r>
      <w:r w:rsidRPr="003D179C">
        <w:rPr>
          <w:color w:val="000000" w:themeColor="text1"/>
        </w:rPr>
        <w:t xml:space="preserve">). McKinsey </w:t>
      </w:r>
      <w:r w:rsidRPr="00B85068">
        <w:t xml:space="preserve">Global Institute </w:t>
      </w:r>
      <w:r>
        <w:t xml:space="preserve">(2020, </w:t>
      </w:r>
      <w:proofErr w:type="spellStart"/>
      <w:r>
        <w:t>n.p</w:t>
      </w:r>
      <w:proofErr w:type="spellEnd"/>
      <w:r>
        <w:t xml:space="preserve">.) </w:t>
      </w:r>
      <w:r w:rsidRPr="00B85068">
        <w:t xml:space="preserve">estimates that “a gender-regressive scenario in which no action is taken to counter effects of the pandemic will dilute $1 trillion in global </w:t>
      </w:r>
      <w:r w:rsidRPr="003D179C">
        <w:rPr>
          <w:color w:val="000000" w:themeColor="text1"/>
        </w:rPr>
        <w:t>GDP” and that, in contrast</w:t>
      </w:r>
      <w:r>
        <w:t>,</w:t>
      </w:r>
      <w:r w:rsidRPr="00B85068">
        <w:t xml:space="preserve"> taking immediate action to advance gender equality</w:t>
      </w:r>
      <w:r>
        <w:t xml:space="preserve"> will </w:t>
      </w:r>
      <w:r w:rsidRPr="00B85068">
        <w:t>contribute $13 trillion</w:t>
      </w:r>
      <w:r>
        <w:t xml:space="preserve"> in U.S. dollars</w:t>
      </w:r>
      <w:r w:rsidRPr="00B85068">
        <w:t xml:space="preserve"> to </w:t>
      </w:r>
      <w:r>
        <w:t xml:space="preserve">the </w:t>
      </w:r>
      <w:r w:rsidRPr="00B85068">
        <w:t xml:space="preserve">global GDP in 2030 </w:t>
      </w:r>
      <w:r>
        <w:t>(</w:t>
      </w:r>
      <w:r w:rsidRPr="00B85068">
        <w:t xml:space="preserve">McKinsey Global </w:t>
      </w:r>
      <w:r>
        <w:t>Institute, 2020). Relief measures to offset the economic ramifications of the pandemic have been criticized for the failure to address the particular needs of women and girls (UN Women 2020; WE Empower 2020; OECD 2020a).</w:t>
      </w:r>
    </w:p>
    <w:p w14:paraId="768E9566" w14:textId="77777777" w:rsidR="00EE18FD" w:rsidRDefault="00EE18FD" w:rsidP="00EE18FD">
      <w:pPr>
        <w:spacing w:line="480" w:lineRule="auto"/>
        <w:ind w:firstLine="720"/>
      </w:pPr>
      <w:r>
        <w:t>The f</w:t>
      </w:r>
      <w:r w:rsidRPr="00B85068">
        <w:t>ragility</w:t>
      </w:r>
      <w:r>
        <w:t xml:space="preserve"> </w:t>
      </w:r>
      <w:r w:rsidRPr="00B85068">
        <w:t xml:space="preserve">in the gains </w:t>
      </w:r>
      <w:r>
        <w:t xml:space="preserve">that </w:t>
      </w:r>
      <w:r w:rsidRPr="00B85068">
        <w:t xml:space="preserve">women </w:t>
      </w:r>
      <w:r>
        <w:t xml:space="preserve">entrepreneurs </w:t>
      </w:r>
      <w:r w:rsidRPr="00B85068">
        <w:t xml:space="preserve">have </w:t>
      </w:r>
      <w:r>
        <w:t xml:space="preserve">achieved are, in part, </w:t>
      </w:r>
      <w:r w:rsidRPr="00B85068">
        <w:t xml:space="preserve">due to a lack of </w:t>
      </w:r>
      <w:r>
        <w:t xml:space="preserve">gender-responsive policy </w:t>
      </w:r>
      <w:r w:rsidRPr="00B85068">
        <w:t>support</w:t>
      </w:r>
      <w:r>
        <w:t>s</w:t>
      </w:r>
      <w:r w:rsidRPr="00B85068">
        <w:t xml:space="preserve"> across institutions including government</w:t>
      </w:r>
      <w:r>
        <w:t>s</w:t>
      </w:r>
      <w:r w:rsidRPr="00B85068">
        <w:t>.</w:t>
      </w:r>
      <w:r>
        <w:t xml:space="preserve"> Scholars have observed that the underlying assumptions of most </w:t>
      </w:r>
      <w:r>
        <w:rPr>
          <w:color w:val="000000" w:themeColor="text1"/>
          <w:lang w:val="en-US"/>
        </w:rPr>
        <w:t xml:space="preserve">women’s enterprise policies are that women are </w:t>
      </w:r>
      <w:r w:rsidRPr="00B85068">
        <w:t>underutili</w:t>
      </w:r>
      <w:r>
        <w:t>z</w:t>
      </w:r>
      <w:r w:rsidRPr="00B85068">
        <w:t xml:space="preserve">ed economic </w:t>
      </w:r>
      <w:r>
        <w:t>resources</w:t>
      </w:r>
      <w:r w:rsidRPr="008908DB">
        <w:rPr>
          <w:color w:val="000000" w:themeColor="text1"/>
          <w:lang w:val="en-US"/>
        </w:rPr>
        <w:t xml:space="preserve"> (</w:t>
      </w:r>
      <w:r w:rsidRPr="00B85068">
        <w:rPr>
          <w:rFonts w:eastAsia="Arial Unicode MS"/>
        </w:rPr>
        <w:t>Marlow</w:t>
      </w:r>
      <w:r>
        <w:rPr>
          <w:rFonts w:eastAsia="Arial Unicode MS"/>
        </w:rPr>
        <w:t xml:space="preserve"> et al., </w:t>
      </w:r>
      <w:r w:rsidRPr="00B85068">
        <w:rPr>
          <w:rFonts w:eastAsia="Arial Unicode MS"/>
        </w:rPr>
        <w:t>2008</w:t>
      </w:r>
      <w:r>
        <w:rPr>
          <w:rFonts w:eastAsia="Arial Unicode MS"/>
        </w:rPr>
        <w:t>;</w:t>
      </w:r>
      <w:r w:rsidRPr="00585903">
        <w:t xml:space="preserve"> </w:t>
      </w:r>
      <w:proofErr w:type="spellStart"/>
      <w:r w:rsidRPr="008908DB">
        <w:rPr>
          <w:color w:val="000000" w:themeColor="text1"/>
          <w:lang w:val="en-US"/>
        </w:rPr>
        <w:t>Ahl</w:t>
      </w:r>
      <w:proofErr w:type="spellEnd"/>
      <w:r w:rsidRPr="007376D5">
        <w:t xml:space="preserve"> &amp; Nelson </w:t>
      </w:r>
      <w:r>
        <w:t xml:space="preserve">2015; </w:t>
      </w:r>
      <w:r w:rsidRPr="00B85068">
        <w:rPr>
          <w:rFonts w:eastAsia="Arial Unicode MS"/>
        </w:rPr>
        <w:t xml:space="preserve">Foss </w:t>
      </w:r>
      <w:r>
        <w:rPr>
          <w:rFonts w:eastAsia="Arial Unicode MS"/>
        </w:rPr>
        <w:t>et al.</w:t>
      </w:r>
      <w:r>
        <w:t>,</w:t>
      </w:r>
      <w:r w:rsidRPr="00B85068">
        <w:t xml:space="preserve"> 2019)</w:t>
      </w:r>
      <w:r>
        <w:t>,</w:t>
      </w:r>
      <w:r>
        <w:rPr>
          <w:rFonts w:eastAsia="Arial Unicode MS"/>
        </w:rPr>
        <w:t xml:space="preserve"> </w:t>
      </w:r>
      <w:r w:rsidRPr="00C712FE">
        <w:t xml:space="preserve">“in need of fixing”, or </w:t>
      </w:r>
      <w:r>
        <w:t>“</w:t>
      </w:r>
      <w:r w:rsidRPr="00C712FE">
        <w:t xml:space="preserve">best able to make unique (‘womanly’) contributions” </w:t>
      </w:r>
      <w:r>
        <w:t>(</w:t>
      </w:r>
      <w:proofErr w:type="spellStart"/>
      <w:r w:rsidRPr="00B85068">
        <w:rPr>
          <w:rFonts w:eastAsia="Arial Unicode MS"/>
        </w:rPr>
        <w:t>Pettersson</w:t>
      </w:r>
      <w:proofErr w:type="spellEnd"/>
      <w:r>
        <w:rPr>
          <w:rFonts w:eastAsia="Arial Unicode MS"/>
        </w:rPr>
        <w:t xml:space="preserve"> et al.</w:t>
      </w:r>
      <w:r w:rsidRPr="00B85068">
        <w:rPr>
          <w:rFonts w:eastAsia="Arial Unicode MS"/>
        </w:rPr>
        <w:t>,</w:t>
      </w:r>
      <w:r>
        <w:rPr>
          <w:rFonts w:eastAsia="Arial Unicode MS"/>
        </w:rPr>
        <w:t xml:space="preserve"> </w:t>
      </w:r>
      <w:r>
        <w:t>2017, p. 52). G</w:t>
      </w:r>
      <w:r w:rsidRPr="00B85068">
        <w:t xml:space="preserve">ender asymmetries </w:t>
      </w:r>
      <w:r>
        <w:t xml:space="preserve">within entrepreneurial ecosystems </w:t>
      </w:r>
      <w:r w:rsidRPr="00B85068">
        <w:t xml:space="preserve">persist </w:t>
      </w:r>
      <w:r w:rsidRPr="00B85068">
        <w:lastRenderedPageBreak/>
        <w:t>(Brush</w:t>
      </w:r>
      <w:r>
        <w:t xml:space="preserve"> et al.</w:t>
      </w:r>
      <w:r w:rsidRPr="00B85068">
        <w:t>,</w:t>
      </w:r>
      <w:r w:rsidRPr="003D179C">
        <w:rPr>
          <w:color w:val="000000" w:themeColor="text1"/>
        </w:rPr>
        <w:t xml:space="preserve"> 2009)</w:t>
      </w:r>
      <w:r>
        <w:rPr>
          <w:color w:val="000000" w:themeColor="text1"/>
        </w:rPr>
        <w:t xml:space="preserve">. </w:t>
      </w:r>
      <w:r>
        <w:t>Few policy strategies seek to address systemic gender biases within entrepreneurial ecosystems (</w:t>
      </w:r>
      <w:r w:rsidRPr="00B85068">
        <w:rPr>
          <w:rFonts w:eastAsia="Arial Unicode MS"/>
        </w:rPr>
        <w:t>Henry</w:t>
      </w:r>
      <w:r>
        <w:rPr>
          <w:rFonts w:eastAsia="Arial Unicode MS"/>
        </w:rPr>
        <w:t xml:space="preserve"> et al.</w:t>
      </w:r>
      <w:r w:rsidRPr="00B85068">
        <w:rPr>
          <w:rFonts w:eastAsia="Arial Unicode MS"/>
        </w:rPr>
        <w:t xml:space="preserve">, </w:t>
      </w:r>
      <w:r>
        <w:t xml:space="preserve">2018; Coleman et al., 2019). In response, this study </w:t>
      </w:r>
      <w:r w:rsidRPr="006E5012">
        <w:t xml:space="preserve">examines the research question: </w:t>
      </w:r>
      <w:r w:rsidRPr="00DC1F4C">
        <w:rPr>
          <w:i/>
        </w:rPr>
        <w:t xml:space="preserve">What are the </w:t>
      </w:r>
      <w:r>
        <w:rPr>
          <w:i/>
        </w:rPr>
        <w:t xml:space="preserve">parameters </w:t>
      </w:r>
      <w:r w:rsidRPr="00DC1F4C">
        <w:rPr>
          <w:i/>
        </w:rPr>
        <w:t>of</w:t>
      </w:r>
      <w:r>
        <w:rPr>
          <w:i/>
        </w:rPr>
        <w:t xml:space="preserve"> gender-inclusive</w:t>
      </w:r>
      <w:r w:rsidRPr="00DC1F4C">
        <w:rPr>
          <w:i/>
        </w:rPr>
        <w:t xml:space="preserve"> COVID-19 pandemic small- and medium-sized enterprise (SME) recovery measures?</w:t>
      </w:r>
      <w:r w:rsidRPr="006E5012">
        <w:t xml:space="preserve"> </w:t>
      </w:r>
    </w:p>
    <w:p w14:paraId="57067053" w14:textId="77777777" w:rsidR="00EE18FD" w:rsidRDefault="00EE18FD" w:rsidP="00EE18FD">
      <w:pPr>
        <w:spacing w:line="480" w:lineRule="auto"/>
        <w:ind w:firstLine="720"/>
      </w:pPr>
      <w:r>
        <w:t>To inform the research question, the study proceeds in several steps. To situate the study, the research drew on a delineation of feminist perspectives cited in the entrepreneurship literature.</w:t>
      </w:r>
      <w:r w:rsidRPr="003B62E7">
        <w:rPr>
          <w:rFonts w:eastAsia="Arial Unicode MS"/>
        </w:rPr>
        <w:t xml:space="preserve"> </w:t>
      </w:r>
      <w:proofErr w:type="spellStart"/>
      <w:r w:rsidRPr="00B85068">
        <w:rPr>
          <w:rFonts w:eastAsia="Arial Unicode MS"/>
        </w:rPr>
        <w:t>Calás</w:t>
      </w:r>
      <w:proofErr w:type="spellEnd"/>
      <w:r>
        <w:rPr>
          <w:rFonts w:eastAsia="Arial Unicode MS"/>
        </w:rPr>
        <w:t xml:space="preserve"> et al. (</w:t>
      </w:r>
      <w:r w:rsidRPr="00E37495">
        <w:rPr>
          <w:color w:val="000000" w:themeColor="text1"/>
          <w:lang w:val="en-US"/>
        </w:rPr>
        <w:t>200</w:t>
      </w:r>
      <w:r>
        <w:rPr>
          <w:color w:val="000000" w:themeColor="text1"/>
          <w:lang w:val="en-US"/>
        </w:rPr>
        <w:t>9</w:t>
      </w:r>
      <w:r>
        <w:t>) describe two paradigms of entrepreneurship based on multiple feminist theories: (a) entrepreneurship as a positive economic activity, and (b) entrepreneurship as a means of social change (</w:t>
      </w:r>
      <w:proofErr w:type="spellStart"/>
      <w:r w:rsidRPr="00B85068">
        <w:rPr>
          <w:rFonts w:eastAsia="Arial Unicode MS"/>
        </w:rPr>
        <w:t>Calás</w:t>
      </w:r>
      <w:proofErr w:type="spellEnd"/>
      <w:r>
        <w:rPr>
          <w:rFonts w:eastAsia="Arial Unicode MS"/>
        </w:rPr>
        <w:t xml:space="preserve"> et al., </w:t>
      </w:r>
      <w:r w:rsidRPr="00E37495">
        <w:rPr>
          <w:color w:val="000000" w:themeColor="text1"/>
          <w:lang w:val="en-US"/>
        </w:rPr>
        <w:t>200</w:t>
      </w:r>
      <w:r>
        <w:rPr>
          <w:color w:val="000000" w:themeColor="text1"/>
          <w:lang w:val="en-US"/>
        </w:rPr>
        <w:t>9</w:t>
      </w:r>
      <w:r>
        <w:t xml:space="preserve">). The intersection of these two paradigms is consistent with </w:t>
      </w:r>
      <w:r w:rsidRPr="00E56F0A">
        <w:rPr>
          <w:i/>
        </w:rPr>
        <w:t>entrepreneurial feminism</w:t>
      </w:r>
      <w:r>
        <w:t xml:space="preserve"> (</w:t>
      </w:r>
      <w:proofErr w:type="spellStart"/>
      <w:r>
        <w:t>Orser</w:t>
      </w:r>
      <w:proofErr w:type="spellEnd"/>
      <w:r>
        <w:t xml:space="preserve"> &amp; Elliott, 2015; Coleman et al., 2019). To elaborate on entrepreneurial feminism in the context of public policy and pandemic recovery measures, first the research reviewed the entrepreneurship literature to identify key parameters consistent with good practices to support women entrepreneurs. Second, parameters advanced in the first step of the analysis were sorted and organized into logical policy themes. The third step of this research entailed assessment of the extent to which three feminist pandemic recovery plans </w:t>
      </w:r>
      <w:r w:rsidRPr="004B5990">
        <w:t>t</w:t>
      </w:r>
      <w:r>
        <w:t xml:space="preserve">hat seek to </w:t>
      </w:r>
      <w:r w:rsidRPr="004B5990">
        <w:t>support gender-responsive recovery measures</w:t>
      </w:r>
      <w:r>
        <w:t xml:space="preserve"> embodied the proposed parameters. The assessment surfaced gaps between the parameters of feminist entrepreneurship policy and initiatives to support g</w:t>
      </w:r>
      <w:r w:rsidRPr="00F90A9B">
        <w:t xml:space="preserve">ender-responsive </w:t>
      </w:r>
      <w:r>
        <w:t>pandemic</w:t>
      </w:r>
      <w:r w:rsidRPr="00F90A9B">
        <w:t xml:space="preserve"> </w:t>
      </w:r>
      <w:r>
        <w:t>r</w:t>
      </w:r>
      <w:r w:rsidRPr="00F90A9B">
        <w:t xml:space="preserve">ecovery </w:t>
      </w:r>
      <w:r>
        <w:t xml:space="preserve">measures. Building on these insights, </w:t>
      </w:r>
      <w:r>
        <w:rPr>
          <w:color w:val="000000" w:themeColor="text1"/>
          <w:lang w:val="en-US"/>
        </w:rPr>
        <w:t xml:space="preserve">a </w:t>
      </w:r>
      <w:r w:rsidRPr="00F90A9B">
        <w:rPr>
          <w:i/>
          <w:color w:val="000000" w:themeColor="text1"/>
          <w:lang w:val="en-US"/>
        </w:rPr>
        <w:t>conceptual framework of feminist entrepreneurship policy</w:t>
      </w:r>
      <w:r>
        <w:rPr>
          <w:color w:val="000000" w:themeColor="text1"/>
          <w:lang w:val="en-US"/>
        </w:rPr>
        <w:t xml:space="preserve"> was constructed.</w:t>
      </w:r>
      <w:r>
        <w:t xml:space="preserve"> </w:t>
      </w:r>
      <w:r w:rsidRPr="00594D36">
        <w:t>Boundary conditions for when and how the study insights are applicable, study limitations</w:t>
      </w:r>
      <w:r>
        <w:t>,</w:t>
      </w:r>
      <w:r w:rsidRPr="00594D36">
        <w:t xml:space="preserve"> and the implications</w:t>
      </w:r>
      <w:r w:rsidRPr="00B85068">
        <w:t xml:space="preserve"> for </w:t>
      </w:r>
      <w:r>
        <w:t>future research are also considered</w:t>
      </w:r>
      <w:r w:rsidRPr="00B85068">
        <w:t>.</w:t>
      </w:r>
      <w:r>
        <w:t xml:space="preserve"> In doing so, </w:t>
      </w:r>
      <w:r>
        <w:rPr>
          <w:color w:val="000000" w:themeColor="text1"/>
          <w:lang w:val="en-US"/>
        </w:rPr>
        <w:t xml:space="preserve">this </w:t>
      </w:r>
      <w:r w:rsidRPr="00F5632C">
        <w:rPr>
          <w:color w:val="000000" w:themeColor="text1"/>
          <w:lang w:val="en-US"/>
        </w:rPr>
        <w:t xml:space="preserve">study </w:t>
      </w:r>
      <w:r w:rsidRPr="00F5632C">
        <w:t xml:space="preserve">contributes to the entrepreneurship </w:t>
      </w:r>
      <w:r>
        <w:t xml:space="preserve">policy </w:t>
      </w:r>
      <w:r w:rsidRPr="00F5632C">
        <w:t>literature in several ways.</w:t>
      </w:r>
      <w:r w:rsidRPr="00B85068">
        <w:t xml:space="preserve"> </w:t>
      </w:r>
    </w:p>
    <w:p w14:paraId="2D100D2D" w14:textId="77777777" w:rsidR="00EE18FD" w:rsidRDefault="00EE18FD" w:rsidP="00EE18FD">
      <w:pPr>
        <w:spacing w:line="480" w:lineRule="auto"/>
        <w:ind w:firstLine="720"/>
      </w:pPr>
      <w:r>
        <w:lastRenderedPageBreak/>
        <w:t xml:space="preserve">The work </w:t>
      </w:r>
      <w:r w:rsidRPr="00B85068">
        <w:t>bridges insights drawn from academe</w:t>
      </w:r>
      <w:r>
        <w:t>, civil society,</w:t>
      </w:r>
      <w:r w:rsidRPr="00B85068">
        <w:t xml:space="preserve"> and feminist collective </w:t>
      </w:r>
      <w:r>
        <w:t>action. Mobilizing k</w:t>
      </w:r>
      <w:r w:rsidRPr="00B85068">
        <w:t xml:space="preserve">nowledge within </w:t>
      </w:r>
      <w:r>
        <w:t>these</w:t>
      </w:r>
      <w:r w:rsidRPr="00B85068">
        <w:t xml:space="preserve"> domains strengthen</w:t>
      </w:r>
      <w:r>
        <w:t>s</w:t>
      </w:r>
      <w:r w:rsidRPr="00B85068">
        <w:t xml:space="preserve"> gender-responsive </w:t>
      </w:r>
      <w:r>
        <w:t xml:space="preserve">SME </w:t>
      </w:r>
      <w:r w:rsidRPr="00B85068">
        <w:t>recovery measures</w:t>
      </w:r>
      <w:r>
        <w:t xml:space="preserve"> through theory-driven and grassroots recommendations. F</w:t>
      </w:r>
      <w:r w:rsidRPr="00B85068">
        <w:t xml:space="preserve">or over 30 years </w:t>
      </w:r>
      <w:r>
        <w:t>SME</w:t>
      </w:r>
      <w:r w:rsidRPr="00B85068">
        <w:t xml:space="preserve"> policies</w:t>
      </w:r>
      <w:r>
        <w:t xml:space="preserve"> have been </w:t>
      </w:r>
      <w:r w:rsidRPr="00B85068">
        <w:t xml:space="preserve">framed through the experiences and expectations of men (Campbell, 1988; Walker &amp; Joyner, 1999; </w:t>
      </w:r>
      <w:proofErr w:type="spellStart"/>
      <w:r w:rsidRPr="00B85068">
        <w:t>Ljunggren</w:t>
      </w:r>
      <w:proofErr w:type="spellEnd"/>
      <w:r w:rsidRPr="00B85068">
        <w:t xml:space="preserve"> &amp; </w:t>
      </w:r>
      <w:proofErr w:type="spellStart"/>
      <w:r w:rsidRPr="00B85068">
        <w:t>Alsos</w:t>
      </w:r>
      <w:proofErr w:type="spellEnd"/>
      <w:r w:rsidRPr="00B85068">
        <w:t>, 2012)</w:t>
      </w:r>
      <w:r>
        <w:t xml:space="preserve">. </w:t>
      </w:r>
      <w:r>
        <w:rPr>
          <w:color w:val="000000" w:themeColor="text1"/>
        </w:rPr>
        <w:t>Within the literature</w:t>
      </w:r>
      <w:r w:rsidRPr="003D179C">
        <w:rPr>
          <w:color w:val="000000" w:themeColor="text1"/>
        </w:rPr>
        <w:t xml:space="preserve">, women </w:t>
      </w:r>
      <w:r>
        <w:rPr>
          <w:color w:val="000000" w:themeColor="text1"/>
        </w:rPr>
        <w:t xml:space="preserve">are often </w:t>
      </w:r>
      <w:r>
        <w:t xml:space="preserve">assumed to be </w:t>
      </w:r>
      <w:r w:rsidRPr="00B85068">
        <w:t>a homogenous group (</w:t>
      </w:r>
      <w:proofErr w:type="spellStart"/>
      <w:r w:rsidRPr="00B85068">
        <w:t>Mirchandani</w:t>
      </w:r>
      <w:proofErr w:type="spellEnd"/>
      <w:r w:rsidRPr="00B85068">
        <w:t xml:space="preserve">, 1999; </w:t>
      </w:r>
      <w:proofErr w:type="spellStart"/>
      <w:r w:rsidRPr="00B85068">
        <w:t>Ahl</w:t>
      </w:r>
      <w:proofErr w:type="spellEnd"/>
      <w:r w:rsidRPr="00B85068">
        <w:rPr>
          <w:lang w:val="en-US"/>
        </w:rPr>
        <w:t xml:space="preserve"> &amp; Marlowe, 2012; </w:t>
      </w:r>
      <w:r w:rsidRPr="00B85068">
        <w:rPr>
          <w:rFonts w:eastAsia="Arial Unicode MS"/>
        </w:rPr>
        <w:t>Hughes</w:t>
      </w:r>
      <w:r>
        <w:rPr>
          <w:rFonts w:eastAsia="Arial Unicode MS"/>
        </w:rPr>
        <w:t xml:space="preserve"> et al.</w:t>
      </w:r>
      <w:r w:rsidRPr="00B85068">
        <w:rPr>
          <w:rFonts w:eastAsia="Arial Unicode MS"/>
        </w:rPr>
        <w:t>,</w:t>
      </w:r>
      <w:r w:rsidRPr="00B85068" w:rsidDel="00D507E4">
        <w:t xml:space="preserve"> </w:t>
      </w:r>
      <w:r w:rsidRPr="00B85068">
        <w:t>2012). Yet, intersectional influences are evidenced among women entrepreneurs who identify as immigrants and newcomers (</w:t>
      </w:r>
      <w:proofErr w:type="spellStart"/>
      <w:r w:rsidRPr="00B85068">
        <w:t>Chreim</w:t>
      </w:r>
      <w:proofErr w:type="spellEnd"/>
      <w:r>
        <w:t xml:space="preserve"> et al.</w:t>
      </w:r>
      <w:r w:rsidRPr="00B85068">
        <w:t>, 2018)</w:t>
      </w:r>
      <w:r>
        <w:t>,</w:t>
      </w:r>
      <w:r w:rsidRPr="00B85068">
        <w:t xml:space="preserve"> women with </w:t>
      </w:r>
      <w:r>
        <w:t xml:space="preserve">different abilities </w:t>
      </w:r>
      <w:r w:rsidRPr="00B85068">
        <w:t>(U</w:t>
      </w:r>
      <w:r>
        <w:t>N</w:t>
      </w:r>
      <w:r w:rsidRPr="00B85068">
        <w:t xml:space="preserve"> Human Rights, 2020)</w:t>
      </w:r>
      <w:r>
        <w:t>,</w:t>
      </w:r>
      <w:r w:rsidRPr="00B85068">
        <w:t xml:space="preserve"> Indigenous (Agarwal</w:t>
      </w:r>
      <w:r>
        <w:t xml:space="preserve"> et al.</w:t>
      </w:r>
      <w:r w:rsidRPr="00B85068">
        <w:t xml:space="preserve">, 2020); or women who are Black or </w:t>
      </w:r>
      <w:r>
        <w:t xml:space="preserve">other </w:t>
      </w:r>
      <w:r w:rsidRPr="00B85068">
        <w:t>persons of colour (</w:t>
      </w:r>
      <w:proofErr w:type="spellStart"/>
      <w:r w:rsidRPr="00B85068">
        <w:t>Forson</w:t>
      </w:r>
      <w:proofErr w:type="spellEnd"/>
      <w:r w:rsidRPr="00B85068">
        <w:t>, 2006, 2007)</w:t>
      </w:r>
      <w:r>
        <w:t xml:space="preserve">. The study constructs a conceptual framework to inform inclusive SME recovery measures. </w:t>
      </w:r>
    </w:p>
    <w:p w14:paraId="5BD635D6" w14:textId="77777777" w:rsidR="00EE18FD" w:rsidRPr="006E5012" w:rsidRDefault="00EE18FD" w:rsidP="00EE18FD">
      <w:pPr>
        <w:spacing w:line="480" w:lineRule="auto"/>
        <w:ind w:firstLine="720"/>
        <w:rPr>
          <w:rFonts w:eastAsiaTheme="minorEastAsia"/>
          <w:sz w:val="20"/>
          <w:szCs w:val="20"/>
          <w:lang w:val="en-US" w:eastAsia="ja-JP"/>
        </w:rPr>
      </w:pPr>
      <w:proofErr w:type="spellStart"/>
      <w:r w:rsidRPr="00B85068">
        <w:rPr>
          <w:rFonts w:eastAsia="Arial Unicode MS"/>
        </w:rPr>
        <w:t>Calás</w:t>
      </w:r>
      <w:proofErr w:type="spellEnd"/>
      <w:r>
        <w:rPr>
          <w:rFonts w:eastAsia="Arial Unicode MS"/>
        </w:rPr>
        <w:t xml:space="preserve"> et al. </w:t>
      </w:r>
      <w:r w:rsidRPr="00E37495">
        <w:rPr>
          <w:color w:val="000000" w:themeColor="text1"/>
          <w:lang w:val="en-US"/>
        </w:rPr>
        <w:t>(2009</w:t>
      </w:r>
      <w:r>
        <w:rPr>
          <w:color w:val="000000" w:themeColor="text1"/>
          <w:lang w:val="en-US"/>
        </w:rPr>
        <w:t>, p. 554</w:t>
      </w:r>
      <w:r w:rsidRPr="001C203F">
        <w:rPr>
          <w:color w:val="000000" w:themeColor="text1"/>
          <w:lang w:val="en-US"/>
        </w:rPr>
        <w:t xml:space="preserve">) </w:t>
      </w:r>
      <w:r>
        <w:rPr>
          <w:color w:val="000000" w:themeColor="text1"/>
          <w:lang w:val="en-US"/>
        </w:rPr>
        <w:t xml:space="preserve">argue </w:t>
      </w:r>
      <w:r w:rsidRPr="001C203F">
        <w:rPr>
          <w:color w:val="000000" w:themeColor="text1"/>
          <w:lang w:val="en-US"/>
        </w:rPr>
        <w:t>that “</w:t>
      </w:r>
      <w:r>
        <w:rPr>
          <w:color w:val="000000" w:themeColor="text1"/>
          <w:lang w:val="en-US"/>
        </w:rPr>
        <w:t xml:space="preserve">more </w:t>
      </w:r>
      <w:r w:rsidRPr="001C203F">
        <w:rPr>
          <w:color w:val="000000" w:themeColor="text1"/>
          <w:lang w:val="en-US"/>
        </w:rPr>
        <w:t>rather than fewer theoretical frameworks are needed for exploring the varieties of social change that entrepreneurship may bring about, as well as for underscoring who and what are attended to in each case.”</w:t>
      </w:r>
      <w:r>
        <w:rPr>
          <w:rFonts w:eastAsiaTheme="minorEastAsia"/>
          <w:sz w:val="20"/>
          <w:szCs w:val="20"/>
          <w:lang w:val="en-US" w:eastAsia="ja-JP"/>
        </w:rPr>
        <w:t xml:space="preserve"> </w:t>
      </w:r>
      <w:r>
        <w:t xml:space="preserve">The study identifies parameters to </w:t>
      </w:r>
      <w:r w:rsidRPr="00B85068">
        <w:rPr>
          <w:color w:val="1A1718"/>
        </w:rPr>
        <w:t xml:space="preserve">address a limitation cited in the literature about the need to </w:t>
      </w:r>
      <w:r w:rsidRPr="00B85068">
        <w:rPr>
          <w:lang w:eastAsia="ja-JP"/>
        </w:rPr>
        <w:t>understand further the conceptual basis for</w:t>
      </w:r>
      <w:r>
        <w:rPr>
          <w:lang w:eastAsia="ja-JP"/>
        </w:rPr>
        <w:t xml:space="preserve"> feminist</w:t>
      </w:r>
      <w:r w:rsidRPr="00B85068">
        <w:rPr>
          <w:lang w:eastAsia="ja-JP"/>
        </w:rPr>
        <w:t xml:space="preserve"> policy arguments (Marlow et al., 2008</w:t>
      </w:r>
      <w:r>
        <w:rPr>
          <w:lang w:eastAsia="ja-JP"/>
        </w:rPr>
        <w:t xml:space="preserve">; </w:t>
      </w:r>
      <w:r w:rsidRPr="00B85068">
        <w:rPr>
          <w:rFonts w:eastAsia="Arial Unicode MS"/>
        </w:rPr>
        <w:t>Coleman</w:t>
      </w:r>
      <w:r>
        <w:rPr>
          <w:rFonts w:eastAsia="Arial Unicode MS"/>
        </w:rPr>
        <w:t xml:space="preserve"> et al.,</w:t>
      </w:r>
      <w:r w:rsidDel="00D507E4">
        <w:rPr>
          <w:lang w:eastAsia="ja-JP"/>
        </w:rPr>
        <w:t xml:space="preserve"> </w:t>
      </w:r>
      <w:r>
        <w:rPr>
          <w:lang w:eastAsia="ja-JP"/>
        </w:rPr>
        <w:t>2018</w:t>
      </w:r>
      <w:r w:rsidRPr="00B85068">
        <w:rPr>
          <w:lang w:eastAsia="ja-JP"/>
        </w:rPr>
        <w:t xml:space="preserve">). </w:t>
      </w:r>
      <w:r>
        <w:rPr>
          <w:lang w:eastAsia="ja-JP"/>
        </w:rPr>
        <w:t xml:space="preserve">Feminist-value driven parameters </w:t>
      </w:r>
      <w:r>
        <w:t xml:space="preserve">inform the design and implementation of SME policies. </w:t>
      </w:r>
    </w:p>
    <w:p w14:paraId="43DC3F50" w14:textId="0015601C" w:rsidR="00EE18FD" w:rsidRPr="00DE5920" w:rsidRDefault="00EE18FD" w:rsidP="00EE18FD">
      <w:pPr>
        <w:spacing w:line="480" w:lineRule="auto"/>
        <w:ind w:firstLine="720"/>
      </w:pPr>
      <w:r>
        <w:rPr>
          <w:color w:val="000000" w:themeColor="text1"/>
        </w:rPr>
        <w:t xml:space="preserve">Many terms employed in this study will be familiar to scholars whose research focuses on gender and entrepreneurship. For those readers who are less familiar with the terms: gender, inclusion, intersectional, feminism, feminist policy, women-focused policies, and gender mainstream policies, a synopsis of each term is presented in Appendix A. </w:t>
      </w:r>
      <w:r>
        <w:t xml:space="preserve">To illustrate the application of the key parameters advanced in this work, an assessment of Canada’s </w:t>
      </w:r>
      <w:r w:rsidRPr="00B537D6">
        <w:rPr>
          <w:i/>
        </w:rPr>
        <w:t xml:space="preserve">Women </w:t>
      </w:r>
      <w:r>
        <w:rPr>
          <w:i/>
        </w:rPr>
        <w:lastRenderedPageBreak/>
        <w:t>E</w:t>
      </w:r>
      <w:r w:rsidRPr="00B537D6">
        <w:rPr>
          <w:i/>
        </w:rPr>
        <w:t xml:space="preserve">ntrepreneurship </w:t>
      </w:r>
      <w:r>
        <w:rPr>
          <w:i/>
        </w:rPr>
        <w:t>S</w:t>
      </w:r>
      <w:r w:rsidRPr="00B537D6">
        <w:rPr>
          <w:i/>
        </w:rPr>
        <w:t>trategy</w:t>
      </w:r>
      <w:r>
        <w:t xml:space="preserve"> (2018) is presented in Appendix B.</w:t>
      </w:r>
      <w:r>
        <w:rPr>
          <w:rStyle w:val="FootnoteReference"/>
        </w:rPr>
        <w:t xml:space="preserve"> </w:t>
      </w:r>
      <w:r>
        <w:t xml:space="preserve"> [Appendix A and B </w:t>
      </w:r>
      <w:r w:rsidR="00745795">
        <w:t>are</w:t>
      </w:r>
      <w:r>
        <w:t xml:space="preserve"> included as supplementary materials</w:t>
      </w:r>
      <w:r w:rsidR="00745795">
        <w:t xml:space="preserve"> to the journal article</w:t>
      </w:r>
      <w:r>
        <w:t xml:space="preserve">.]  </w:t>
      </w:r>
    </w:p>
    <w:p w14:paraId="7375C177" w14:textId="77777777" w:rsidR="00EE18FD" w:rsidRDefault="00EE18FD" w:rsidP="00EE18FD">
      <w:pPr>
        <w:pStyle w:val="Heading1"/>
        <w:rPr>
          <w:color w:val="000000" w:themeColor="text1"/>
        </w:rPr>
      </w:pPr>
      <w:r w:rsidRPr="003D179C">
        <w:rPr>
          <w:color w:val="000000" w:themeColor="text1"/>
        </w:rPr>
        <w:t>2.0</w:t>
      </w:r>
      <w:r w:rsidRPr="003D179C">
        <w:rPr>
          <w:color w:val="000000" w:themeColor="text1"/>
        </w:rPr>
        <w:tab/>
        <w:t xml:space="preserve">Literature review  </w:t>
      </w:r>
    </w:p>
    <w:p w14:paraId="078BF788" w14:textId="77777777" w:rsidR="00EE18FD" w:rsidRPr="003D179C" w:rsidRDefault="00EE18FD" w:rsidP="00EE18FD">
      <w:pPr>
        <w:spacing w:line="480" w:lineRule="auto"/>
        <w:rPr>
          <w:color w:val="000000" w:themeColor="text1"/>
        </w:rPr>
      </w:pPr>
      <w:r w:rsidRPr="00FE4D6A">
        <w:rPr>
          <w:rStyle w:val="Heading2Char"/>
          <w:i w:val="0"/>
          <w:color w:val="000000" w:themeColor="text1"/>
        </w:rPr>
        <w:t>2.1</w:t>
      </w:r>
      <w:r>
        <w:rPr>
          <w:rStyle w:val="Heading2Char"/>
          <w:color w:val="000000" w:themeColor="text1"/>
        </w:rPr>
        <w:tab/>
        <w:t>Pandemic SME</w:t>
      </w:r>
      <w:r w:rsidRPr="003D179C">
        <w:rPr>
          <w:rStyle w:val="Heading2Char"/>
          <w:color w:val="000000" w:themeColor="text1"/>
        </w:rPr>
        <w:t xml:space="preserve"> relief measures</w:t>
      </w:r>
    </w:p>
    <w:p w14:paraId="1FA3D547" w14:textId="77777777" w:rsidR="00EE18FD" w:rsidRPr="003D179C" w:rsidRDefault="00EE18FD" w:rsidP="00EE18FD">
      <w:pPr>
        <w:spacing w:line="480" w:lineRule="auto"/>
        <w:ind w:firstLine="720"/>
        <w:rPr>
          <w:color w:val="000000" w:themeColor="text1"/>
        </w:rPr>
      </w:pPr>
      <w:r w:rsidRPr="003D179C">
        <w:rPr>
          <w:color w:val="000000" w:themeColor="text1"/>
        </w:rPr>
        <w:t>Most governments have introduced relief measures for SMEs (Organisation for Economic Co-operation and Development (OECD) 2020b</w:t>
      </w:r>
      <w:r>
        <w:rPr>
          <w:color w:val="000000" w:themeColor="text1"/>
        </w:rPr>
        <w:t>; UN Women 2020</w:t>
      </w:r>
      <w:r w:rsidRPr="003D179C">
        <w:rPr>
          <w:color w:val="000000" w:themeColor="text1"/>
        </w:rPr>
        <w:t>). The need to conceptuali</w:t>
      </w:r>
      <w:r>
        <w:rPr>
          <w:color w:val="000000" w:themeColor="text1"/>
        </w:rPr>
        <w:t>z</w:t>
      </w:r>
      <w:r w:rsidRPr="003D179C">
        <w:rPr>
          <w:color w:val="000000" w:themeColor="text1"/>
        </w:rPr>
        <w:t xml:space="preserve">e </w:t>
      </w:r>
      <w:r w:rsidRPr="003D179C">
        <w:rPr>
          <w:color w:val="000000" w:themeColor="text1"/>
          <w:lang w:val="en-US"/>
        </w:rPr>
        <w:t xml:space="preserve">gender-responsive recovery measures is underscored by </w:t>
      </w:r>
      <w:r>
        <w:rPr>
          <w:color w:val="000000" w:themeColor="text1"/>
          <w:lang w:val="en-US"/>
        </w:rPr>
        <w:t xml:space="preserve">relief </w:t>
      </w:r>
      <w:r w:rsidRPr="003D179C">
        <w:rPr>
          <w:color w:val="000000" w:themeColor="text1"/>
          <w:lang w:val="en-US"/>
        </w:rPr>
        <w:t>policies</w:t>
      </w:r>
      <w:r w:rsidRPr="003D179C">
        <w:rPr>
          <w:color w:val="000000" w:themeColor="text1"/>
        </w:rPr>
        <w:t xml:space="preserve"> that fail to </w:t>
      </w:r>
      <w:r w:rsidRPr="003D179C">
        <w:rPr>
          <w:color w:val="000000" w:themeColor="text1"/>
          <w:lang w:val="en-US"/>
        </w:rPr>
        <w:t xml:space="preserve">address </w:t>
      </w:r>
      <w:r>
        <w:rPr>
          <w:color w:val="000000" w:themeColor="text1"/>
          <w:lang w:val="en-US"/>
        </w:rPr>
        <w:t xml:space="preserve">gender-related differences among SMEs and market </w:t>
      </w:r>
      <w:r w:rsidRPr="003D179C">
        <w:rPr>
          <w:color w:val="000000" w:themeColor="text1"/>
          <w:lang w:val="en-US"/>
        </w:rPr>
        <w:t>mechanisms that impede women (OECD, 2020a; WE Empower, 2020; W(omen)20, 2020).</w:t>
      </w:r>
      <w:r w:rsidRPr="003D179C">
        <w:rPr>
          <w:color w:val="000000" w:themeColor="text1"/>
        </w:rPr>
        <w:t xml:space="preserve"> Compared to men-owned enterpr</w:t>
      </w:r>
      <w:r>
        <w:rPr>
          <w:color w:val="000000" w:themeColor="text1"/>
        </w:rPr>
        <w:t>ise</w:t>
      </w:r>
      <w:r w:rsidRPr="003D179C">
        <w:rPr>
          <w:color w:val="000000" w:themeColor="text1"/>
        </w:rPr>
        <w:t xml:space="preserve">s, women-owned SMEs are, on average, younger, smaller in size, retain less capital to buffer economic shock, and more likely to operate in sectors hardest hit by loss of revenue compared to men-owned SMEs (OECD, 2020a). </w:t>
      </w:r>
      <w:r>
        <w:rPr>
          <w:color w:val="000000" w:themeColor="text1"/>
        </w:rPr>
        <w:t>Women entrepreneurs are more likely to manage the consequences of school closures and “to be j</w:t>
      </w:r>
      <w:r w:rsidRPr="007176DE">
        <w:rPr>
          <w:color w:val="000000" w:themeColor="text1"/>
        </w:rPr>
        <w:t>uggling primary care-giving and homemaking, while they are scrambling to save their businesses</w:t>
      </w:r>
      <w:r>
        <w:rPr>
          <w:color w:val="000000" w:themeColor="text1"/>
        </w:rPr>
        <w:t>” (</w:t>
      </w:r>
      <w:proofErr w:type="spellStart"/>
      <w:r w:rsidRPr="005E4F57">
        <w:rPr>
          <w:color w:val="000000" w:themeColor="text1"/>
        </w:rPr>
        <w:t>Manolova</w:t>
      </w:r>
      <w:proofErr w:type="spellEnd"/>
      <w:r>
        <w:rPr>
          <w:color w:val="000000" w:themeColor="text1"/>
        </w:rPr>
        <w:t xml:space="preserve"> et al., 2020, p.384). Yet, m</w:t>
      </w:r>
      <w:r w:rsidRPr="003D179C">
        <w:rPr>
          <w:color w:val="000000" w:themeColor="text1"/>
        </w:rPr>
        <w:t xml:space="preserve">any women-owned SMEs do not qualify for relief </w:t>
      </w:r>
      <w:r>
        <w:rPr>
          <w:color w:val="000000" w:themeColor="text1"/>
        </w:rPr>
        <w:t xml:space="preserve">funds </w:t>
      </w:r>
      <w:r w:rsidRPr="003D179C">
        <w:rPr>
          <w:color w:val="000000" w:themeColor="text1"/>
        </w:rPr>
        <w:t>due to program eligibility criteria (e.g., revenue or payroll thresholds, contractor or self-employment status)</w:t>
      </w:r>
      <w:r>
        <w:rPr>
          <w:color w:val="000000" w:themeColor="text1"/>
        </w:rPr>
        <w:t xml:space="preserve"> (Chatham House, 2020)</w:t>
      </w:r>
      <w:r w:rsidRPr="003D179C">
        <w:rPr>
          <w:color w:val="000000" w:themeColor="text1"/>
        </w:rPr>
        <w:t xml:space="preserve">. </w:t>
      </w:r>
      <w:r>
        <w:rPr>
          <w:color w:val="000000" w:themeColor="text1"/>
        </w:rPr>
        <w:t>Some</w:t>
      </w:r>
      <w:r w:rsidRPr="003D179C">
        <w:rPr>
          <w:color w:val="000000" w:themeColor="text1"/>
        </w:rPr>
        <w:t xml:space="preserve"> women are reluctant to incur debt, during a period of declining customer demand (</w:t>
      </w:r>
      <w:r>
        <w:rPr>
          <w:color w:val="000000" w:themeColor="text1"/>
        </w:rPr>
        <w:t>Ranade</w:t>
      </w:r>
      <w:r w:rsidRPr="003D179C">
        <w:rPr>
          <w:color w:val="000000" w:themeColor="text1"/>
        </w:rPr>
        <w:t>, 2020; Canadian Women’s Chamber of Commerce, 2020).</w:t>
      </w:r>
      <w:r>
        <w:rPr>
          <w:color w:val="000000" w:themeColor="text1"/>
        </w:rPr>
        <w:t xml:space="preserve"> </w:t>
      </w:r>
      <w:r w:rsidRPr="003D179C">
        <w:rPr>
          <w:color w:val="000000" w:themeColor="text1"/>
        </w:rPr>
        <w:t xml:space="preserve">To inform </w:t>
      </w:r>
      <w:r>
        <w:rPr>
          <w:color w:val="000000" w:themeColor="text1"/>
        </w:rPr>
        <w:t xml:space="preserve">gender-inclusive SME </w:t>
      </w:r>
      <w:r w:rsidRPr="003D179C">
        <w:rPr>
          <w:color w:val="000000" w:themeColor="text1"/>
        </w:rPr>
        <w:t xml:space="preserve">recovery measures, the following section describes the theoretical underpinning of this study.  </w:t>
      </w:r>
      <w:r w:rsidRPr="003D179C">
        <w:rPr>
          <w:color w:val="000000" w:themeColor="text1"/>
        </w:rPr>
        <w:tab/>
        <w:t xml:space="preserve"> </w:t>
      </w:r>
    </w:p>
    <w:p w14:paraId="6B39D976" w14:textId="77777777" w:rsidR="00EE18FD" w:rsidRPr="00B85068" w:rsidRDefault="00EE18FD" w:rsidP="00EE18FD">
      <w:pPr>
        <w:rPr>
          <w:lang w:val="en-US"/>
        </w:rPr>
      </w:pPr>
    </w:p>
    <w:p w14:paraId="25586773" w14:textId="77777777" w:rsidR="00EE18FD" w:rsidRPr="00B85068" w:rsidRDefault="00EE18FD" w:rsidP="00EE18FD">
      <w:pPr>
        <w:spacing w:line="480" w:lineRule="auto"/>
        <w:rPr>
          <w:i/>
        </w:rPr>
      </w:pPr>
      <w:r w:rsidRPr="00FE4D6A">
        <w:t>2.2</w:t>
      </w:r>
      <w:r w:rsidRPr="00B85068">
        <w:rPr>
          <w:i/>
        </w:rPr>
        <w:tab/>
      </w:r>
      <w:r>
        <w:rPr>
          <w:i/>
        </w:rPr>
        <w:t>F</w:t>
      </w:r>
      <w:r w:rsidRPr="00B85068">
        <w:rPr>
          <w:i/>
        </w:rPr>
        <w:t>eminis</w:t>
      </w:r>
      <w:r>
        <w:rPr>
          <w:i/>
        </w:rPr>
        <w:t>t theories and entrepreneurship policy</w:t>
      </w:r>
    </w:p>
    <w:p w14:paraId="4B8569B0" w14:textId="77777777" w:rsidR="00EE18FD" w:rsidRDefault="00EE18FD" w:rsidP="00EE18FD">
      <w:pPr>
        <w:spacing w:line="480" w:lineRule="auto"/>
        <w:ind w:firstLine="720"/>
      </w:pPr>
      <w:r w:rsidRPr="00C3129B">
        <w:t>Critical feminist perspectives inform the literature by challenging assumed objectivity of research while emphasi</w:t>
      </w:r>
      <w:r>
        <w:t>z</w:t>
      </w:r>
      <w:r w:rsidRPr="00C3129B">
        <w:t xml:space="preserve">ing biases within entrepreneurial ecosystems </w:t>
      </w:r>
      <w:r w:rsidRPr="00C3129B">
        <w:rPr>
          <w:rFonts w:eastAsiaTheme="minorEastAsia"/>
          <w:lang w:val="en-US" w:eastAsia="ja-JP"/>
        </w:rPr>
        <w:t xml:space="preserve">that disadvantage </w:t>
      </w:r>
      <w:r w:rsidRPr="00C3129B">
        <w:t xml:space="preserve">women </w:t>
      </w:r>
      <w:r w:rsidRPr="00C3129B">
        <w:rPr>
          <w:color w:val="000000" w:themeColor="text1"/>
        </w:rPr>
        <w:lastRenderedPageBreak/>
        <w:t xml:space="preserve">(Nelson, </w:t>
      </w:r>
      <w:r w:rsidRPr="00C3129B">
        <w:t>1995;</w:t>
      </w:r>
      <w:r w:rsidRPr="002F4FA5">
        <w:t xml:space="preserve"> </w:t>
      </w:r>
      <w:proofErr w:type="spellStart"/>
      <w:r w:rsidRPr="00AE6A69">
        <w:t>Ahl</w:t>
      </w:r>
      <w:proofErr w:type="spellEnd"/>
      <w:r w:rsidRPr="00AE6A69">
        <w:t xml:space="preserve"> &amp; Nelson</w:t>
      </w:r>
      <w:r>
        <w:t>,</w:t>
      </w:r>
      <w:r w:rsidRPr="00AE6A69">
        <w:t xml:space="preserve"> 2014</w:t>
      </w:r>
      <w:r>
        <w:t>;</w:t>
      </w:r>
      <w:r w:rsidRPr="00AE6A69">
        <w:t xml:space="preserve"> Harcourt</w:t>
      </w:r>
      <w:r>
        <w:t xml:space="preserve">, </w:t>
      </w:r>
      <w:r w:rsidRPr="00AE6A69">
        <w:t>2016</w:t>
      </w:r>
      <w:r>
        <w:t xml:space="preserve">; </w:t>
      </w:r>
      <w:proofErr w:type="spellStart"/>
      <w:r>
        <w:t>P</w:t>
      </w:r>
      <w:r w:rsidRPr="00AE6A69">
        <w:t>ettersson</w:t>
      </w:r>
      <w:proofErr w:type="spellEnd"/>
      <w:r w:rsidRPr="00AE6A69">
        <w:t xml:space="preserve"> et al.</w:t>
      </w:r>
      <w:r>
        <w:t xml:space="preserve">, </w:t>
      </w:r>
      <w:r w:rsidRPr="00AE6A69">
        <w:t>2017</w:t>
      </w:r>
      <w:r>
        <w:t xml:space="preserve">). To </w:t>
      </w:r>
      <w:r w:rsidRPr="002F4FA5">
        <w:t>“reframe entrepreneurship”</w:t>
      </w:r>
      <w:r>
        <w:t xml:space="preserve"> </w:t>
      </w:r>
      <w:proofErr w:type="spellStart"/>
      <w:r>
        <w:t>Calás</w:t>
      </w:r>
      <w:proofErr w:type="spellEnd"/>
      <w:r>
        <w:t xml:space="preserve"> et al. (2009, p. 554) collate feminist perspectives into two paradigms: entrepreneurship as positive economic activity; and entrepreneurship as social change. The first paradigm, entrepreneurship as positive economic activity, incorporates </w:t>
      </w:r>
      <w:r w:rsidRPr="00EE0901">
        <w:t>liberal, psychoanalytic, and radical</w:t>
      </w:r>
      <w:r>
        <w:t xml:space="preserve"> </w:t>
      </w:r>
      <w:r w:rsidRPr="00EE0901">
        <w:t>feminist theor</w:t>
      </w:r>
      <w:r>
        <w:t>ies (</w:t>
      </w:r>
      <w:proofErr w:type="spellStart"/>
      <w:r>
        <w:t>Calás</w:t>
      </w:r>
      <w:proofErr w:type="spellEnd"/>
      <w:r>
        <w:t xml:space="preserve"> et al., 2009). Within this paradigm, the assumed purposes of intervention are to enhance productivity and economic growth, often by increasing women-owned start-ups and investing in scalable and innovative women-owned businesses (Henry et al., 2018; </w:t>
      </w:r>
      <w:r w:rsidRPr="00C712FE">
        <w:t>Coleman et al., 2019)</w:t>
      </w:r>
      <w:r>
        <w:t>. McKinsey &amp; Company (</w:t>
      </w:r>
      <w:proofErr w:type="spellStart"/>
      <w:r>
        <w:t>Albaz</w:t>
      </w:r>
      <w:proofErr w:type="spellEnd"/>
      <w:r>
        <w:t xml:space="preserve">, 2020, </w:t>
      </w:r>
      <w:proofErr w:type="spellStart"/>
      <w:r>
        <w:t>n.p</w:t>
      </w:r>
      <w:proofErr w:type="spellEnd"/>
      <w:r>
        <w:t>.), for example, describe the</w:t>
      </w:r>
      <w:r w:rsidRPr="00F902D3">
        <w:t xml:space="preserve"> characteristics of </w:t>
      </w:r>
      <w:r>
        <w:t>“</w:t>
      </w:r>
      <w:r w:rsidRPr="00F902D3">
        <w:t>w</w:t>
      </w:r>
      <w:r w:rsidRPr="002267BD">
        <w:t>ell-performing</w:t>
      </w:r>
      <w:r>
        <w:t>”</w:t>
      </w:r>
      <w:r w:rsidRPr="002267BD">
        <w:t xml:space="preserve"> SME ecosystem</w:t>
      </w:r>
      <w:r>
        <w:t>s as those</w:t>
      </w:r>
      <w:r w:rsidRPr="002267BD">
        <w:t xml:space="preserve">: </w:t>
      </w:r>
      <w:r>
        <w:t>“</w:t>
      </w:r>
      <w:r w:rsidRPr="002267BD">
        <w:t xml:space="preserve">boosting the business confidence of SMEs, enabling </w:t>
      </w:r>
      <w:r w:rsidRPr="00CE44FD">
        <w:t>the growth of SMEs—in general and for high performers—and increasing the competitiveness of SMEs…</w:t>
      </w:r>
      <w:r>
        <w:t xml:space="preserve"> </w:t>
      </w:r>
      <w:r w:rsidRPr="00CE44FD">
        <w:t xml:space="preserve">Establishing these three characteristics requires </w:t>
      </w:r>
      <w:r w:rsidRPr="006F1BD4">
        <w:t>a segmented execution approach</w:t>
      </w:r>
      <w:r w:rsidRPr="00CE44FD">
        <w:t>.”</w:t>
      </w:r>
      <w:r w:rsidRPr="00F902D3">
        <w:t xml:space="preserve"> </w:t>
      </w:r>
      <w:r>
        <w:t>From this paradigm, segmented interventions (such as, women-focused policies), are predicated on economic outcomes for firms and the economy. In the context of the pandemic, this infers measures that recognize that women entrepreneurs are suffering a disproportionate share of economic loss.</w:t>
      </w:r>
      <w:r w:rsidRPr="00BB6E30">
        <w:t xml:space="preserve"> </w:t>
      </w:r>
      <w:r>
        <w:t>Gender-inclusive policies are therefore relevant and an impetus for fiscal relief in the form of government funding.</w:t>
      </w:r>
    </w:p>
    <w:p w14:paraId="583466A5" w14:textId="77777777" w:rsidR="00EE18FD" w:rsidRDefault="00EE18FD" w:rsidP="00EE18FD">
      <w:pPr>
        <w:spacing w:line="480" w:lineRule="auto"/>
        <w:ind w:firstLine="720"/>
      </w:pPr>
      <w:r>
        <w:t>Entrepreneurship as social change encompasses socialist, post-structuralist, and transnational feminist perspectives (</w:t>
      </w:r>
      <w:proofErr w:type="spellStart"/>
      <w:r>
        <w:t>Calás</w:t>
      </w:r>
      <w:proofErr w:type="spellEnd"/>
      <w:r>
        <w:t xml:space="preserve"> et al., 2009). Within this paradigm, policy interventions are predicated on transforming social norms, </w:t>
      </w:r>
      <w:r w:rsidRPr="00512120">
        <w:rPr>
          <w:color w:val="000000" w:themeColor="text1"/>
          <w:lang w:val="en-US"/>
        </w:rPr>
        <w:t>cultural conditions</w:t>
      </w:r>
      <w:r>
        <w:rPr>
          <w:color w:val="000000" w:themeColor="text1"/>
          <w:lang w:val="en-US"/>
        </w:rPr>
        <w:t xml:space="preserve">, </w:t>
      </w:r>
      <w:r w:rsidRPr="00512120">
        <w:rPr>
          <w:color w:val="000000" w:themeColor="text1"/>
          <w:lang w:val="en-US"/>
        </w:rPr>
        <w:t xml:space="preserve">and economic structures that perpetuate </w:t>
      </w:r>
      <w:r>
        <w:rPr>
          <w:color w:val="000000" w:themeColor="text1"/>
          <w:lang w:val="en-US"/>
        </w:rPr>
        <w:t xml:space="preserve">women’s subordination </w:t>
      </w:r>
      <w:r>
        <w:t>(</w:t>
      </w:r>
      <w:proofErr w:type="spellStart"/>
      <w:r>
        <w:t>Petterson</w:t>
      </w:r>
      <w:proofErr w:type="spellEnd"/>
      <w:r>
        <w:t xml:space="preserve"> et al., 2017; </w:t>
      </w:r>
      <w:proofErr w:type="spellStart"/>
      <w:r w:rsidRPr="000635D9">
        <w:t>Orser</w:t>
      </w:r>
      <w:proofErr w:type="spellEnd"/>
      <w:r>
        <w:t xml:space="preserve"> et al.</w:t>
      </w:r>
      <w:r w:rsidRPr="000635D9">
        <w:t xml:space="preserve">, </w:t>
      </w:r>
      <w:r>
        <w:t>2019).</w:t>
      </w:r>
      <w:r w:rsidRPr="003941CD">
        <w:t xml:space="preserve"> </w:t>
      </w:r>
      <w:r>
        <w:t>This perspective infers gender-inclusive SME policies must extend to measures that address the broader well-being of girls and women.</w:t>
      </w:r>
    </w:p>
    <w:p w14:paraId="6D529C62" w14:textId="56FADBF4" w:rsidR="00EE18FD" w:rsidRDefault="00EE18FD" w:rsidP="00EE18FD">
      <w:pPr>
        <w:spacing w:line="480" w:lineRule="auto"/>
        <w:ind w:firstLine="720"/>
      </w:pPr>
      <w:r>
        <w:lastRenderedPageBreak/>
        <w:t xml:space="preserve">Both of these paradigms implicitly include economic outcomes, but in different ways. Entrepreneurship as positive economic activity considers </w:t>
      </w:r>
      <w:r w:rsidR="00745795">
        <w:t xml:space="preserve">the </w:t>
      </w:r>
      <w:r>
        <w:t>firm and economy.</w:t>
      </w:r>
      <w:r w:rsidR="00745795">
        <w:t xml:space="preserve"> </w:t>
      </w:r>
      <w:r>
        <w:t>Entrepreneurship as social change aligns with the commitments of 193 signatory countries to the UN Sustainable Development Goal 5 (UN SDG 5) to enhance women’s economic empowerment and gender equality. Overlaps provide a gateway for entrepreneurial feminism, an emergent theoretical perspective which focuses on enacting social change, and in doing so, creating social and economic benefits for women. The theoretical perspective builds upon and blends what we have experienced and learned from each of the two approaches.</w:t>
      </w:r>
    </w:p>
    <w:p w14:paraId="154650A4" w14:textId="77777777" w:rsidR="00EE18FD" w:rsidRDefault="00EE18FD" w:rsidP="00EE18FD">
      <w:pPr>
        <w:spacing w:line="480" w:lineRule="auto"/>
        <w:rPr>
          <w:color w:val="000000" w:themeColor="text1"/>
        </w:rPr>
      </w:pPr>
      <w:r>
        <w:rPr>
          <w:color w:val="000000" w:themeColor="text1"/>
        </w:rPr>
        <w:t>2.2.1</w:t>
      </w:r>
      <w:r>
        <w:rPr>
          <w:color w:val="000000" w:themeColor="text1"/>
        </w:rPr>
        <w:tab/>
      </w:r>
      <w:r w:rsidRPr="00BB6E30">
        <w:rPr>
          <w:i/>
          <w:color w:val="000000" w:themeColor="text1"/>
        </w:rPr>
        <w:t>Entrepreneurial feminism</w:t>
      </w:r>
      <w:r>
        <w:rPr>
          <w:rStyle w:val="FootnoteReference"/>
          <w:color w:val="000000" w:themeColor="text1"/>
        </w:rPr>
        <w:footnoteReference w:id="1"/>
      </w:r>
    </w:p>
    <w:p w14:paraId="459072ED" w14:textId="77777777" w:rsidR="00EE18FD" w:rsidRDefault="00EE18FD" w:rsidP="00EE18FD">
      <w:pPr>
        <w:spacing w:line="480" w:lineRule="auto"/>
        <w:rPr>
          <w:sz w:val="22"/>
          <w:szCs w:val="22"/>
          <w:lang w:val="en-US"/>
        </w:rPr>
      </w:pPr>
      <w:r>
        <w:rPr>
          <w:color w:val="000000" w:themeColor="text1"/>
        </w:rPr>
        <w:t>E</w:t>
      </w:r>
      <w:r w:rsidRPr="00B85068">
        <w:rPr>
          <w:color w:val="000000" w:themeColor="text1"/>
        </w:rPr>
        <w:t xml:space="preserve">ntrepreneurial feminism </w:t>
      </w:r>
      <w:r>
        <w:rPr>
          <w:color w:val="000000" w:themeColor="text1"/>
        </w:rPr>
        <w:t xml:space="preserve">assumes that </w:t>
      </w:r>
      <w:r w:rsidRPr="00B85068">
        <w:rPr>
          <w:color w:val="000000" w:themeColor="text1"/>
        </w:rPr>
        <w:t>the goals of gender equality</w:t>
      </w:r>
      <w:r>
        <w:rPr>
          <w:color w:val="000000" w:themeColor="text1"/>
        </w:rPr>
        <w:t xml:space="preserve"> and </w:t>
      </w:r>
      <w:r w:rsidRPr="00B85068">
        <w:rPr>
          <w:color w:val="000000" w:themeColor="text1"/>
        </w:rPr>
        <w:t>women’s economic empowerment</w:t>
      </w:r>
      <w:r>
        <w:rPr>
          <w:color w:val="000000" w:themeColor="text1"/>
        </w:rPr>
        <w:t xml:space="preserve"> must </w:t>
      </w:r>
      <w:r>
        <w:t>underlie all SME policies</w:t>
      </w:r>
      <w:r w:rsidRPr="00920372">
        <w:t>.</w:t>
      </w:r>
      <w:r>
        <w:t xml:space="preserve"> </w:t>
      </w:r>
      <w:r w:rsidRPr="00B85068">
        <w:rPr>
          <w:color w:val="000000" w:themeColor="text1"/>
        </w:rPr>
        <w:t xml:space="preserve">Entrepreneurial feminism differs </w:t>
      </w:r>
      <w:r>
        <w:rPr>
          <w:color w:val="000000" w:themeColor="text1"/>
        </w:rPr>
        <w:t xml:space="preserve">from other feminist perspectives </w:t>
      </w:r>
      <w:r>
        <w:t xml:space="preserve">through a </w:t>
      </w:r>
      <w:r w:rsidRPr="00B85068">
        <w:t xml:space="preserve">focus on </w:t>
      </w:r>
      <w:r w:rsidRPr="00B85068">
        <w:rPr>
          <w:i/>
          <w:color w:val="000000" w:themeColor="text1"/>
        </w:rPr>
        <w:t xml:space="preserve">enacting </w:t>
      </w:r>
      <w:r w:rsidRPr="000635D9">
        <w:rPr>
          <w:color w:val="000000" w:themeColor="text1"/>
        </w:rPr>
        <w:t>social change</w:t>
      </w:r>
      <w:r>
        <w:rPr>
          <w:color w:val="000000" w:themeColor="text1"/>
          <w:lang w:val="en-US"/>
        </w:rPr>
        <w:t xml:space="preserve">. </w:t>
      </w:r>
      <w:r w:rsidRPr="00CC28C7">
        <w:rPr>
          <w:color w:val="000000" w:themeColor="text1"/>
          <w:lang w:val="en-US"/>
        </w:rPr>
        <w:t xml:space="preserve">Entrepreneurial feminism </w:t>
      </w:r>
      <w:r w:rsidRPr="00B85068">
        <w:rPr>
          <w:color w:val="000000" w:themeColor="text1"/>
          <w:lang w:val="en-US"/>
        </w:rPr>
        <w:t xml:space="preserve">views women as </w:t>
      </w:r>
      <w:r>
        <w:rPr>
          <w:color w:val="000000" w:themeColor="text1"/>
          <w:lang w:val="en-US"/>
        </w:rPr>
        <w:t>active proponents</w:t>
      </w:r>
      <w:r w:rsidRPr="00B85068">
        <w:rPr>
          <w:color w:val="000000" w:themeColor="text1"/>
          <w:lang w:val="en-US"/>
        </w:rPr>
        <w:t xml:space="preserve"> </w:t>
      </w:r>
      <w:r>
        <w:rPr>
          <w:color w:val="000000" w:themeColor="text1"/>
          <w:lang w:val="en-US"/>
        </w:rPr>
        <w:t xml:space="preserve">of </w:t>
      </w:r>
      <w:r w:rsidRPr="00B85068">
        <w:rPr>
          <w:color w:val="000000" w:themeColor="text1"/>
          <w:lang w:val="en-US"/>
        </w:rPr>
        <w:t>change</w:t>
      </w:r>
      <w:r>
        <w:rPr>
          <w:color w:val="000000" w:themeColor="text1"/>
          <w:lang w:val="en-US"/>
        </w:rPr>
        <w:t>,</w:t>
      </w:r>
      <w:r w:rsidRPr="00B85068">
        <w:rPr>
          <w:color w:val="000000" w:themeColor="text1"/>
          <w:lang w:val="en-US"/>
        </w:rPr>
        <w:t xml:space="preserve"> and not </w:t>
      </w:r>
      <w:r>
        <w:rPr>
          <w:color w:val="000000" w:themeColor="text1"/>
          <w:lang w:val="en-US"/>
        </w:rPr>
        <w:t xml:space="preserve">as the </w:t>
      </w:r>
      <w:r w:rsidRPr="00B85068">
        <w:rPr>
          <w:color w:val="000000" w:themeColor="text1"/>
          <w:lang w:val="en-US"/>
        </w:rPr>
        <w:t xml:space="preserve">victims of gendered entrepreneurial ecosystems. </w:t>
      </w:r>
      <w:r>
        <w:rPr>
          <w:color w:val="000000" w:themeColor="text1"/>
          <w:lang w:val="en-US"/>
        </w:rPr>
        <w:t xml:space="preserve">Entrepreneurial feminists enact change by </w:t>
      </w:r>
      <w:r w:rsidRPr="00B85068">
        <w:rPr>
          <w:color w:val="000000" w:themeColor="text1"/>
          <w:lang w:val="en-US"/>
        </w:rPr>
        <w:t>re-creat</w:t>
      </w:r>
      <w:r>
        <w:rPr>
          <w:color w:val="000000" w:themeColor="text1"/>
          <w:lang w:val="en-US"/>
        </w:rPr>
        <w:t>ing</w:t>
      </w:r>
      <w:r w:rsidRPr="00B85068">
        <w:rPr>
          <w:color w:val="000000" w:themeColor="text1"/>
          <w:lang w:val="en-US"/>
        </w:rPr>
        <w:t xml:space="preserve"> </w:t>
      </w:r>
      <w:r>
        <w:rPr>
          <w:color w:val="000000" w:themeColor="text1"/>
          <w:lang w:val="en-US"/>
        </w:rPr>
        <w:t xml:space="preserve">and redefining </w:t>
      </w:r>
      <w:r w:rsidRPr="00B85068">
        <w:rPr>
          <w:color w:val="000000" w:themeColor="text1"/>
          <w:lang w:val="en-US"/>
        </w:rPr>
        <w:t xml:space="preserve">rules of the marketplace </w:t>
      </w:r>
      <w:r>
        <w:rPr>
          <w:color w:val="000000" w:themeColor="text1"/>
          <w:lang w:val="en-US"/>
        </w:rPr>
        <w:t xml:space="preserve">through firm governance, resource acquisition, relationship building and market positioning (Elliott &amp; </w:t>
      </w:r>
      <w:proofErr w:type="spellStart"/>
      <w:r>
        <w:rPr>
          <w:color w:val="000000" w:themeColor="text1"/>
          <w:lang w:val="en-US"/>
        </w:rPr>
        <w:t>Orser</w:t>
      </w:r>
      <w:proofErr w:type="spellEnd"/>
      <w:r>
        <w:rPr>
          <w:color w:val="000000" w:themeColor="text1"/>
          <w:lang w:val="en-US"/>
        </w:rPr>
        <w:t>, 2018).</w:t>
      </w:r>
      <w:r>
        <w:rPr>
          <w:sz w:val="22"/>
          <w:szCs w:val="22"/>
          <w:lang w:val="en-US"/>
        </w:rPr>
        <w:t xml:space="preserve"> </w:t>
      </w:r>
    </w:p>
    <w:p w14:paraId="5195D5A6" w14:textId="77777777" w:rsidR="00EE18FD" w:rsidRPr="00230E66" w:rsidRDefault="00EE18FD" w:rsidP="00EE18FD">
      <w:pPr>
        <w:spacing w:line="480" w:lineRule="auto"/>
        <w:ind w:firstLine="720"/>
        <w:rPr>
          <w:sz w:val="22"/>
          <w:szCs w:val="22"/>
          <w:lang w:val="en-US"/>
        </w:rPr>
      </w:pPr>
      <w:r w:rsidRPr="003333D0">
        <w:rPr>
          <w:color w:val="000000" w:themeColor="text1"/>
          <w:lang w:val="en-US"/>
        </w:rPr>
        <w:lastRenderedPageBreak/>
        <w:t xml:space="preserve">Entrepreneurial feminism </w:t>
      </w:r>
      <w:r>
        <w:rPr>
          <w:color w:val="000000" w:themeColor="text1"/>
          <w:lang w:val="en-US"/>
        </w:rPr>
        <w:t xml:space="preserve">also </w:t>
      </w:r>
      <w:r w:rsidRPr="003333D0">
        <w:t>challenges</w:t>
      </w:r>
      <w:r w:rsidRPr="003333D0">
        <w:rPr>
          <w:lang w:val="en-US"/>
        </w:rPr>
        <w:t xml:space="preserve"> the notion of an ideal</w:t>
      </w:r>
      <w:r>
        <w:rPr>
          <w:lang w:val="en-US"/>
        </w:rPr>
        <w:t>ize</w:t>
      </w:r>
      <w:r w:rsidRPr="003333D0">
        <w:rPr>
          <w:lang w:val="en-US"/>
        </w:rPr>
        <w:t>d or femin</w:t>
      </w:r>
      <w:r>
        <w:rPr>
          <w:lang w:val="en-US"/>
        </w:rPr>
        <w:t>ize</w:t>
      </w:r>
      <w:r w:rsidRPr="003333D0">
        <w:rPr>
          <w:lang w:val="en-US"/>
        </w:rPr>
        <w:t>d role model for entrepreneurs (Lewis, 2014)</w:t>
      </w:r>
      <w:r>
        <w:rPr>
          <w:lang w:val="en-US"/>
        </w:rPr>
        <w:t xml:space="preserve">. Some entrepreneurs do so by </w:t>
      </w:r>
      <w:r w:rsidRPr="003333D0">
        <w:rPr>
          <w:color w:val="000000" w:themeColor="text1"/>
          <w:lang w:val="en-US"/>
        </w:rPr>
        <w:t>synthesi</w:t>
      </w:r>
      <w:r>
        <w:rPr>
          <w:color w:val="000000" w:themeColor="text1"/>
          <w:lang w:val="en-US"/>
        </w:rPr>
        <w:t>z</w:t>
      </w:r>
      <w:r w:rsidRPr="003333D0">
        <w:rPr>
          <w:color w:val="000000" w:themeColor="text1"/>
          <w:lang w:val="en-US"/>
        </w:rPr>
        <w:t>ing masculinity and femininity</w:t>
      </w:r>
      <w:r w:rsidRPr="00B85068">
        <w:rPr>
          <w:color w:val="000000" w:themeColor="text1"/>
          <w:lang w:val="en-US"/>
        </w:rPr>
        <w:t xml:space="preserve"> </w:t>
      </w:r>
      <w:r>
        <w:rPr>
          <w:color w:val="000000" w:themeColor="text1"/>
          <w:lang w:val="en-US"/>
        </w:rPr>
        <w:t xml:space="preserve">attributes and behaviors </w:t>
      </w:r>
      <w:r w:rsidRPr="00B85068">
        <w:rPr>
          <w:color w:val="000000" w:themeColor="text1"/>
          <w:lang w:val="en-US"/>
        </w:rPr>
        <w:t>(</w:t>
      </w:r>
      <w:r w:rsidRPr="00B85068">
        <w:rPr>
          <w:lang w:val="en-US"/>
        </w:rPr>
        <w:t xml:space="preserve">Koen, 1984; Maier, 2001; </w:t>
      </w:r>
      <w:r w:rsidRPr="00B85068">
        <w:rPr>
          <w:color w:val="000000" w:themeColor="text1"/>
          <w:lang w:val="en-US"/>
        </w:rPr>
        <w:t>Dunham, 2010</w:t>
      </w:r>
      <w:r w:rsidRPr="00B85068">
        <w:rPr>
          <w:lang w:val="en-US"/>
        </w:rPr>
        <w:t>)</w:t>
      </w:r>
      <w:r>
        <w:rPr>
          <w:color w:val="000000" w:themeColor="text1"/>
          <w:lang w:val="en-US"/>
        </w:rPr>
        <w:t>.</w:t>
      </w:r>
      <w:r w:rsidRPr="00B85068">
        <w:rPr>
          <w:color w:val="000000" w:themeColor="text1"/>
          <w:lang w:val="en-US"/>
        </w:rPr>
        <w:t xml:space="preserve"> </w:t>
      </w:r>
      <w:r w:rsidRPr="00B85068">
        <w:rPr>
          <w:lang w:val="en-US"/>
        </w:rPr>
        <w:t xml:space="preserve">As Nelson (2014) argues, entrepreneurs inhabit </w:t>
      </w:r>
      <w:r>
        <w:rPr>
          <w:lang w:val="en-US"/>
        </w:rPr>
        <w:t xml:space="preserve">both </w:t>
      </w:r>
      <w:r w:rsidRPr="00B85068">
        <w:rPr>
          <w:lang w:val="en-US"/>
        </w:rPr>
        <w:t xml:space="preserve">masculine and feminine realms and thus juggle the “doing” of </w:t>
      </w:r>
      <w:r>
        <w:rPr>
          <w:lang w:val="en-US"/>
        </w:rPr>
        <w:t xml:space="preserve">both </w:t>
      </w:r>
      <w:r w:rsidRPr="00B85068">
        <w:rPr>
          <w:lang w:val="en-US"/>
        </w:rPr>
        <w:t xml:space="preserve">masculinity and femininity. This involves performing and embodying feminine characteristics </w:t>
      </w:r>
      <w:r>
        <w:rPr>
          <w:lang w:val="en-US"/>
        </w:rPr>
        <w:t>of</w:t>
      </w:r>
      <w:r w:rsidRPr="00B85068">
        <w:rPr>
          <w:lang w:val="en-US"/>
        </w:rPr>
        <w:t xml:space="preserve"> nurturing, emotion, passivity, and attractiveness alongside masculine (individual</w:t>
      </w:r>
      <w:r>
        <w:rPr>
          <w:lang w:val="en-US"/>
        </w:rPr>
        <w:t>ize</w:t>
      </w:r>
      <w:r w:rsidRPr="00B85068">
        <w:rPr>
          <w:lang w:val="en-US"/>
        </w:rPr>
        <w:t>d) traits of economic and emotional independence, assertiveness, rationality, and autonomy (Carlson, 2011). Entrepreneurial feminism</w:t>
      </w:r>
      <w:r>
        <w:rPr>
          <w:lang w:val="en-US"/>
        </w:rPr>
        <w:t>,</w:t>
      </w:r>
      <w:r w:rsidRPr="00B85068">
        <w:rPr>
          <w:lang w:val="en-US"/>
        </w:rPr>
        <w:t xml:space="preserve"> </w:t>
      </w:r>
      <w:r>
        <w:rPr>
          <w:lang w:val="en-US"/>
        </w:rPr>
        <w:t>therefore,</w:t>
      </w:r>
      <w:r w:rsidRPr="00B85068">
        <w:rPr>
          <w:lang w:val="en-US"/>
        </w:rPr>
        <w:t xml:space="preserve"> incorporates </w:t>
      </w:r>
      <w:r>
        <w:rPr>
          <w:lang w:val="en-US"/>
        </w:rPr>
        <w:t xml:space="preserve">diverse </w:t>
      </w:r>
      <w:r w:rsidRPr="00B85068">
        <w:rPr>
          <w:lang w:val="en-US"/>
        </w:rPr>
        <w:t>gender</w:t>
      </w:r>
      <w:r>
        <w:rPr>
          <w:lang w:val="en-US"/>
        </w:rPr>
        <w:t xml:space="preserve">ed </w:t>
      </w:r>
      <w:r w:rsidRPr="00B85068">
        <w:rPr>
          <w:lang w:val="en-US"/>
        </w:rPr>
        <w:t xml:space="preserve">identities (Lewis, 2014) </w:t>
      </w:r>
      <w:r>
        <w:rPr>
          <w:lang w:val="en-US"/>
        </w:rPr>
        <w:t>and</w:t>
      </w:r>
      <w:r w:rsidRPr="00B85068">
        <w:rPr>
          <w:lang w:val="en-US"/>
        </w:rPr>
        <w:t xml:space="preserve"> </w:t>
      </w:r>
      <w:r>
        <w:rPr>
          <w:lang w:val="en-US"/>
        </w:rPr>
        <w:t xml:space="preserve">feminist values </w:t>
      </w:r>
      <w:r w:rsidRPr="00B85068">
        <w:rPr>
          <w:lang w:val="en-US"/>
        </w:rPr>
        <w:t>through</w:t>
      </w:r>
      <w:r>
        <w:rPr>
          <w:lang w:val="en-US"/>
        </w:rPr>
        <w:t xml:space="preserve"> gendered venture creation</w:t>
      </w:r>
      <w:r w:rsidRPr="00B85068">
        <w:rPr>
          <w:lang w:val="en-US"/>
        </w:rPr>
        <w:t xml:space="preserve"> process</w:t>
      </w:r>
      <w:r>
        <w:rPr>
          <w:lang w:val="en-US"/>
        </w:rPr>
        <w:t>es. Policy interventions predicated on entrepreneurial feminism should therefore lend to multiple outcomes, such as social, economic, and perceptual change (</w:t>
      </w:r>
      <w:proofErr w:type="spellStart"/>
      <w:r>
        <w:rPr>
          <w:lang w:val="en-US"/>
        </w:rPr>
        <w:t>Mayoux</w:t>
      </w:r>
      <w:proofErr w:type="spellEnd"/>
      <w:r>
        <w:rPr>
          <w:lang w:val="en-US"/>
        </w:rPr>
        <w:t>, 2000)</w:t>
      </w:r>
      <w:r w:rsidRPr="00B85068">
        <w:rPr>
          <w:lang w:val="en-US"/>
        </w:rPr>
        <w:t xml:space="preserve">. </w:t>
      </w:r>
      <w:r>
        <w:rPr>
          <w:lang w:val="en-US"/>
        </w:rPr>
        <w:t xml:space="preserve">Building on these principles, the next section summarizes insights drawn from the literature from the perspective of entrepreneurial feminism.  </w:t>
      </w:r>
    </w:p>
    <w:p w14:paraId="7C321C30" w14:textId="77777777" w:rsidR="00EE18FD" w:rsidRPr="00B85068" w:rsidRDefault="00EE18FD" w:rsidP="00EE18FD">
      <w:pPr>
        <w:pStyle w:val="Heading2"/>
      </w:pPr>
      <w:r w:rsidRPr="000335E7">
        <w:rPr>
          <w:i w:val="0"/>
        </w:rPr>
        <w:t>2.3</w:t>
      </w:r>
      <w:r w:rsidRPr="00B85068">
        <w:tab/>
        <w:t>Gender</w:t>
      </w:r>
      <w:r>
        <w:t xml:space="preserve"> and entrepreneurship policy  </w:t>
      </w:r>
    </w:p>
    <w:p w14:paraId="29706A4E" w14:textId="77777777" w:rsidR="00EE18FD" w:rsidRDefault="00EE18FD" w:rsidP="00EE18FD">
      <w:pPr>
        <w:spacing w:line="480" w:lineRule="auto"/>
        <w:ind w:firstLine="720"/>
      </w:pPr>
      <w:r w:rsidRPr="00B85068">
        <w:rPr>
          <w:color w:val="1A1718"/>
        </w:rPr>
        <w:t xml:space="preserve">Within </w:t>
      </w:r>
      <w:r>
        <w:rPr>
          <w:color w:val="1A1718"/>
        </w:rPr>
        <w:t>entrepreneurial ecosystems</w:t>
      </w:r>
      <w:r w:rsidRPr="00B85068">
        <w:rPr>
          <w:color w:val="1A1718"/>
        </w:rPr>
        <w:t xml:space="preserve">, </w:t>
      </w:r>
      <w:r>
        <w:t>f</w:t>
      </w:r>
      <w:r w:rsidRPr="00B85068">
        <w:t xml:space="preserve">ew </w:t>
      </w:r>
      <w:r>
        <w:t>policy frameworks seek to address</w:t>
      </w:r>
      <w:r w:rsidRPr="00B85068">
        <w:t xml:space="preserve"> root causes of </w:t>
      </w:r>
      <w:r>
        <w:t xml:space="preserve">gender </w:t>
      </w:r>
      <w:r w:rsidRPr="00B85068">
        <w:t>inequalit</w:t>
      </w:r>
      <w:r>
        <w:t>y</w:t>
      </w:r>
      <w:r w:rsidRPr="00B85068">
        <w:t xml:space="preserve"> (</w:t>
      </w:r>
      <w:proofErr w:type="spellStart"/>
      <w:r w:rsidRPr="00B85068">
        <w:t>Ahl</w:t>
      </w:r>
      <w:proofErr w:type="spellEnd"/>
      <w:r w:rsidRPr="00B85068">
        <w:t xml:space="preserve"> &amp; Nelson, 2015; </w:t>
      </w:r>
      <w:proofErr w:type="spellStart"/>
      <w:r w:rsidRPr="00B85068">
        <w:t>Pettersson</w:t>
      </w:r>
      <w:proofErr w:type="spellEnd"/>
      <w:r w:rsidRPr="00B85068">
        <w:t xml:space="preserve"> et al., 2017)</w:t>
      </w:r>
      <w:r>
        <w:t xml:space="preserve">. Most SME policies fail to considered gendered implications of intervention. When policies are assessed, criteria tend to focus on design and effectiveness rather than “the context of life opportunities and equality” (Richard, 2020, p. 84). Assessment practices sustain </w:t>
      </w:r>
      <w:r w:rsidRPr="00B85068">
        <w:t>masculine culture</w:t>
      </w:r>
      <w:r>
        <w:t>s within enterprise support intermediaries</w:t>
      </w:r>
      <w:r w:rsidRPr="00B85068">
        <w:t xml:space="preserve"> (</w:t>
      </w:r>
      <w:proofErr w:type="spellStart"/>
      <w:r w:rsidRPr="00B85068">
        <w:rPr>
          <w:rFonts w:eastAsia="Arial Unicode MS"/>
        </w:rPr>
        <w:t>Alsos</w:t>
      </w:r>
      <w:proofErr w:type="spellEnd"/>
      <w:r>
        <w:rPr>
          <w:rFonts w:eastAsia="Arial Unicode MS"/>
        </w:rPr>
        <w:t xml:space="preserve"> et al.</w:t>
      </w:r>
      <w:r w:rsidRPr="00B85068">
        <w:rPr>
          <w:rFonts w:eastAsia="Arial Unicode MS"/>
        </w:rPr>
        <w:t xml:space="preserve">, </w:t>
      </w:r>
      <w:r w:rsidRPr="00B85068">
        <w:t xml:space="preserve">2013; Jones &amp; </w:t>
      </w:r>
      <w:proofErr w:type="spellStart"/>
      <w:r w:rsidRPr="00B85068">
        <w:t>Warhuus</w:t>
      </w:r>
      <w:proofErr w:type="spellEnd"/>
      <w:r w:rsidRPr="00B85068">
        <w:t>, 2018)</w:t>
      </w:r>
      <w:r>
        <w:t>,</w:t>
      </w:r>
      <w:r w:rsidRPr="00B85068">
        <w:t xml:space="preserve"> homophily situated within capital markets (Harrison &amp; Mason, 2007; Coleman &amp; Robb, 2016)</w:t>
      </w:r>
      <w:r>
        <w:t xml:space="preserve">, an absence of </w:t>
      </w:r>
      <w:r w:rsidRPr="00EE6951">
        <w:t>gender-b</w:t>
      </w:r>
      <w:r>
        <w:t xml:space="preserve">ased analysis of SME policies, and a lack of sex and gender disaggregated data to monitor women </w:t>
      </w:r>
      <w:r>
        <w:lastRenderedPageBreak/>
        <w:t xml:space="preserve">entrepreneurs’ economic and social status. The lack of gender disaggregated </w:t>
      </w:r>
      <w:r w:rsidRPr="00B85068">
        <w:t>data lead</w:t>
      </w:r>
      <w:r>
        <w:t>s</w:t>
      </w:r>
      <w:r w:rsidRPr="00B85068">
        <w:t xml:space="preserve"> to</w:t>
      </w:r>
      <w:r>
        <w:t xml:space="preserve"> the</w:t>
      </w:r>
      <w:r w:rsidRPr="00F51A83">
        <w:t xml:space="preserve"> </w:t>
      </w:r>
      <w:r w:rsidRPr="00B85068">
        <w:t>“invisibility of women official indictors and measures of entrepre</w:t>
      </w:r>
      <w:r>
        <w:t>neurship and business ownership”</w:t>
      </w:r>
      <w:r w:rsidRPr="00B85068">
        <w:t xml:space="preserve"> </w:t>
      </w:r>
      <w:r>
        <w:t>(</w:t>
      </w:r>
      <w:r w:rsidRPr="00B85068">
        <w:t>Marlow et al.</w:t>
      </w:r>
      <w:r>
        <w:t xml:space="preserve">, </w:t>
      </w:r>
      <w:r w:rsidRPr="00B85068">
        <w:t>2008, p. 336)</w:t>
      </w:r>
      <w:r>
        <w:t>.</w:t>
      </w:r>
    </w:p>
    <w:p w14:paraId="58AAF865" w14:textId="77777777" w:rsidR="00EE18FD" w:rsidRDefault="00EE18FD" w:rsidP="00EE18FD">
      <w:pPr>
        <w:spacing w:line="480" w:lineRule="auto"/>
        <w:ind w:firstLine="720"/>
        <w:rPr>
          <w:lang w:val="en-US"/>
        </w:rPr>
      </w:pPr>
      <w:r>
        <w:t xml:space="preserve">Scholars also report that most policy SME frameworks are </w:t>
      </w:r>
      <w:proofErr w:type="spellStart"/>
      <w:r>
        <w:t>atheoretical</w:t>
      </w:r>
      <w:proofErr w:type="spellEnd"/>
      <w:r>
        <w:t xml:space="preserve">, an approach that is not without consequence. </w:t>
      </w:r>
      <w:r w:rsidRPr="00B85068">
        <w:rPr>
          <w:lang w:val="en-US"/>
        </w:rPr>
        <w:t xml:space="preserve">Wilson et al. (2004) </w:t>
      </w:r>
      <w:r>
        <w:rPr>
          <w:lang w:val="en-US"/>
        </w:rPr>
        <w:t>observed</w:t>
      </w:r>
      <w:r w:rsidRPr="00B85068">
        <w:rPr>
          <w:lang w:val="en-US"/>
        </w:rPr>
        <w:t xml:space="preserve"> that</w:t>
      </w:r>
      <w:r>
        <w:rPr>
          <w:lang w:val="en-US"/>
        </w:rPr>
        <w:t xml:space="preserve"> in their review of</w:t>
      </w:r>
      <w:r w:rsidRPr="00B85068">
        <w:rPr>
          <w:lang w:val="en-US"/>
        </w:rPr>
        <w:t xml:space="preserve"> the United Kingdom</w:t>
      </w:r>
      <w:r>
        <w:rPr>
          <w:lang w:val="en-US"/>
        </w:rPr>
        <w:t>’s (UK)</w:t>
      </w:r>
      <w:r w:rsidRPr="00B85068">
        <w:rPr>
          <w:lang w:val="en-US"/>
        </w:rPr>
        <w:t xml:space="preserve"> </w:t>
      </w:r>
      <w:r>
        <w:rPr>
          <w:lang w:val="en-US"/>
        </w:rPr>
        <w:t xml:space="preserve">2003 </w:t>
      </w:r>
      <w:r w:rsidRPr="00B85068">
        <w:rPr>
          <w:i/>
          <w:lang w:val="en-US"/>
        </w:rPr>
        <w:t xml:space="preserve">Strategic </w:t>
      </w:r>
      <w:r>
        <w:rPr>
          <w:i/>
          <w:lang w:val="en-US"/>
        </w:rPr>
        <w:t>F</w:t>
      </w:r>
      <w:r w:rsidRPr="00B85068">
        <w:rPr>
          <w:i/>
          <w:lang w:val="en-US"/>
        </w:rPr>
        <w:t xml:space="preserve">ramework for </w:t>
      </w:r>
      <w:r>
        <w:rPr>
          <w:i/>
          <w:lang w:val="en-US"/>
        </w:rPr>
        <w:t>W</w:t>
      </w:r>
      <w:r w:rsidRPr="00B85068">
        <w:rPr>
          <w:i/>
          <w:lang w:val="en-US"/>
        </w:rPr>
        <w:t xml:space="preserve">omen’s </w:t>
      </w:r>
      <w:r>
        <w:rPr>
          <w:i/>
          <w:lang w:val="en-US"/>
        </w:rPr>
        <w:t>E</w:t>
      </w:r>
      <w:r w:rsidRPr="00B85068">
        <w:rPr>
          <w:i/>
          <w:lang w:val="en-US"/>
        </w:rPr>
        <w:t>nterpr</w:t>
      </w:r>
      <w:r>
        <w:rPr>
          <w:i/>
          <w:lang w:val="en-US"/>
        </w:rPr>
        <w:t>ise</w:t>
      </w:r>
      <w:r w:rsidRPr="00B85068">
        <w:rPr>
          <w:lang w:val="en-US"/>
        </w:rPr>
        <w:t xml:space="preserve">, </w:t>
      </w:r>
      <w:r>
        <w:rPr>
          <w:lang w:val="en-US"/>
        </w:rPr>
        <w:t xml:space="preserve">the </w:t>
      </w:r>
      <w:r w:rsidRPr="00B85068">
        <w:rPr>
          <w:lang w:val="en-US"/>
        </w:rPr>
        <w:t>lack of theory about women’s enterprise policy limit</w:t>
      </w:r>
      <w:r>
        <w:rPr>
          <w:lang w:val="en-US"/>
        </w:rPr>
        <w:t xml:space="preserve">ed </w:t>
      </w:r>
      <w:r w:rsidRPr="00B85068">
        <w:rPr>
          <w:lang w:val="en-US"/>
        </w:rPr>
        <w:t>decision-making about who benefit</w:t>
      </w:r>
      <w:r>
        <w:rPr>
          <w:lang w:val="en-US"/>
        </w:rPr>
        <w:t>ted</w:t>
      </w:r>
      <w:r w:rsidRPr="00B85068">
        <w:rPr>
          <w:lang w:val="en-US"/>
        </w:rPr>
        <w:t>, from what type of interventio</w:t>
      </w:r>
      <w:r>
        <w:rPr>
          <w:lang w:val="en-US"/>
        </w:rPr>
        <w:t>n,</w:t>
      </w:r>
      <w:r w:rsidRPr="00B85068">
        <w:rPr>
          <w:lang w:val="en-US"/>
        </w:rPr>
        <w:t xml:space="preserve"> and what types of program assistance</w:t>
      </w:r>
      <w:r>
        <w:rPr>
          <w:lang w:val="en-US"/>
        </w:rPr>
        <w:t xml:space="preserve"> were required</w:t>
      </w:r>
      <w:r w:rsidRPr="00B85068">
        <w:rPr>
          <w:lang w:val="en-US"/>
        </w:rPr>
        <w:t xml:space="preserve">. Wilson et al. (2004) </w:t>
      </w:r>
      <w:r w:rsidRPr="00295E28">
        <w:rPr>
          <w:lang w:val="en-US"/>
        </w:rPr>
        <w:t>attribute</w:t>
      </w:r>
      <w:r>
        <w:rPr>
          <w:lang w:val="en-US"/>
        </w:rPr>
        <w:t xml:space="preserve"> </w:t>
      </w:r>
      <w:r w:rsidRPr="00295E28">
        <w:rPr>
          <w:lang w:val="en-US"/>
        </w:rPr>
        <w:t>the decision to support gender mainstreaming versus segmented or women-focused interventions</w:t>
      </w:r>
      <w:r>
        <w:rPr>
          <w:lang w:val="en-US"/>
        </w:rPr>
        <w:t xml:space="preserve"> </w:t>
      </w:r>
      <w:r w:rsidRPr="00B85068">
        <w:rPr>
          <w:lang w:val="en-US"/>
        </w:rPr>
        <w:t xml:space="preserve">to </w:t>
      </w:r>
      <w:r w:rsidRPr="002D3E77">
        <w:rPr>
          <w:lang w:val="en-US"/>
        </w:rPr>
        <w:t>the lack of gender-disaggregated data, concluding that SME policies place the onus of change on individuals rather than gendered and racist institutional structures. These observations suggest that SME recovery policies</w:t>
      </w:r>
      <w:r w:rsidRPr="00E96958">
        <w:rPr>
          <w:lang w:val="en-US"/>
        </w:rPr>
        <w:t xml:space="preserve"> </w:t>
      </w:r>
      <w:r>
        <w:rPr>
          <w:lang w:val="en-US"/>
        </w:rPr>
        <w:t xml:space="preserve">must be redirected from placing the </w:t>
      </w:r>
      <w:r w:rsidRPr="00E96958">
        <w:rPr>
          <w:lang w:val="en-US"/>
        </w:rPr>
        <w:t xml:space="preserve">burden of change </w:t>
      </w:r>
      <w:r>
        <w:rPr>
          <w:lang w:val="en-US"/>
        </w:rPr>
        <w:t xml:space="preserve">on </w:t>
      </w:r>
      <w:r w:rsidRPr="00E96958">
        <w:rPr>
          <w:lang w:val="en-US"/>
        </w:rPr>
        <w:t xml:space="preserve">women </w:t>
      </w:r>
      <w:r>
        <w:rPr>
          <w:lang w:val="en-US"/>
        </w:rPr>
        <w:t xml:space="preserve">entrepreneurs to changes needed to support gender-inclusive </w:t>
      </w:r>
      <w:r w:rsidRPr="00E96958">
        <w:rPr>
          <w:lang w:val="en-US"/>
        </w:rPr>
        <w:t xml:space="preserve">entrepreneurial ecosystems. </w:t>
      </w:r>
    </w:p>
    <w:p w14:paraId="32080E2A" w14:textId="77777777" w:rsidR="00EE18FD" w:rsidRDefault="00EE18FD" w:rsidP="00EE18FD">
      <w:pPr>
        <w:spacing w:line="480" w:lineRule="auto"/>
        <w:ind w:firstLine="720"/>
      </w:pPr>
      <w:r>
        <w:rPr>
          <w:color w:val="1A1718"/>
        </w:rPr>
        <w:t>C</w:t>
      </w:r>
      <w:r w:rsidRPr="00E96958">
        <w:t xml:space="preserve">onsultation processes </w:t>
      </w:r>
      <w:r>
        <w:t xml:space="preserve">to enact change through gender-inclusive SME policies are also described as </w:t>
      </w:r>
      <w:r w:rsidRPr="00E96958">
        <w:t xml:space="preserve">problematic. In informing </w:t>
      </w:r>
      <w:r>
        <w:t xml:space="preserve">SME </w:t>
      </w:r>
      <w:r w:rsidRPr="00E96958">
        <w:t>polic</w:t>
      </w:r>
      <w:r>
        <w:t>ies</w:t>
      </w:r>
      <w:r w:rsidRPr="00E96958">
        <w:t>, for example, governments tend to award research and advisory contracts to large consultancies (Henry et al., 2018). Th</w:t>
      </w:r>
      <w:r>
        <w:t>ese</w:t>
      </w:r>
      <w:r w:rsidRPr="00E96958">
        <w:t xml:space="preserve"> practice</w:t>
      </w:r>
      <w:r>
        <w:t>s</w:t>
      </w:r>
      <w:r w:rsidRPr="00E96958">
        <w:t xml:space="preserve"> circumvent </w:t>
      </w:r>
      <w:r>
        <w:t xml:space="preserve">feminist and grassroots </w:t>
      </w:r>
      <w:r w:rsidRPr="00E96958">
        <w:t xml:space="preserve">advocates who have called for policy reforms. While global consultancies provide political credibility, recommendations tend to reinforce the status quo by employing apolitical and ahistorical lenses to inform on </w:t>
      </w:r>
      <w:r>
        <w:t>response measures</w:t>
      </w:r>
      <w:r w:rsidRPr="00E96958">
        <w:t xml:space="preserve">, and without consideration of intersectional influences that reinforce women’s subordination (Rao &amp; Sandler, 2016). Even when grassroots stakeholders help </w:t>
      </w:r>
      <w:r>
        <w:t xml:space="preserve">governments </w:t>
      </w:r>
      <w:r w:rsidRPr="00E96958">
        <w:t>to establish policy goals</w:t>
      </w:r>
      <w:r>
        <w:t xml:space="preserve">, they are </w:t>
      </w:r>
      <w:r>
        <w:lastRenderedPageBreak/>
        <w:t>o</w:t>
      </w:r>
      <w:r w:rsidRPr="00D2729F">
        <w:t>ften poorly resourced</w:t>
      </w:r>
      <w:r>
        <w:t>,</w:t>
      </w:r>
      <w:r w:rsidRPr="00D2729F">
        <w:t xml:space="preserve"> lack clout</w:t>
      </w:r>
      <w:r>
        <w:t xml:space="preserve"> </w:t>
      </w:r>
      <w:r w:rsidRPr="00D2729F">
        <w:t>to hold go</w:t>
      </w:r>
      <w:r>
        <w:t xml:space="preserve">vernments accountable, and are rarely </w:t>
      </w:r>
      <w:r w:rsidRPr="00D2729F">
        <w:t xml:space="preserve">included in structures </w:t>
      </w:r>
      <w:r>
        <w:t xml:space="preserve">that oversee policy </w:t>
      </w:r>
      <w:r w:rsidRPr="007115C4">
        <w:t>reforms (UN Women, 2018).</w:t>
      </w:r>
      <w:r>
        <w:t xml:space="preserve"> </w:t>
      </w:r>
    </w:p>
    <w:p w14:paraId="7A142211" w14:textId="77777777" w:rsidR="00EE18FD" w:rsidRPr="004A1D6B" w:rsidRDefault="00EE18FD" w:rsidP="00EE18FD">
      <w:pPr>
        <w:spacing w:line="480" w:lineRule="auto"/>
        <w:ind w:firstLine="720"/>
        <w:rPr>
          <w:lang w:val="en-US"/>
        </w:rPr>
      </w:pPr>
      <w:r w:rsidRPr="00B85068">
        <w:rPr>
          <w:rStyle w:val="Emphasis"/>
          <w:i w:val="0"/>
        </w:rPr>
        <w:t xml:space="preserve">Mukhopadhyay </w:t>
      </w:r>
      <w:r w:rsidRPr="00B85068">
        <w:t xml:space="preserve">(2016, p. 86) observes that SME policies </w:t>
      </w:r>
      <w:r>
        <w:t xml:space="preserve">then </w:t>
      </w:r>
      <w:r w:rsidRPr="00B85068">
        <w:t xml:space="preserve">evade </w:t>
      </w:r>
      <w:r>
        <w:t xml:space="preserve">structural </w:t>
      </w:r>
      <w:r w:rsidRPr="00B85068">
        <w:t>issues</w:t>
      </w:r>
      <w:r>
        <w:t>,</w:t>
      </w:r>
      <w:r w:rsidRPr="00B85068">
        <w:t xml:space="preserve"> substituting </w:t>
      </w:r>
      <w:r>
        <w:t>focus</w:t>
      </w:r>
      <w:r w:rsidRPr="00B85068">
        <w:t xml:space="preserve"> about </w:t>
      </w:r>
      <w:r>
        <w:t xml:space="preserve">gender </w:t>
      </w:r>
      <w:r w:rsidRPr="00B85068">
        <w:t>equality</w:t>
      </w:r>
      <w:r>
        <w:t xml:space="preserve"> and women’s economic empowerment</w:t>
      </w:r>
      <w:r w:rsidRPr="00B85068">
        <w:t xml:space="preserve"> with “a plethora of frameworks, tools and checklists” to aid bureaucrat</w:t>
      </w:r>
      <w:r>
        <w:t xml:space="preserve"> processes.</w:t>
      </w:r>
      <w:r w:rsidRPr="00412D8E">
        <w:t xml:space="preserve"> </w:t>
      </w:r>
      <w:r>
        <w:t>A lack</w:t>
      </w:r>
      <w:r w:rsidRPr="00E96958">
        <w:t xml:space="preserve"> of consultation </w:t>
      </w:r>
      <w:r w:rsidRPr="00E96958">
        <w:rPr>
          <w:lang w:val="en-US"/>
        </w:rPr>
        <w:t>privileges men and white, middle class, heterosexual women over other ethnic, racial</w:t>
      </w:r>
      <w:r>
        <w:rPr>
          <w:lang w:val="en-US"/>
        </w:rPr>
        <w:t>ize</w:t>
      </w:r>
      <w:r w:rsidRPr="00E96958">
        <w:rPr>
          <w:lang w:val="en-US"/>
        </w:rPr>
        <w:t>d or non-heterosexual identities (Coleman et al., 2019).</w:t>
      </w:r>
      <w:r w:rsidRPr="00B85068">
        <w:t xml:space="preserve"> </w:t>
      </w:r>
      <w:r>
        <w:t xml:space="preserve">To inform gender-responsive SME policies, advocates and scholars have called for broad and transparent consultations, </w:t>
      </w:r>
      <w:r w:rsidRPr="00B85068">
        <w:t>as small business policy expert</w:t>
      </w:r>
      <w:r>
        <w:t>ise</w:t>
      </w:r>
      <w:r w:rsidRPr="00B85068">
        <w:t xml:space="preserve"> does not </w:t>
      </w:r>
      <w:r>
        <w:t>necessarily coincide</w:t>
      </w:r>
      <w:r w:rsidRPr="00B85068">
        <w:t xml:space="preserve"> with gender or feminist expertise.</w:t>
      </w:r>
      <w:r>
        <w:t xml:space="preserve"> I</w:t>
      </w:r>
      <w:r w:rsidRPr="00B85068">
        <w:t xml:space="preserve">t is </w:t>
      </w:r>
      <w:r>
        <w:t xml:space="preserve">also </w:t>
      </w:r>
      <w:r w:rsidRPr="00B85068">
        <w:t>important to</w:t>
      </w:r>
      <w:r>
        <w:t xml:space="preserve"> </w:t>
      </w:r>
      <w:r w:rsidRPr="00B85068">
        <w:t>avoid conflating feminist and gender experts</w:t>
      </w:r>
      <w:r>
        <w:t xml:space="preserve"> (</w:t>
      </w:r>
      <w:r w:rsidRPr="00B85068">
        <w:t xml:space="preserve">Rao </w:t>
      </w:r>
      <w:r>
        <w:t>&amp;</w:t>
      </w:r>
      <w:r w:rsidRPr="00B85068">
        <w:t xml:space="preserve"> Sandler</w:t>
      </w:r>
      <w:r>
        <w:t xml:space="preserve">, </w:t>
      </w:r>
      <w:r w:rsidRPr="00B85068">
        <w:t>2016</w:t>
      </w:r>
      <w:r>
        <w:t xml:space="preserve">; Sandler, 2015). </w:t>
      </w:r>
      <w:r w:rsidRPr="00E96958">
        <w:t>Engagement with grassroot organi</w:t>
      </w:r>
      <w:r>
        <w:t>s</w:t>
      </w:r>
      <w:r w:rsidRPr="00E96958">
        <w:t xml:space="preserve">ations </w:t>
      </w:r>
      <w:r>
        <w:t xml:space="preserve">also </w:t>
      </w:r>
      <w:r w:rsidRPr="00E96958">
        <w:t xml:space="preserve">creates opportunities to build </w:t>
      </w:r>
      <w:r>
        <w:t>‘</w:t>
      </w:r>
      <w:r w:rsidRPr="00E96958">
        <w:t>by women, for women</w:t>
      </w:r>
      <w:r>
        <w:t>’</w:t>
      </w:r>
      <w:r w:rsidRPr="00E96958">
        <w:t xml:space="preserve"> </w:t>
      </w:r>
      <w:r>
        <w:t xml:space="preserve">SME </w:t>
      </w:r>
      <w:r w:rsidRPr="00E96958">
        <w:t xml:space="preserve">policy expertise. </w:t>
      </w:r>
    </w:p>
    <w:p w14:paraId="716BEAF2" w14:textId="77777777" w:rsidR="00EE18FD" w:rsidRDefault="00EE18FD" w:rsidP="00EE18FD">
      <w:pPr>
        <w:spacing w:line="480" w:lineRule="auto"/>
        <w:ind w:firstLine="720"/>
      </w:pPr>
      <w:r w:rsidRPr="00B85068">
        <w:t xml:space="preserve">Similar </w:t>
      </w:r>
      <w:r>
        <w:t xml:space="preserve">arguments have been advanced about gendered </w:t>
      </w:r>
      <w:r w:rsidRPr="00B85068">
        <w:t>innovation polic</w:t>
      </w:r>
      <w:r>
        <w:t>ies</w:t>
      </w:r>
      <w:r w:rsidRPr="00B85068">
        <w:t xml:space="preserve"> </w:t>
      </w:r>
      <w:r>
        <w:t>that</w:t>
      </w:r>
      <w:r w:rsidRPr="00B85068">
        <w:t xml:space="preserve"> waste intellectual resources (Berglund et al., 2010; </w:t>
      </w:r>
      <w:proofErr w:type="spellStart"/>
      <w:r w:rsidRPr="00B85068">
        <w:t>Alsos</w:t>
      </w:r>
      <w:proofErr w:type="spellEnd"/>
      <w:r w:rsidRPr="00B85068">
        <w:t xml:space="preserve"> et al., 2013)</w:t>
      </w:r>
      <w:r>
        <w:t xml:space="preserve"> and </w:t>
      </w:r>
      <w:r w:rsidRPr="00B85068">
        <w:t>diminish women’s innovative and economic contributions (</w:t>
      </w:r>
      <w:proofErr w:type="spellStart"/>
      <w:r w:rsidRPr="00B85068">
        <w:t>Ljunggren</w:t>
      </w:r>
      <w:proofErr w:type="spellEnd"/>
      <w:r w:rsidRPr="00B85068">
        <w:t xml:space="preserve"> &amp; </w:t>
      </w:r>
      <w:proofErr w:type="spellStart"/>
      <w:r w:rsidRPr="00B85068">
        <w:t>Aksos</w:t>
      </w:r>
      <w:proofErr w:type="spellEnd"/>
      <w:r w:rsidRPr="00B85068">
        <w:t xml:space="preserve">, 2010). </w:t>
      </w:r>
      <w:r>
        <w:t xml:space="preserve">Multi-country studies report, for example, that women are </w:t>
      </w:r>
      <w:r w:rsidRPr="00B85068">
        <w:t xml:space="preserve">less likely to engage in </w:t>
      </w:r>
      <w:r>
        <w:t xml:space="preserve">the use of small business and innovation support intermediaries, such as </w:t>
      </w:r>
      <w:r w:rsidRPr="00B85068">
        <w:t>accelerators and incubators compared to men</w:t>
      </w:r>
      <w:r>
        <w:t xml:space="preserve"> (</w:t>
      </w:r>
      <w:r>
        <w:rPr>
          <w:rFonts w:eastAsia="Arial Unicode MS"/>
        </w:rPr>
        <w:t>Davidson &amp; Hume,</w:t>
      </w:r>
      <w:r w:rsidRPr="00B85068">
        <w:rPr>
          <w:rFonts w:eastAsia="Arial Unicode MS"/>
        </w:rPr>
        <w:t xml:space="preserve"> 2020</w:t>
      </w:r>
      <w:r>
        <w:rPr>
          <w:rFonts w:eastAsia="Arial Unicode MS"/>
        </w:rPr>
        <w:t xml:space="preserve">; </w:t>
      </w:r>
      <w:r w:rsidRPr="00B85068">
        <w:rPr>
          <w:rFonts w:eastAsia="Arial Unicode MS"/>
        </w:rPr>
        <w:t>International Finance Corporation</w:t>
      </w:r>
      <w:r>
        <w:rPr>
          <w:rFonts w:eastAsia="Arial Unicode MS"/>
        </w:rPr>
        <w:t xml:space="preserve">, </w:t>
      </w:r>
      <w:r w:rsidRPr="00B85068">
        <w:t>2020</w:t>
      </w:r>
      <w:r>
        <w:t xml:space="preserve">). This discussion </w:t>
      </w:r>
      <w:r w:rsidRPr="00B85068">
        <w:t xml:space="preserve">is relevant </w:t>
      </w:r>
      <w:r>
        <w:t xml:space="preserve">as such </w:t>
      </w:r>
      <w:r w:rsidRPr="00B85068">
        <w:t>intermediaries</w:t>
      </w:r>
      <w:r>
        <w:t xml:space="preserve"> </w:t>
      </w:r>
      <w:r w:rsidRPr="00B85068">
        <w:t>are</w:t>
      </w:r>
      <w:r>
        <w:t xml:space="preserve"> often</w:t>
      </w:r>
      <w:r w:rsidRPr="00B85068">
        <w:t xml:space="preserve"> </w:t>
      </w:r>
      <w:r>
        <w:t xml:space="preserve">conduits of SME </w:t>
      </w:r>
      <w:r w:rsidRPr="00B85068">
        <w:t>polic</w:t>
      </w:r>
      <w:r>
        <w:t xml:space="preserve">ies and </w:t>
      </w:r>
      <w:r w:rsidRPr="00B85068">
        <w:t>sources of technical, financial, and psychological support for struggling entrepreneurs during the pandemic.</w:t>
      </w:r>
    </w:p>
    <w:p w14:paraId="54214105" w14:textId="77777777" w:rsidR="00EE18FD" w:rsidRDefault="00EE18FD" w:rsidP="00EE18FD">
      <w:pPr>
        <w:spacing w:line="480" w:lineRule="auto"/>
        <w:ind w:firstLine="720"/>
      </w:pPr>
      <w:r>
        <w:t>Yet a</w:t>
      </w:r>
      <w:r w:rsidRPr="00B85068">
        <w:t xml:space="preserve">cross </w:t>
      </w:r>
      <w:r>
        <w:t>countries studies indicate that</w:t>
      </w:r>
      <w:r w:rsidRPr="00B85068">
        <w:t xml:space="preserve"> women </w:t>
      </w:r>
      <w:r>
        <w:t xml:space="preserve">entrepreneurs </w:t>
      </w:r>
      <w:r w:rsidRPr="00B85068">
        <w:t xml:space="preserve">experience fewer benefits from </w:t>
      </w:r>
      <w:r>
        <w:t xml:space="preserve">publicly-funded small business and innovation </w:t>
      </w:r>
      <w:r w:rsidRPr="00B85068">
        <w:t xml:space="preserve">assistance </w:t>
      </w:r>
      <w:r>
        <w:t>programs (</w:t>
      </w:r>
      <w:r w:rsidRPr="00B85068">
        <w:t xml:space="preserve">Aspen Network of </w:t>
      </w:r>
      <w:r w:rsidRPr="00B85068">
        <w:lastRenderedPageBreak/>
        <w:t>Development Entrepreneurs</w:t>
      </w:r>
      <w:r>
        <w:t xml:space="preserve">, </w:t>
      </w:r>
      <w:r w:rsidRPr="00B85068">
        <w:t>2019)</w:t>
      </w:r>
      <w:r>
        <w:t xml:space="preserve">. Investment </w:t>
      </w:r>
      <w:r w:rsidRPr="00B85068">
        <w:t>favor</w:t>
      </w:r>
      <w:r>
        <w:t xml:space="preserve"> </w:t>
      </w:r>
      <w:r w:rsidRPr="00B85068">
        <w:t>larger and older companies “the companies least likely to be in need of support” (Dalziel et al., 2014, p. 7).</w:t>
      </w:r>
      <w:r>
        <w:t xml:space="preserve"> Gendered differentials are evidenced in innovation funding targeted at industry clusters </w:t>
      </w:r>
      <w:r w:rsidRPr="00B85068">
        <w:t>(</w:t>
      </w:r>
      <w:r w:rsidRPr="003025EF">
        <w:t>Institute for Competitiveness and Prosperity</w:t>
      </w:r>
      <w:r>
        <w:t>, 2019</w:t>
      </w:r>
      <w:r w:rsidRPr="00B85068">
        <w:t>)</w:t>
      </w:r>
      <w:r w:rsidRPr="005F316A">
        <w:t xml:space="preserve"> </w:t>
      </w:r>
      <w:r>
        <w:t>and digital</w:t>
      </w:r>
      <w:r w:rsidRPr="000635D9">
        <w:t xml:space="preserve"> technology adoption </w:t>
      </w:r>
      <w:r>
        <w:t xml:space="preserve">programs </w:t>
      </w:r>
      <w:r w:rsidRPr="000635D9">
        <w:t>(</w:t>
      </w:r>
      <w:proofErr w:type="spellStart"/>
      <w:r w:rsidRPr="000635D9">
        <w:t>Orser</w:t>
      </w:r>
      <w:proofErr w:type="spellEnd"/>
      <w:r>
        <w:t xml:space="preserve"> et al.</w:t>
      </w:r>
      <w:r w:rsidRPr="000635D9">
        <w:t>, 2019)</w:t>
      </w:r>
      <w:r>
        <w:t xml:space="preserve"> </w:t>
      </w:r>
      <w:r w:rsidRPr="00B85068">
        <w:t xml:space="preserve">outside </w:t>
      </w:r>
      <w:r>
        <w:t xml:space="preserve">of </w:t>
      </w:r>
      <w:r w:rsidRPr="00B85068">
        <w:t>where most women</w:t>
      </w:r>
      <w:r>
        <w:t>-owned businesses. T</w:t>
      </w:r>
      <w:r w:rsidRPr="00B85068">
        <w:t>he European Commission (EC) (2013) documents the implications of not employing a gender lens in polic</w:t>
      </w:r>
      <w:r>
        <w:t>y design</w:t>
      </w:r>
      <w:r w:rsidRPr="00B85068">
        <w:t>. Illustrative impacts included errors in machine translation, in basic research (e.g., failure to use samples of male and female cells that yield faulty research results) and in medical innovations (E</w:t>
      </w:r>
      <w:r>
        <w:t>C</w:t>
      </w:r>
      <w:r w:rsidRPr="00B85068">
        <w:t xml:space="preserve">, 2013). </w:t>
      </w:r>
    </w:p>
    <w:p w14:paraId="1AC84771" w14:textId="77777777" w:rsidR="00EE18FD" w:rsidRDefault="00EE18FD" w:rsidP="00EE18FD">
      <w:pPr>
        <w:spacing w:line="480" w:lineRule="auto"/>
        <w:ind w:firstLine="720"/>
      </w:pPr>
      <w:r>
        <w:t xml:space="preserve">In responding to the low engagement of women compared to men in assistance programs, </w:t>
      </w:r>
      <w:r w:rsidRPr="00B85068">
        <w:t xml:space="preserve">leaders </w:t>
      </w:r>
      <w:r>
        <w:t xml:space="preserve">in the United States convey </w:t>
      </w:r>
      <w:r w:rsidRPr="00B85068">
        <w:t xml:space="preserve">that they would like to become more inclusive </w:t>
      </w:r>
      <w:r>
        <w:t xml:space="preserve">but </w:t>
      </w:r>
      <w:r w:rsidRPr="00B85068">
        <w:t>“are unsure of how to do so effectively” (J.P. Morgan Chase &amp; Co., 2016</w:t>
      </w:r>
      <w:r>
        <w:t>, p. 1</w:t>
      </w:r>
      <w:r w:rsidRPr="00B85068">
        <w:t xml:space="preserve">). Similarly, </w:t>
      </w:r>
      <w:r>
        <w:t xml:space="preserve">Canadian </w:t>
      </w:r>
      <w:r w:rsidRPr="00B85068">
        <w:t xml:space="preserve">leaders </w:t>
      </w:r>
      <w:r>
        <w:t xml:space="preserve">cite </w:t>
      </w:r>
      <w:r w:rsidRPr="00B85068">
        <w:t xml:space="preserve">limited knowledge about </w:t>
      </w:r>
      <w:r>
        <w:t xml:space="preserve">the </w:t>
      </w:r>
      <w:r w:rsidRPr="00B85068">
        <w:t xml:space="preserve">ways </w:t>
      </w:r>
      <w:r>
        <w:t>that women</w:t>
      </w:r>
      <w:r w:rsidRPr="00B85068">
        <w:t xml:space="preserve"> entrepreneurs can be </w:t>
      </w:r>
      <w:r>
        <w:t xml:space="preserve">better </w:t>
      </w:r>
      <w:r w:rsidRPr="00B85068">
        <w:t>engaged (</w:t>
      </w:r>
      <w:proofErr w:type="spellStart"/>
      <w:r w:rsidRPr="00B85068">
        <w:t>Orser</w:t>
      </w:r>
      <w:proofErr w:type="spellEnd"/>
      <w:r>
        <w:t xml:space="preserve"> et al.</w:t>
      </w:r>
      <w:r w:rsidRPr="00B85068">
        <w:t xml:space="preserve">, 2019). </w:t>
      </w:r>
    </w:p>
    <w:p w14:paraId="10697FBD" w14:textId="77777777" w:rsidR="00EE18FD" w:rsidRDefault="00EE18FD" w:rsidP="00EE18FD">
      <w:pPr>
        <w:spacing w:line="480" w:lineRule="auto"/>
        <w:ind w:firstLine="720"/>
      </w:pPr>
      <w:r>
        <w:t>E</w:t>
      </w:r>
      <w:r w:rsidRPr="00B85068">
        <w:t>vidence of gender</w:t>
      </w:r>
      <w:r>
        <w:t xml:space="preserve"> biases in assumptions to underlie SME policies </w:t>
      </w:r>
      <w:r w:rsidRPr="00B85068">
        <w:t>do</w:t>
      </w:r>
      <w:r>
        <w:t>es</w:t>
      </w:r>
      <w:r w:rsidRPr="00B85068">
        <w:t xml:space="preserve"> not bode well for </w:t>
      </w:r>
      <w:r>
        <w:t xml:space="preserve">the ability of </w:t>
      </w:r>
      <w:r w:rsidRPr="00B85068">
        <w:t>government</w:t>
      </w:r>
      <w:r>
        <w:t>s to meet commitments</w:t>
      </w:r>
      <w:r w:rsidRPr="00B85068">
        <w:t xml:space="preserve"> to </w:t>
      </w:r>
      <w:r>
        <w:t xml:space="preserve">‘build back better ‘through inclusive </w:t>
      </w:r>
      <w:r w:rsidRPr="00B85068">
        <w:t>recovery</w:t>
      </w:r>
      <w:r>
        <w:t xml:space="preserve"> measures. </w:t>
      </w:r>
      <w:r w:rsidRPr="00B85068">
        <w:t>Th</w:t>
      </w:r>
      <w:r>
        <w:t>is</w:t>
      </w:r>
      <w:r w:rsidRPr="00B85068">
        <w:t xml:space="preserve"> point is exemplified in perceptions of strategies to mitigate the absence of women as beneficiaries of innovation policy. Rowe (2018) reports, in a cross-cultural study of Canadian and Swedish innovation policies, on a widely held perception among policymakers that gendered exclusion is voluntary rather than the product of systemic factors. In both countries, men policymakers and academics were more likely to attribute gender disparities to a lack of interest </w:t>
      </w:r>
      <w:r>
        <w:t>among</w:t>
      </w:r>
      <w:r w:rsidRPr="00B85068">
        <w:t xml:space="preserve"> women participants.</w:t>
      </w:r>
      <w:r>
        <w:t xml:space="preserve"> Conversely, w</w:t>
      </w:r>
      <w:r w:rsidRPr="00B85068">
        <w:t>omen were more likely to attribute structural inequalities as a contributing cause.</w:t>
      </w:r>
      <w:r>
        <w:t xml:space="preserve"> To</w:t>
      </w:r>
      <w:r w:rsidRPr="00B85068">
        <w:t xml:space="preserve"> achieve parity</w:t>
      </w:r>
      <w:r>
        <w:t>, m</w:t>
      </w:r>
      <w:r w:rsidRPr="00B85068">
        <w:t xml:space="preserve">en </w:t>
      </w:r>
      <w:r>
        <w:t xml:space="preserve">participants </w:t>
      </w:r>
      <w:r w:rsidRPr="00B85068">
        <w:t xml:space="preserve">favored incremental </w:t>
      </w:r>
      <w:r>
        <w:lastRenderedPageBreak/>
        <w:t xml:space="preserve">change </w:t>
      </w:r>
      <w:r w:rsidRPr="00B85068">
        <w:t xml:space="preserve">while women favored structural change and measures </w:t>
      </w:r>
      <w:r>
        <w:t xml:space="preserve">such as </w:t>
      </w:r>
      <w:r w:rsidRPr="00B85068">
        <w:t>quot</w:t>
      </w:r>
      <w:r>
        <w:t>a</w:t>
      </w:r>
      <w:r w:rsidRPr="00B85068">
        <w:t xml:space="preserve">s. </w:t>
      </w:r>
      <w:r>
        <w:t xml:space="preserve">These findings reveal assumptions that underlie gendered policies and measures that target women rather than </w:t>
      </w:r>
      <w:r w:rsidRPr="00355CCF">
        <w:t xml:space="preserve">institutional </w:t>
      </w:r>
      <w:r>
        <w:t xml:space="preserve">structures </w:t>
      </w:r>
      <w:r w:rsidRPr="00355CCF">
        <w:t>(Foss et</w:t>
      </w:r>
      <w:r>
        <w:t xml:space="preserve"> al., 2019; Coleman et al., 2019). To address bias in policy, The </w:t>
      </w:r>
      <w:r w:rsidRPr="002A6463">
        <w:t>Institute for Competitiveness and Prosperity</w:t>
      </w:r>
      <w:r>
        <w:t xml:space="preserve"> (</w:t>
      </w:r>
      <w:r w:rsidRPr="002A6463">
        <w:t>2019</w:t>
      </w:r>
      <w:r>
        <w:t>) has called for standing advisory councils and private, public, and civil society p</w:t>
      </w:r>
      <w:r w:rsidRPr="00921980">
        <w:t>artnership</w:t>
      </w:r>
      <w:r>
        <w:t>s with a recognition of feminist, equity, sector, and trade expertise.</w:t>
      </w:r>
    </w:p>
    <w:p w14:paraId="3A56264A" w14:textId="77777777" w:rsidR="00EE18FD" w:rsidRDefault="00EE18FD" w:rsidP="00EE18FD">
      <w:pPr>
        <w:spacing w:line="480" w:lineRule="auto"/>
        <w:ind w:firstLine="720"/>
      </w:pPr>
      <w:r>
        <w:t xml:space="preserve">Optimism about the ability of governments to undertake </w:t>
      </w:r>
      <w:r w:rsidRPr="00795763">
        <w:rPr>
          <w:i/>
        </w:rPr>
        <w:t>policy process innovations</w:t>
      </w:r>
      <w:r>
        <w:t xml:space="preserve"> is, however, warranted. A</w:t>
      </w:r>
      <w:r w:rsidRPr="00B85068">
        <w:t xml:space="preserve">t the outset of the pandemic, procurement officers worked diligently to modify </w:t>
      </w:r>
      <w:r>
        <w:t xml:space="preserve">rules-based </w:t>
      </w:r>
      <w:r w:rsidRPr="00B85068">
        <w:t xml:space="preserve">contracting </w:t>
      </w:r>
      <w:r>
        <w:t xml:space="preserve">protocols </w:t>
      </w:r>
      <w:r w:rsidRPr="00B85068">
        <w:t xml:space="preserve">to secure </w:t>
      </w:r>
      <w:r>
        <w:t xml:space="preserve">urgently </w:t>
      </w:r>
      <w:r w:rsidRPr="00B85068">
        <w:t xml:space="preserve">needed products and services. </w:t>
      </w:r>
      <w:r>
        <w:t>A</w:t>
      </w:r>
      <w:r w:rsidRPr="00B85068">
        <w:t>gile SMEs produced vital goods</w:t>
      </w:r>
      <w:r>
        <w:t xml:space="preserve">, </w:t>
      </w:r>
      <w:r w:rsidRPr="00B85068">
        <w:t>such as</w:t>
      </w:r>
      <w:r>
        <w:t xml:space="preserve"> </w:t>
      </w:r>
      <w:r w:rsidRPr="00B85068">
        <w:t>personal protective equipment and sanit</w:t>
      </w:r>
      <w:r>
        <w:t>ize</w:t>
      </w:r>
      <w:r w:rsidRPr="00B85068">
        <w:t xml:space="preserve">rs. </w:t>
      </w:r>
      <w:r>
        <w:t>P</w:t>
      </w:r>
      <w:r w:rsidRPr="00B85068">
        <w:t xml:space="preserve">rocurement practices demonstrate </w:t>
      </w:r>
      <w:r>
        <w:t xml:space="preserve">the opportunity for </w:t>
      </w:r>
      <w:r w:rsidRPr="00795763">
        <w:t>policy</w:t>
      </w:r>
      <w:r>
        <w:t xml:space="preserve"> </w:t>
      </w:r>
      <w:r w:rsidRPr="00795763">
        <w:t>process innovations</w:t>
      </w:r>
      <w:r w:rsidRPr="00B85068">
        <w:t xml:space="preserve"> </w:t>
      </w:r>
      <w:r>
        <w:t>with respect to</w:t>
      </w:r>
      <w:r w:rsidRPr="00B85068">
        <w:t xml:space="preserve"> </w:t>
      </w:r>
      <w:r>
        <w:t>recovery (UN WE Empower 2020;</w:t>
      </w:r>
      <w:r w:rsidRPr="00173253">
        <w:t xml:space="preserve"> </w:t>
      </w:r>
      <w:r>
        <w:t>W20, 2020). Process i</w:t>
      </w:r>
      <w:r w:rsidRPr="00B85068">
        <w:t>nnovation</w:t>
      </w:r>
      <w:r>
        <w:t xml:space="preserve">s demonstrate </w:t>
      </w:r>
      <w:r w:rsidRPr="00B85068">
        <w:t xml:space="preserve">that </w:t>
      </w:r>
      <w:r>
        <w:t xml:space="preserve">procedural </w:t>
      </w:r>
      <w:r w:rsidRPr="00B85068">
        <w:t>reform</w:t>
      </w:r>
      <w:r>
        <w:t>s</w:t>
      </w:r>
      <w:r w:rsidRPr="00B85068">
        <w:t xml:space="preserve"> </w:t>
      </w:r>
      <w:r>
        <w:t xml:space="preserve">that stymie women-focused SME contracting or supplier diversity initiatives </w:t>
      </w:r>
      <w:r w:rsidRPr="00B85068">
        <w:t xml:space="preserve">have </w:t>
      </w:r>
      <w:r>
        <w:t>less</w:t>
      </w:r>
      <w:r w:rsidRPr="00B85068">
        <w:t xml:space="preserve"> to do with legal and trade restrictions</w:t>
      </w:r>
      <w:r>
        <w:t xml:space="preserve"> enacted through multi-lateral trade agreements and other policy restrictions (rationales used </w:t>
      </w:r>
      <w:r w:rsidRPr="00B85068">
        <w:t>to dismiss reform</w:t>
      </w:r>
      <w:r>
        <w:t>s</w:t>
      </w:r>
      <w:r w:rsidRPr="00B85068">
        <w:t xml:space="preserve"> to support women-owned SMEs</w:t>
      </w:r>
      <w:r>
        <w:t xml:space="preserve">) than with a lack of urgency, </w:t>
      </w:r>
      <w:r w:rsidRPr="00B85068">
        <w:t>bureaucratic priorit</w:t>
      </w:r>
      <w:r>
        <w:t>y,</w:t>
      </w:r>
      <w:r w:rsidRPr="00B85068">
        <w:t xml:space="preserve"> </w:t>
      </w:r>
      <w:r>
        <w:t xml:space="preserve">and </w:t>
      </w:r>
      <w:r w:rsidRPr="00B85068">
        <w:t xml:space="preserve">political will. </w:t>
      </w:r>
      <w:r>
        <w:t>Strategic SME procurement holds promise as a means to support women entrepreneurs (Chatham House, 2020; WE Empower 2020; W20 2020).</w:t>
      </w:r>
    </w:p>
    <w:p w14:paraId="1607BA4E" w14:textId="77777777" w:rsidR="00EE18FD" w:rsidRPr="0064655F" w:rsidRDefault="00EE18FD" w:rsidP="00EE18FD">
      <w:pPr>
        <w:spacing w:line="480" w:lineRule="auto"/>
        <w:ind w:firstLine="720"/>
      </w:pPr>
      <w:r>
        <w:t xml:space="preserve">A related entrepreneurship policy </w:t>
      </w:r>
      <w:r w:rsidRPr="00B85068">
        <w:t xml:space="preserve">domain is </w:t>
      </w:r>
      <w:r>
        <w:t>sectoral feminist policies. S</w:t>
      </w:r>
      <w:r w:rsidRPr="00AA37D3">
        <w:t xml:space="preserve">ectoral </w:t>
      </w:r>
      <w:r>
        <w:t xml:space="preserve">feminist policies associated with women’s entrepreneurship </w:t>
      </w:r>
      <w:r w:rsidRPr="00AA37D3">
        <w:t xml:space="preserve">include </w:t>
      </w:r>
      <w:r w:rsidRPr="00AA37D3">
        <w:rPr>
          <w:i/>
        </w:rPr>
        <w:t>feminist international assistance</w:t>
      </w:r>
      <w:r w:rsidRPr="00AA37D3">
        <w:t xml:space="preserve"> and </w:t>
      </w:r>
      <w:r w:rsidRPr="00AA37D3">
        <w:rPr>
          <w:i/>
        </w:rPr>
        <w:lastRenderedPageBreak/>
        <w:t>feminist trade policy</w:t>
      </w:r>
      <w:r w:rsidRPr="00AA37D3">
        <w:t>. Enacted by Sweden (in 2014), Canada (in 2017), and Mexico (in 2020),</w:t>
      </w:r>
      <w:r w:rsidRPr="00AA37D3">
        <w:rPr>
          <w:rStyle w:val="FootnoteReference"/>
        </w:rPr>
        <w:footnoteReference w:id="2"/>
      </w:r>
      <w:r w:rsidRPr="00AA37D3">
        <w:t xml:space="preserve"> feminist international assistance targets</w:t>
      </w:r>
      <w:r>
        <w:t xml:space="preserve"> funding to benefit girls and women </w:t>
      </w:r>
      <w:r w:rsidRPr="00B85068">
        <w:t>(Thom</w:t>
      </w:r>
      <w:r>
        <w:t>p</w:t>
      </w:r>
      <w:r w:rsidRPr="00B85068">
        <w:t>son &amp; Clement, 2019)</w:t>
      </w:r>
      <w:r>
        <w:t xml:space="preserve">. This includes women-owned SMEs, women-led businesses and self-employed women. </w:t>
      </w:r>
      <w:r w:rsidRPr="00B85068">
        <w:t xml:space="preserve">Underscoring </w:t>
      </w:r>
      <w:r>
        <w:t xml:space="preserve">these </w:t>
      </w:r>
      <w:r w:rsidRPr="00B85068">
        <w:t xml:space="preserve">measures </w:t>
      </w:r>
      <w:r>
        <w:t xml:space="preserve">is the objective </w:t>
      </w:r>
      <w:r w:rsidRPr="00B85068">
        <w:t xml:space="preserve">to address </w:t>
      </w:r>
      <w:r>
        <w:t xml:space="preserve">gender </w:t>
      </w:r>
      <w:r w:rsidRPr="00B85068">
        <w:t>inequalit</w:t>
      </w:r>
      <w:r>
        <w:t>ies</w:t>
      </w:r>
      <w:r w:rsidRPr="00B85068">
        <w:t xml:space="preserve"> within households, communities, institutions, legal systems, and markets (Thomson, 2020).</w:t>
      </w:r>
      <w:r>
        <w:t xml:space="preserve"> </w:t>
      </w:r>
      <w:r w:rsidRPr="00B85068">
        <w:t xml:space="preserve">Canadian </w:t>
      </w:r>
      <w:r>
        <w:t xml:space="preserve">international assistance </w:t>
      </w:r>
      <w:r w:rsidRPr="00B85068">
        <w:t>policy, for example, is based on principles of treating women’s economic empowerment as an end in itself</w:t>
      </w:r>
      <w:r>
        <w:t>,</w:t>
      </w:r>
      <w:r w:rsidRPr="00B85068">
        <w:t xml:space="preserve"> supporting women’s agency and inclusive decision-making</w:t>
      </w:r>
      <w:r>
        <w:t>,</w:t>
      </w:r>
      <w:r w:rsidRPr="00B85068">
        <w:t xml:space="preserve"> investing in feminist collective </w:t>
      </w:r>
      <w:r>
        <w:t xml:space="preserve">organizations, </w:t>
      </w:r>
      <w:r w:rsidRPr="00B85068">
        <w:t>incorporating intersectionality</w:t>
      </w:r>
      <w:r>
        <w:t>,</w:t>
      </w:r>
      <w:r w:rsidRPr="00921980">
        <w:rPr>
          <w:color w:val="000000"/>
        </w:rPr>
        <w:t xml:space="preserve"> recogni</w:t>
      </w:r>
      <w:r>
        <w:rPr>
          <w:color w:val="000000"/>
        </w:rPr>
        <w:t>z</w:t>
      </w:r>
      <w:r w:rsidRPr="00921980">
        <w:rPr>
          <w:color w:val="000000"/>
        </w:rPr>
        <w:t xml:space="preserve">ing </w:t>
      </w:r>
      <w:r w:rsidRPr="00B85068">
        <w:rPr>
          <w:color w:val="000000"/>
        </w:rPr>
        <w:t>intersectionality of economic inequality</w:t>
      </w:r>
      <w:r>
        <w:rPr>
          <w:color w:val="000000"/>
        </w:rPr>
        <w:t>,</w:t>
      </w:r>
      <w:r w:rsidRPr="00B85068">
        <w:rPr>
          <w:color w:val="000000"/>
        </w:rPr>
        <w:t xml:space="preserve"> </w:t>
      </w:r>
      <w:r>
        <w:rPr>
          <w:color w:val="000000"/>
        </w:rPr>
        <w:t xml:space="preserve">and </w:t>
      </w:r>
      <w:r w:rsidRPr="00B85068">
        <w:rPr>
          <w:color w:val="000000"/>
        </w:rPr>
        <w:t>ensuring data collection and accountability (</w:t>
      </w:r>
      <w:proofErr w:type="spellStart"/>
      <w:r w:rsidRPr="00B85068">
        <w:rPr>
          <w:color w:val="000000"/>
        </w:rPr>
        <w:t>Tiessen</w:t>
      </w:r>
      <w:proofErr w:type="spellEnd"/>
      <w:r w:rsidRPr="00B85068">
        <w:rPr>
          <w:color w:val="000000"/>
        </w:rPr>
        <w:t xml:space="preserve">, 2019). </w:t>
      </w:r>
      <w:r>
        <w:rPr>
          <w:color w:val="000000"/>
        </w:rPr>
        <w:t xml:space="preserve">Under current provisions, </w:t>
      </w:r>
      <w:r w:rsidRPr="00921980">
        <w:rPr>
          <w:color w:val="000000"/>
        </w:rPr>
        <w:t>95</w:t>
      </w:r>
      <w:r>
        <w:rPr>
          <w:color w:val="000000"/>
        </w:rPr>
        <w:t>%</w:t>
      </w:r>
      <w:r w:rsidRPr="00921980">
        <w:rPr>
          <w:color w:val="000000"/>
        </w:rPr>
        <w:t xml:space="preserve"> of Canadian international </w:t>
      </w:r>
      <w:r>
        <w:rPr>
          <w:color w:val="000000"/>
        </w:rPr>
        <w:t>assistance</w:t>
      </w:r>
      <w:r w:rsidRPr="00921980">
        <w:rPr>
          <w:color w:val="000000"/>
        </w:rPr>
        <w:t xml:space="preserve"> investment</w:t>
      </w:r>
      <w:r>
        <w:rPr>
          <w:color w:val="000000"/>
        </w:rPr>
        <w:t>s</w:t>
      </w:r>
      <w:r w:rsidRPr="00921980">
        <w:rPr>
          <w:color w:val="000000"/>
        </w:rPr>
        <w:t xml:space="preserve"> </w:t>
      </w:r>
      <w:r>
        <w:rPr>
          <w:color w:val="000000"/>
        </w:rPr>
        <w:t xml:space="preserve">must </w:t>
      </w:r>
      <w:r w:rsidRPr="00921980">
        <w:rPr>
          <w:color w:val="000000"/>
        </w:rPr>
        <w:t xml:space="preserve">integrate gender equality and </w:t>
      </w:r>
      <w:r>
        <w:rPr>
          <w:color w:val="000000"/>
        </w:rPr>
        <w:t xml:space="preserve">the </w:t>
      </w:r>
      <w:r w:rsidRPr="00921980">
        <w:rPr>
          <w:color w:val="000000"/>
        </w:rPr>
        <w:t>empowerment of women and girls by 2021</w:t>
      </w:r>
      <w:r>
        <w:rPr>
          <w:color w:val="000000"/>
        </w:rPr>
        <w:t>.</w:t>
      </w:r>
    </w:p>
    <w:p w14:paraId="4182F882" w14:textId="77777777" w:rsidR="00EE18FD" w:rsidRDefault="00EE18FD" w:rsidP="00EE18FD">
      <w:pPr>
        <w:spacing w:line="480" w:lineRule="auto"/>
        <w:ind w:firstLine="357"/>
      </w:pPr>
      <w:r w:rsidRPr="00611E5E">
        <w:rPr>
          <w:i/>
        </w:rPr>
        <w:t>Feminist trade policies</w:t>
      </w:r>
      <w:r>
        <w:t xml:space="preserve"> enacted by Sweden (in 2019) and Canada (2021) seek to enhance </w:t>
      </w:r>
      <w:r w:rsidRPr="001E2CFB">
        <w:t xml:space="preserve">market access, </w:t>
      </w:r>
      <w:r>
        <w:t>adjust tariffs that tend to be disproportionately higher on goods consumed by women compared to goods consumed by men, create gender-balanced</w:t>
      </w:r>
      <w:r w:rsidRPr="00D24D7F">
        <w:t xml:space="preserve"> </w:t>
      </w:r>
      <w:r>
        <w:t xml:space="preserve">trade activities (e.g., export </w:t>
      </w:r>
      <w:r w:rsidRPr="00D24D7F">
        <w:t xml:space="preserve">promotion </w:t>
      </w:r>
      <w:r>
        <w:t xml:space="preserve">and delegations), and mandate gender-based </w:t>
      </w:r>
      <w:r w:rsidRPr="00D92681">
        <w:t xml:space="preserve">assessment of trade agreements (Government of Offices of Sweden, 2019). </w:t>
      </w:r>
    </w:p>
    <w:p w14:paraId="58847994" w14:textId="77777777" w:rsidR="00EE18FD" w:rsidRDefault="00EE18FD" w:rsidP="00EE18FD">
      <w:pPr>
        <w:spacing w:line="480" w:lineRule="auto"/>
        <w:ind w:firstLine="357"/>
      </w:pPr>
      <w:r>
        <w:t>At this time, feminist trade and international assistance policies remain aspirational. Scholars report on d</w:t>
      </w:r>
      <w:r w:rsidRPr="00D92681">
        <w:t>eficiencies</w:t>
      </w:r>
      <w:r>
        <w:t xml:space="preserve">, such as </w:t>
      </w:r>
      <w:r w:rsidRPr="00D92681">
        <w:t xml:space="preserve">vague terms of what constitutes ‘feminist’ </w:t>
      </w:r>
      <w:r>
        <w:t>within</w:t>
      </w:r>
      <w:r w:rsidRPr="00D92681">
        <w:t xml:space="preserve"> polic</w:t>
      </w:r>
      <w:r>
        <w:t>y</w:t>
      </w:r>
      <w:r w:rsidRPr="00D92681">
        <w:t>, ambiguous investment criteria</w:t>
      </w:r>
      <w:r>
        <w:t>,</w:t>
      </w:r>
      <w:r w:rsidRPr="00D92681">
        <w:t xml:space="preserve"> and the use of the binary definition of gender negating gender-</w:t>
      </w:r>
      <w:r w:rsidRPr="00D92681">
        <w:lastRenderedPageBreak/>
        <w:t>diverse people (</w:t>
      </w:r>
      <w:proofErr w:type="spellStart"/>
      <w:r w:rsidRPr="00D92681">
        <w:t>Tiessen</w:t>
      </w:r>
      <w:proofErr w:type="spellEnd"/>
      <w:r w:rsidRPr="00D92681">
        <w:t>, 2019).</w:t>
      </w:r>
      <w:r w:rsidRPr="00B85068">
        <w:t xml:space="preserve"> </w:t>
      </w:r>
      <w:r>
        <w:t>Again, lack of consultation is reported,</w:t>
      </w:r>
      <w:r w:rsidRPr="00B85068">
        <w:t xml:space="preserve"> “input and advice from local organizations that are aware of marginalization, as well as from individuals who have lived the experience of inequality and understand its local context” (</w:t>
      </w:r>
      <w:proofErr w:type="spellStart"/>
      <w:r w:rsidRPr="00B85068">
        <w:t>Tiessen</w:t>
      </w:r>
      <w:proofErr w:type="spellEnd"/>
      <w:r w:rsidRPr="00B85068">
        <w:t xml:space="preserve">, 2019, </w:t>
      </w:r>
      <w:proofErr w:type="spellStart"/>
      <w:r w:rsidRPr="00B85068">
        <w:t>n.p</w:t>
      </w:r>
      <w:proofErr w:type="spellEnd"/>
      <w:r w:rsidRPr="00B85068">
        <w:t xml:space="preserve">.). </w:t>
      </w:r>
    </w:p>
    <w:p w14:paraId="6D39013F" w14:textId="77777777" w:rsidR="00EE18FD" w:rsidRPr="00B85068" w:rsidRDefault="00EE18FD" w:rsidP="00EE18FD">
      <w:pPr>
        <w:spacing w:line="480" w:lineRule="auto"/>
        <w:ind w:firstLine="357"/>
      </w:pPr>
      <w:r w:rsidRPr="00B85068">
        <w:t xml:space="preserve">To </w:t>
      </w:r>
      <w:r>
        <w:t>encapsulate the lessons learned</w:t>
      </w:r>
      <w:r w:rsidRPr="00B85068">
        <w:t xml:space="preserve">, the next section </w:t>
      </w:r>
      <w:r>
        <w:t xml:space="preserve">describes the structure employed in this study to identify and demarcate the initial inventory of entrepreneurial feminist policy parameters identified in the literature.  </w:t>
      </w:r>
    </w:p>
    <w:p w14:paraId="3EF1CFF6" w14:textId="77777777" w:rsidR="00EE18FD" w:rsidRPr="00B85068" w:rsidRDefault="00EE18FD" w:rsidP="00EE18FD">
      <w:pPr>
        <w:pStyle w:val="Heading2"/>
      </w:pPr>
      <w:r w:rsidRPr="000335E7">
        <w:rPr>
          <w:i w:val="0"/>
        </w:rPr>
        <w:t>2.4</w:t>
      </w:r>
      <w:r w:rsidRPr="00B85068">
        <w:tab/>
        <w:t xml:space="preserve">Parameters of </w:t>
      </w:r>
      <w:r>
        <w:t xml:space="preserve">feminist </w:t>
      </w:r>
      <w:r w:rsidRPr="00B85068">
        <w:t>entrepreneur</w:t>
      </w:r>
      <w:r>
        <w:t xml:space="preserve">ship </w:t>
      </w:r>
      <w:r w:rsidRPr="00B85068">
        <w:t xml:space="preserve">policy   </w:t>
      </w:r>
    </w:p>
    <w:p w14:paraId="5DC3F6CB" w14:textId="77777777" w:rsidR="00EE18FD" w:rsidRPr="00B85068" w:rsidRDefault="00EE18FD" w:rsidP="00EE18FD">
      <w:pPr>
        <w:spacing w:after="120" w:line="480" w:lineRule="auto"/>
      </w:pPr>
      <w:r w:rsidRPr="00B85068">
        <w:t xml:space="preserve">To clarify elements of policy, </w:t>
      </w:r>
      <w:proofErr w:type="spellStart"/>
      <w:r w:rsidRPr="00B85068">
        <w:t>Kilty</w:t>
      </w:r>
      <w:proofErr w:type="spellEnd"/>
      <w:r w:rsidRPr="00B85068">
        <w:t xml:space="preserve"> (2014) </w:t>
      </w:r>
      <w:r w:rsidRPr="00B85068">
        <w:rPr>
          <w:color w:val="1A1718"/>
        </w:rPr>
        <w:t xml:space="preserve">advances three </w:t>
      </w:r>
      <w:r>
        <w:t>themes</w:t>
      </w:r>
      <w:r w:rsidRPr="00B85068">
        <w:t xml:space="preserve"> </w:t>
      </w:r>
      <w:r>
        <w:t>of</w:t>
      </w:r>
      <w:r w:rsidRPr="00B85068">
        <w:rPr>
          <w:color w:val="1A1718"/>
        </w:rPr>
        <w:t xml:space="preserve"> feminist polic</w:t>
      </w:r>
      <w:r>
        <w:rPr>
          <w:color w:val="1A1718"/>
        </w:rPr>
        <w:t>ies</w:t>
      </w:r>
      <w:r w:rsidRPr="00B85068">
        <w:rPr>
          <w:color w:val="1A1718"/>
        </w:rPr>
        <w:t xml:space="preserve">: </w:t>
      </w:r>
      <w:r w:rsidRPr="00B85068">
        <w:rPr>
          <w:i/>
        </w:rPr>
        <w:t xml:space="preserve">positionality </w:t>
      </w:r>
      <w:r w:rsidRPr="00B85068">
        <w:t>(</w:t>
      </w:r>
      <w:r>
        <w:t xml:space="preserve">defined as </w:t>
      </w:r>
      <w:r w:rsidRPr="00B85068">
        <w:t>recogni</w:t>
      </w:r>
      <w:r>
        <w:t>z</w:t>
      </w:r>
      <w:r w:rsidRPr="00B85068">
        <w:t xml:space="preserve">ing differences among women and the situatedness of their oppressions); </w:t>
      </w:r>
      <w:r w:rsidRPr="00B85068">
        <w:rPr>
          <w:i/>
        </w:rPr>
        <w:t xml:space="preserve">politics </w:t>
      </w:r>
      <w:r w:rsidRPr="00B85068">
        <w:t>(</w:t>
      </w:r>
      <w:r>
        <w:t xml:space="preserve">defined as </w:t>
      </w:r>
      <w:r w:rsidRPr="00B85068">
        <w:t>politici</w:t>
      </w:r>
      <w:r>
        <w:t>z</w:t>
      </w:r>
      <w:r w:rsidRPr="00B85068">
        <w:t>ing social, economic, scientific, and legal issues through deliberate action); and</w:t>
      </w:r>
      <w:r w:rsidRPr="00B85068">
        <w:rPr>
          <w:i/>
        </w:rPr>
        <w:t xml:space="preserve"> praxis </w:t>
      </w:r>
      <w:r w:rsidRPr="00B85068">
        <w:t>(</w:t>
      </w:r>
      <w:r>
        <w:t xml:space="preserve">defined as </w:t>
      </w:r>
      <w:r w:rsidRPr="00B85068">
        <w:t>working to enact social change regarding the politic</w:t>
      </w:r>
      <w:r>
        <w:t>ize</w:t>
      </w:r>
      <w:r w:rsidRPr="00B85068">
        <w:t xml:space="preserve">d social, economic, scientific, and legal issues). </w:t>
      </w:r>
      <w:r>
        <w:t>To inform the research question, good practices identified in the entrepreneurship literature that characterize each of the three themes are now advanced.</w:t>
      </w:r>
    </w:p>
    <w:p w14:paraId="41DFAF33" w14:textId="77777777" w:rsidR="00EE18FD" w:rsidRPr="00B85068" w:rsidRDefault="00EE18FD" w:rsidP="00EE18FD">
      <w:pPr>
        <w:pStyle w:val="Heading3"/>
      </w:pPr>
      <w:r w:rsidRPr="000335E7">
        <w:rPr>
          <w:i w:val="0"/>
        </w:rPr>
        <w:t>2.4.1</w:t>
      </w:r>
      <w:r w:rsidRPr="00B85068">
        <w:tab/>
        <w:t>Positionality</w:t>
      </w:r>
    </w:p>
    <w:p w14:paraId="3D510F1E" w14:textId="77777777" w:rsidR="00EE18FD" w:rsidRDefault="00EE18FD" w:rsidP="00EE18FD">
      <w:pPr>
        <w:spacing w:line="480" w:lineRule="auto"/>
        <w:ind w:firstLine="357"/>
      </w:pPr>
      <w:r w:rsidRPr="00B85068">
        <w:rPr>
          <w:i/>
        </w:rPr>
        <w:t>Positionality</w:t>
      </w:r>
      <w:r w:rsidRPr="00B85068">
        <w:t xml:space="preserve"> (P1) identifies intersectional influences among genders, gendered processes of business ownership (</w:t>
      </w:r>
      <w:proofErr w:type="spellStart"/>
      <w:r>
        <w:rPr>
          <w:lang w:val="en-US"/>
        </w:rPr>
        <w:t>Calás</w:t>
      </w:r>
      <w:proofErr w:type="spellEnd"/>
      <w:r>
        <w:rPr>
          <w:lang w:val="en-US"/>
        </w:rPr>
        <w:t xml:space="preserve"> et al.</w:t>
      </w:r>
      <w:r w:rsidRPr="00B85068">
        <w:rPr>
          <w:lang w:val="en-US"/>
        </w:rPr>
        <w:t>, 2007; 2009),</w:t>
      </w:r>
      <w:r w:rsidRPr="00B85068">
        <w:t xml:space="preserve"> and masculini</w:t>
      </w:r>
      <w:r>
        <w:t>z</w:t>
      </w:r>
      <w:r w:rsidRPr="00B85068">
        <w:t xml:space="preserve">ation and </w:t>
      </w:r>
      <w:r w:rsidRPr="00E739AE">
        <w:t>femini</w:t>
      </w:r>
      <w:r>
        <w:t>z</w:t>
      </w:r>
      <w:r w:rsidRPr="00E739AE">
        <w:t>ation of venture creation (Bird &amp; Brush, 2002; Bruni</w:t>
      </w:r>
      <w:r>
        <w:t xml:space="preserve"> et al., </w:t>
      </w:r>
      <w:r w:rsidRPr="00E739AE">
        <w:t>2004;</w:t>
      </w:r>
      <w:r w:rsidRPr="00E739AE">
        <w:rPr>
          <w:lang w:eastAsia="ja-JP"/>
        </w:rPr>
        <w:t xml:space="preserve"> </w:t>
      </w:r>
      <w:proofErr w:type="spellStart"/>
      <w:r w:rsidRPr="00E739AE">
        <w:rPr>
          <w:lang w:eastAsia="ja-JP"/>
        </w:rPr>
        <w:t>Neergaard</w:t>
      </w:r>
      <w:proofErr w:type="spellEnd"/>
      <w:r>
        <w:rPr>
          <w:lang w:eastAsia="ja-JP"/>
        </w:rPr>
        <w:t xml:space="preserve"> et al.</w:t>
      </w:r>
      <w:r w:rsidRPr="00E739AE">
        <w:rPr>
          <w:lang w:eastAsia="ja-JP"/>
        </w:rPr>
        <w:t>, 2011</w:t>
      </w:r>
      <w:r w:rsidRPr="00E739AE">
        <w:t xml:space="preserve">). </w:t>
      </w:r>
      <w:r w:rsidRPr="00B85068">
        <w:t xml:space="preserve">This infers </w:t>
      </w:r>
      <w:r w:rsidRPr="00B85068">
        <w:rPr>
          <w:rFonts w:eastAsiaTheme="minorEastAsia"/>
          <w:i/>
          <w:lang w:val="en-US" w:eastAsia="ja-JP"/>
        </w:rPr>
        <w:t>repositioning</w:t>
      </w:r>
      <w:r>
        <w:rPr>
          <w:rFonts w:eastAsiaTheme="minorEastAsia"/>
          <w:lang w:val="en-US" w:eastAsia="ja-JP"/>
        </w:rPr>
        <w:t xml:space="preserve"> </w:t>
      </w:r>
      <w:r w:rsidRPr="00B85068">
        <w:rPr>
          <w:rFonts w:eastAsiaTheme="minorEastAsia"/>
          <w:lang w:val="en-US" w:eastAsia="ja-JP"/>
        </w:rPr>
        <w:t>gender in the design of policy to “get back the political project”</w:t>
      </w:r>
      <w:r>
        <w:t xml:space="preserve"> </w:t>
      </w:r>
      <w:r w:rsidRPr="00B85068">
        <w:t>(</w:t>
      </w:r>
      <w:r w:rsidRPr="00B85068">
        <w:rPr>
          <w:rStyle w:val="Emphasis"/>
          <w:i w:val="0"/>
        </w:rPr>
        <w:t xml:space="preserve">Mukhopadhyay, </w:t>
      </w:r>
      <w:r w:rsidRPr="00B85068">
        <w:t>2016, p. 86)</w:t>
      </w:r>
      <w:r w:rsidRPr="00B85068">
        <w:rPr>
          <w:rFonts w:eastAsiaTheme="minorEastAsia"/>
          <w:lang w:val="en-US" w:eastAsia="ja-JP"/>
        </w:rPr>
        <w:t xml:space="preserve">. </w:t>
      </w:r>
      <w:r>
        <w:rPr>
          <w:rFonts w:eastAsiaTheme="minorEastAsia"/>
          <w:lang w:val="en-US" w:eastAsia="ja-JP"/>
        </w:rPr>
        <w:t>P</w:t>
      </w:r>
      <w:proofErr w:type="spellStart"/>
      <w:r w:rsidRPr="00B85068">
        <w:t>ositionality</w:t>
      </w:r>
      <w:proofErr w:type="spellEnd"/>
      <w:r w:rsidRPr="00B85068">
        <w:t xml:space="preserve"> is evidenced</w:t>
      </w:r>
      <w:r>
        <w:t xml:space="preserve"> in the </w:t>
      </w:r>
      <w:r w:rsidRPr="00B85068">
        <w:t>situatedness of oppression</w:t>
      </w:r>
      <w:r>
        <w:t xml:space="preserve"> and hence, the need to engage multiple policy domains (such as, i</w:t>
      </w:r>
      <w:r w:rsidRPr="00B85068">
        <w:t xml:space="preserve">nnovation, trade, finance, </w:t>
      </w:r>
      <w:r>
        <w:t>and broadband), e</w:t>
      </w:r>
      <w:r w:rsidRPr="004941E8">
        <w:t>mploy</w:t>
      </w:r>
      <w:r>
        <w:t>ing</w:t>
      </w:r>
      <w:r w:rsidRPr="004941E8">
        <w:t xml:space="preserve"> broad definitions of innovation, </w:t>
      </w:r>
      <w:r>
        <w:t xml:space="preserve">and </w:t>
      </w:r>
      <w:r w:rsidRPr="004941E8">
        <w:t xml:space="preserve">honouring innovations important to women and women’s </w:t>
      </w:r>
      <w:r w:rsidRPr="004941E8">
        <w:lastRenderedPageBreak/>
        <w:t>innovative contributions</w:t>
      </w:r>
      <w:r>
        <w:t xml:space="preserve"> (</w:t>
      </w:r>
      <w:proofErr w:type="spellStart"/>
      <w:r w:rsidRPr="000C1DD4">
        <w:t>Ljunggren</w:t>
      </w:r>
      <w:proofErr w:type="spellEnd"/>
      <w:r w:rsidRPr="000C1DD4">
        <w:t xml:space="preserve"> &amp; </w:t>
      </w:r>
      <w:proofErr w:type="spellStart"/>
      <w:r w:rsidRPr="000C1DD4">
        <w:t>Aksos</w:t>
      </w:r>
      <w:proofErr w:type="spellEnd"/>
      <w:r w:rsidRPr="000C1DD4">
        <w:t>, 2010; Rowe, 2018</w:t>
      </w:r>
      <w:r>
        <w:t xml:space="preserve">). Positionality also infers centering </w:t>
      </w:r>
      <w:r w:rsidRPr="004941E8">
        <w:t xml:space="preserve">gender equality, women’s economic empowerment and LGBTQ2+ rights as underlying elements of entrepreneurship policy, acknowledging intersectional influences that situate subordination (Koen, 1984; Oxfam, 2010; </w:t>
      </w:r>
      <w:proofErr w:type="spellStart"/>
      <w:r w:rsidRPr="004941E8">
        <w:t>Ahl</w:t>
      </w:r>
      <w:proofErr w:type="spellEnd"/>
      <w:r w:rsidRPr="004941E8">
        <w:t xml:space="preserve"> &amp; Nelson, 2014; </w:t>
      </w:r>
      <w:proofErr w:type="spellStart"/>
      <w:r w:rsidRPr="004941E8">
        <w:t>Pettersson</w:t>
      </w:r>
      <w:proofErr w:type="spellEnd"/>
      <w:r w:rsidRPr="004941E8">
        <w:t xml:space="preserve"> et al., 2017). </w:t>
      </w:r>
    </w:p>
    <w:p w14:paraId="69BDD8B3" w14:textId="77777777" w:rsidR="00EE18FD" w:rsidRDefault="00EE18FD" w:rsidP="00EE18FD">
      <w:pPr>
        <w:spacing w:line="480" w:lineRule="auto"/>
        <w:ind w:firstLine="357"/>
      </w:pPr>
      <w:r w:rsidRPr="004941E8">
        <w:t>To do so necessitates acknowledgement of power differentials (</w:t>
      </w:r>
      <w:proofErr w:type="spellStart"/>
      <w:r w:rsidRPr="004941E8">
        <w:t>Manolova</w:t>
      </w:r>
      <w:proofErr w:type="spellEnd"/>
      <w:r w:rsidRPr="004941E8">
        <w:t xml:space="preserve"> et al., 2020), and strategies to redress power differentials within entrepreneurial ecosystems, including social norms, political, and economic structures and cultural conditions that perpetuate inequalities</w:t>
      </w:r>
      <w:r>
        <w:t xml:space="preserve"> (</w:t>
      </w:r>
      <w:r w:rsidRPr="004941E8">
        <w:t>Institute for Competitiveness &amp; Prosperity, 2019; IFC, 2020; Harcourt, 2016).</w:t>
      </w:r>
      <w:r>
        <w:t xml:space="preserve"> </w:t>
      </w:r>
    </w:p>
    <w:p w14:paraId="332F2CF6" w14:textId="77777777" w:rsidR="00EE18FD" w:rsidRDefault="00EE18FD" w:rsidP="00EE18FD">
      <w:pPr>
        <w:spacing w:line="480" w:lineRule="auto"/>
        <w:ind w:firstLine="357"/>
      </w:pPr>
      <w:r>
        <w:t xml:space="preserve">These characteristics of good practice build upon arguments about gendered processes within venture creation and occupational stereotypes that impact opportunity recognition and enterprise performance, including the 5Ms: markets, money, management, motherhood, and </w:t>
      </w:r>
      <w:proofErr w:type="spellStart"/>
      <w:r>
        <w:t>meso</w:t>
      </w:r>
      <w:proofErr w:type="spellEnd"/>
      <w:r>
        <w:t>/macro environments (</w:t>
      </w:r>
      <w:r w:rsidRPr="004941E8">
        <w:t>Bird &amp; Brush, 2002; Brush et al., 2009, 2010; Lewis, 2014</w:t>
      </w:r>
      <w:r>
        <w:t>).  This lends to l</w:t>
      </w:r>
      <w:r w:rsidRPr="000C1DD4">
        <w:t>everag</w:t>
      </w:r>
      <w:r>
        <w:t>ing</w:t>
      </w:r>
      <w:r w:rsidRPr="000C1DD4">
        <w:t xml:space="preserve"> opportunities to influence multiple policy outcomes, including individual, material, perceptual, contextual and relational impacts, recognising women’s economic empowerment is an end in itself</w:t>
      </w:r>
      <w:r>
        <w:t xml:space="preserve"> (</w:t>
      </w:r>
      <w:proofErr w:type="spellStart"/>
      <w:r w:rsidRPr="000C1DD4">
        <w:t>Mayoux</w:t>
      </w:r>
      <w:proofErr w:type="spellEnd"/>
      <w:r w:rsidRPr="000C1DD4">
        <w:t xml:space="preserve">, 2000; </w:t>
      </w:r>
      <w:proofErr w:type="spellStart"/>
      <w:r w:rsidRPr="000C1DD4">
        <w:t>Ahl</w:t>
      </w:r>
      <w:proofErr w:type="spellEnd"/>
      <w:r w:rsidRPr="000C1DD4">
        <w:t xml:space="preserve"> &amp; Nelson, 2010; Nelson, 2014; Oxfam, 2019</w:t>
      </w:r>
      <w:r>
        <w:t>).</w:t>
      </w:r>
    </w:p>
    <w:p w14:paraId="33DC9C5B" w14:textId="77777777" w:rsidR="00EE18FD" w:rsidRPr="00B85068" w:rsidRDefault="00EE18FD" w:rsidP="00EE18FD">
      <w:pPr>
        <w:pStyle w:val="Heading2"/>
      </w:pPr>
      <w:r w:rsidRPr="000335E7">
        <w:rPr>
          <w:i w:val="0"/>
        </w:rPr>
        <w:t>2.4.2</w:t>
      </w:r>
      <w:r w:rsidRPr="00B85068">
        <w:tab/>
        <w:t>Politics</w:t>
      </w:r>
    </w:p>
    <w:p w14:paraId="3167115F" w14:textId="77777777" w:rsidR="00EE18FD" w:rsidRDefault="00EE18FD" w:rsidP="00EE18FD">
      <w:pPr>
        <w:spacing w:line="480" w:lineRule="auto"/>
      </w:pPr>
      <w:r>
        <w:t>A</w:t>
      </w:r>
      <w:r w:rsidRPr="00B85068">
        <w:t>ction is a hallmark of entrepreneurial feminism. Politics reflects the politici</w:t>
      </w:r>
      <w:r>
        <w:t>z</w:t>
      </w:r>
      <w:r w:rsidRPr="00B85068">
        <w:t xml:space="preserve">ing of social, economic, scientific, and legal issues through </w:t>
      </w:r>
      <w:r w:rsidRPr="00B85068">
        <w:rPr>
          <w:i/>
        </w:rPr>
        <w:t>deliberate action</w:t>
      </w:r>
      <w:r w:rsidRPr="00B85068">
        <w:t>.</w:t>
      </w:r>
      <w:r w:rsidRPr="00B85068">
        <w:rPr>
          <w:i/>
        </w:rPr>
        <w:t xml:space="preserve"> </w:t>
      </w:r>
      <w:r>
        <w:t xml:space="preserve">This includes </w:t>
      </w:r>
      <w:r w:rsidRPr="00B85068">
        <w:t xml:space="preserve">feminist actions </w:t>
      </w:r>
      <w:r>
        <w:t xml:space="preserve">that </w:t>
      </w:r>
      <w:r w:rsidRPr="00B85068">
        <w:t>are evidenced through endeavors that respect women’s experience as a valid knowledge base ‘in its own right’ (</w:t>
      </w:r>
      <w:proofErr w:type="spellStart"/>
      <w:r w:rsidRPr="00B85068">
        <w:t>Calás</w:t>
      </w:r>
      <w:proofErr w:type="spellEnd"/>
      <w:r w:rsidRPr="00B85068">
        <w:t xml:space="preserve"> &amp; </w:t>
      </w:r>
      <w:proofErr w:type="spellStart"/>
      <w:r w:rsidRPr="00B85068">
        <w:t>Smircich</w:t>
      </w:r>
      <w:proofErr w:type="spellEnd"/>
      <w:r w:rsidRPr="00B85068">
        <w:t>, 1989, p. 7</w:t>
      </w:r>
      <w:r>
        <w:t>)</w:t>
      </w:r>
      <w:r w:rsidRPr="00B85068">
        <w:t xml:space="preserve"> and consortia activities and reporting to inform policy. </w:t>
      </w:r>
      <w:r w:rsidRPr="00B85068">
        <w:rPr>
          <w:i/>
        </w:rPr>
        <w:t>Politics</w:t>
      </w:r>
      <w:r w:rsidRPr="00B85068">
        <w:t xml:space="preserve"> </w:t>
      </w:r>
      <w:r>
        <w:t>calls for</w:t>
      </w:r>
      <w:r w:rsidRPr="00B85068">
        <w:t xml:space="preserve"> transparent and inclusive </w:t>
      </w:r>
      <w:r>
        <w:t xml:space="preserve">consultation </w:t>
      </w:r>
      <w:r w:rsidRPr="00B85068">
        <w:t xml:space="preserve">processes to inform </w:t>
      </w:r>
      <w:r>
        <w:t>policy</w:t>
      </w:r>
      <w:r w:rsidRPr="00B85068">
        <w:t xml:space="preserve"> </w:t>
      </w:r>
      <w:r w:rsidRPr="00B85068">
        <w:lastRenderedPageBreak/>
        <w:t>strategies</w:t>
      </w:r>
      <w:r>
        <w:t xml:space="preserve"> (</w:t>
      </w:r>
      <w:proofErr w:type="spellStart"/>
      <w:r w:rsidRPr="004F10A2">
        <w:t>Cirera</w:t>
      </w:r>
      <w:proofErr w:type="spellEnd"/>
      <w:r w:rsidRPr="004F10A2">
        <w:t xml:space="preserve"> &amp; </w:t>
      </w:r>
      <w:proofErr w:type="spellStart"/>
      <w:r w:rsidRPr="004F10A2">
        <w:t>Qursum</w:t>
      </w:r>
      <w:proofErr w:type="spellEnd"/>
      <w:r w:rsidRPr="004F10A2">
        <w:t>, 2014</w:t>
      </w:r>
      <w:r>
        <w:t>)</w:t>
      </w:r>
      <w:r w:rsidRPr="00B85068">
        <w:t xml:space="preserve">. Politics is echoed in the assertion of ‘Nothing about us without us’ (Weber, 2016; Herbert, 2017).  </w:t>
      </w:r>
    </w:p>
    <w:p w14:paraId="5A1239D5" w14:textId="77777777" w:rsidR="00EE18FD" w:rsidRDefault="00EE18FD" w:rsidP="00EE18FD">
      <w:pPr>
        <w:spacing w:line="480" w:lineRule="auto"/>
      </w:pPr>
      <w:r>
        <w:tab/>
        <w:t xml:space="preserve">Key parameters identified in the literature that reflect good practice actions include: </w:t>
      </w:r>
      <w:r w:rsidRPr="004F10A2">
        <w:t>policies/legislation to promote gender equality and empowerment of women and girls</w:t>
      </w:r>
      <w:r>
        <w:t xml:space="preserve">, such as mandated use of </w:t>
      </w:r>
      <w:r w:rsidRPr="004F10A2">
        <w:t xml:space="preserve">gender/sex-disaggregated data to report on </w:t>
      </w:r>
      <w:r>
        <w:t xml:space="preserve">the status of </w:t>
      </w:r>
      <w:r w:rsidRPr="004F10A2">
        <w:t>UN SDGs Goal 5</w:t>
      </w:r>
      <w:r>
        <w:t xml:space="preserve">; and enhanced </w:t>
      </w:r>
      <w:r w:rsidRPr="004F10A2">
        <w:t>access to economic resources</w:t>
      </w:r>
      <w:r>
        <w:t xml:space="preserve">. Reporting using gender disaggregated data links to </w:t>
      </w:r>
      <w:r w:rsidRPr="004F10A2">
        <w:t>holding intermediaries accountable for engaging diverse women entrepreneurs</w:t>
      </w:r>
      <w:r>
        <w:t xml:space="preserve"> (</w:t>
      </w:r>
      <w:r w:rsidRPr="004F10A2">
        <w:t xml:space="preserve">Marlow et al., 2008; </w:t>
      </w:r>
      <w:proofErr w:type="spellStart"/>
      <w:r w:rsidRPr="004F10A2">
        <w:t>Tiessen</w:t>
      </w:r>
      <w:proofErr w:type="spellEnd"/>
      <w:r w:rsidRPr="004F10A2">
        <w:t>, 2019; UN Women, 2018; UN WE Empower 2020; W20 2020).</w:t>
      </w:r>
      <w:r>
        <w:t xml:space="preserve"> Actions benefit from </w:t>
      </w:r>
      <w:r w:rsidRPr="004F10A2">
        <w:t>coherent and integrated policy frameworks across all domains that impact women-identified entrepreneurs, including small businesses, innovation, trade, income protection, healthcare, gender-based violence, financial/digital literacy, public procurement, and caregiving</w:t>
      </w:r>
      <w:r>
        <w:t xml:space="preserve"> (</w:t>
      </w:r>
      <w:r w:rsidRPr="004F10A2">
        <w:t>Oxfam, 2018; Chatham House, 2020; WE Empower 2020</w:t>
      </w:r>
      <w:r>
        <w:t xml:space="preserve">). </w:t>
      </w:r>
    </w:p>
    <w:p w14:paraId="084195CC" w14:textId="77777777" w:rsidR="00EE18FD" w:rsidRPr="00B85068" w:rsidRDefault="00EE18FD" w:rsidP="00EE18FD">
      <w:pPr>
        <w:pStyle w:val="Heading2"/>
      </w:pPr>
      <w:r w:rsidRPr="000335E7">
        <w:rPr>
          <w:i w:val="0"/>
        </w:rPr>
        <w:t>2.4.3</w:t>
      </w:r>
      <w:r w:rsidRPr="00B85068">
        <w:t xml:space="preserve"> </w:t>
      </w:r>
      <w:r>
        <w:tab/>
      </w:r>
      <w:r w:rsidRPr="00B85068">
        <w:t>Praxis</w:t>
      </w:r>
    </w:p>
    <w:p w14:paraId="571C586C" w14:textId="77777777" w:rsidR="00EE18FD" w:rsidRDefault="00EE18FD" w:rsidP="00EE18FD">
      <w:pPr>
        <w:spacing w:line="480" w:lineRule="auto"/>
      </w:pPr>
      <w:r w:rsidRPr="00B85068">
        <w:rPr>
          <w:i/>
        </w:rPr>
        <w:t>Praxis</w:t>
      </w:r>
      <w:r w:rsidRPr="00B85068">
        <w:t xml:space="preserve"> is defined as working to </w:t>
      </w:r>
      <w:r w:rsidRPr="00B85068">
        <w:rPr>
          <w:i/>
        </w:rPr>
        <w:t xml:space="preserve">enact </w:t>
      </w:r>
      <w:r w:rsidRPr="00B85068">
        <w:t xml:space="preserve">social change. Social change is a product of advocacy and building communities of interest </w:t>
      </w:r>
      <w:r>
        <w:t xml:space="preserve">such as </w:t>
      </w:r>
      <w:r w:rsidRPr="00B85068">
        <w:t>women-focused capital funds</w:t>
      </w:r>
      <w:r>
        <w:t xml:space="preserve"> and</w:t>
      </w:r>
      <w:r w:rsidRPr="00B85068">
        <w:t xml:space="preserve"> </w:t>
      </w:r>
      <w:r>
        <w:t xml:space="preserve">women-focused </w:t>
      </w:r>
      <w:r w:rsidRPr="00B85068">
        <w:t xml:space="preserve">mentoring programs. </w:t>
      </w:r>
      <w:r>
        <w:t>Two key parameters were identified with the literature that align with this theme. One is the need to f</w:t>
      </w:r>
      <w:r w:rsidRPr="004F10A2">
        <w:t>und ecosystem intermediaries including women-focused small business and innovation intermediaries: feminist, grassroots, collective, co-operative, and social enterprises that target marginalised entrepreneurs</w:t>
      </w:r>
      <w:r>
        <w:t xml:space="preserve"> (</w:t>
      </w:r>
      <w:r w:rsidRPr="004F10A2">
        <w:t>Rao &amp; Sander, 2016; Oxfam, 2018; Henry et al., 2018; Coleman et al., 2019</w:t>
      </w:r>
      <w:r>
        <w:t>). The second is the need to c</w:t>
      </w:r>
      <w:r w:rsidRPr="004F10A2">
        <w:t xml:space="preserve">reate mechanisms that enable women to act as change agents and to re-create rules of marketplaces. Support market exchanges predicated on economic, social and utilitarian outcomes, including co-operatives, social </w:t>
      </w:r>
      <w:r w:rsidRPr="004F10A2">
        <w:lastRenderedPageBreak/>
        <w:t>enterprises, non-profits, and hybrid enterprises</w:t>
      </w:r>
      <w:r>
        <w:t xml:space="preserve"> (</w:t>
      </w:r>
      <w:r w:rsidRPr="004F10A2">
        <w:t xml:space="preserve">Nelson, 2014; </w:t>
      </w:r>
      <w:proofErr w:type="spellStart"/>
      <w:r w:rsidRPr="004F10A2">
        <w:t>Orser</w:t>
      </w:r>
      <w:proofErr w:type="spellEnd"/>
      <w:r w:rsidRPr="004F10A2">
        <w:t xml:space="preserve"> &amp; Elliott, 2015; Lewis, 2014; </w:t>
      </w:r>
      <w:proofErr w:type="spellStart"/>
      <w:r w:rsidRPr="004F10A2">
        <w:t>Harquail</w:t>
      </w:r>
      <w:proofErr w:type="spellEnd"/>
      <w:r w:rsidRPr="004F10A2">
        <w:t>, 2019</w:t>
      </w:r>
      <w:r>
        <w:t>).</w:t>
      </w:r>
    </w:p>
    <w:p w14:paraId="7579129B" w14:textId="77777777" w:rsidR="00EE18FD" w:rsidRDefault="00EE18FD" w:rsidP="00EE18FD">
      <w:pPr>
        <w:spacing w:line="480" w:lineRule="auto"/>
        <w:ind w:firstLine="360"/>
      </w:pPr>
      <w:r w:rsidRPr="00B85068">
        <w:t xml:space="preserve">Under </w:t>
      </w:r>
      <w:r>
        <w:t xml:space="preserve">each of the three themes (or </w:t>
      </w:r>
      <w:r w:rsidRPr="00B85068">
        <w:t>P</w:t>
      </w:r>
      <w:r>
        <w:t>s)</w:t>
      </w:r>
      <w:r w:rsidRPr="00B85068">
        <w:t xml:space="preserve">, Table 1 </w:t>
      </w:r>
      <w:r>
        <w:t xml:space="preserve">summarizes the key parameters associated with gender-responsive SME measures identified in the entrepreneurship literature. Having completed this second step of the research, </w:t>
      </w:r>
      <w:r w:rsidRPr="005E68C6">
        <w:t xml:space="preserve">the next </w:t>
      </w:r>
      <w:r>
        <w:t>section</w:t>
      </w:r>
      <w:r w:rsidRPr="005E68C6">
        <w:t xml:space="preserve"> </w:t>
      </w:r>
      <w:r w:rsidRPr="00CB3B6A">
        <w:t>outlines the</w:t>
      </w:r>
      <w:r>
        <w:t xml:space="preserve"> qualitative analysis</w:t>
      </w:r>
      <w:r w:rsidRPr="00CB3B6A">
        <w:t xml:space="preserve"> </w:t>
      </w:r>
      <w:r>
        <w:t xml:space="preserve">employed to assess the extent to which each of three feminist pandemic recovery plans embody the proposed parameters of gender-inclusive entrepreneurship policy.  </w:t>
      </w:r>
    </w:p>
    <w:p w14:paraId="40CBA950" w14:textId="77777777" w:rsidR="00EE18FD" w:rsidRPr="00B85068" w:rsidRDefault="00EE18FD" w:rsidP="00EE18FD">
      <w:pPr>
        <w:spacing w:after="240" w:line="480" w:lineRule="auto"/>
        <w:ind w:firstLine="360"/>
        <w:jc w:val="center"/>
      </w:pPr>
      <w:r w:rsidRPr="00B85068">
        <w:t>[INSERT TABLE 1 ABOUT HERE]</w:t>
      </w:r>
    </w:p>
    <w:p w14:paraId="602B3635" w14:textId="77777777" w:rsidR="00EE18FD" w:rsidRPr="00B85068" w:rsidRDefault="00EE18FD" w:rsidP="00EE18FD">
      <w:pPr>
        <w:pStyle w:val="Heading1"/>
      </w:pPr>
      <w:r w:rsidRPr="00B85068">
        <w:t>3.0</w:t>
      </w:r>
      <w:r w:rsidRPr="00B85068">
        <w:tab/>
      </w:r>
      <w:r>
        <w:t xml:space="preserve">Qualitative analyses </w:t>
      </w:r>
    </w:p>
    <w:p w14:paraId="74CB686A" w14:textId="77777777" w:rsidR="00EE18FD" w:rsidRDefault="00EE18FD" w:rsidP="00EE18FD">
      <w:pPr>
        <w:spacing w:line="480" w:lineRule="auto"/>
        <w:ind w:firstLine="360"/>
      </w:pPr>
      <w:r w:rsidRPr="002F0B28">
        <w:t xml:space="preserve">To </w:t>
      </w:r>
      <w:r>
        <w:t xml:space="preserve">examine the extent to which feminist pandemic recovery plans embody the parameters identified in second step of this study, </w:t>
      </w:r>
      <w:r w:rsidRPr="002F0B28">
        <w:t xml:space="preserve">the </w:t>
      </w:r>
      <w:r>
        <w:t>research</w:t>
      </w:r>
      <w:r w:rsidRPr="002F0B28">
        <w:t xml:space="preserve"> design employed</w:t>
      </w:r>
      <w:r>
        <w:t xml:space="preserve"> thematic assessment of </w:t>
      </w:r>
      <w:r w:rsidRPr="002F0B28">
        <w:t>three feminist grassroots recovery plans</w:t>
      </w:r>
      <w:r>
        <w:t xml:space="preserve"> that seek to support gender-responsive recovery measures</w:t>
      </w:r>
      <w:r w:rsidRPr="002F0B28">
        <w:t>. S</w:t>
      </w:r>
      <w:r>
        <w:t xml:space="preserve">election criteria included all ‘feminist recovery plans’ identified in North America during this third step of this study (April to October 2020). None of the plans were used to generate the parameters of feminist policy identified above. The geo-political focus of North America provided the opportunity to contrast policy recommendations targeted at two extremely different conservative (United States) and liberal (Canada) governments. </w:t>
      </w:r>
    </w:p>
    <w:p w14:paraId="3A71B08E" w14:textId="77777777" w:rsidR="00EE18FD" w:rsidRDefault="00EE18FD" w:rsidP="00EE18FD">
      <w:pPr>
        <w:spacing w:line="480" w:lineRule="auto"/>
        <w:ind w:firstLine="360"/>
      </w:pPr>
      <w:r>
        <w:t>Recovery plan</w:t>
      </w:r>
      <w:r w:rsidRPr="00B85068">
        <w:t xml:space="preserve"> 1 (C1) </w:t>
      </w:r>
      <w:r>
        <w:t xml:space="preserve">was </w:t>
      </w:r>
      <w:r w:rsidRPr="00B85068">
        <w:t>published by the United States Hawai</w:t>
      </w:r>
      <w:r>
        <w:t>’</w:t>
      </w:r>
      <w:r w:rsidRPr="00B85068">
        <w:t>i State Commission</w:t>
      </w:r>
      <w:r>
        <w:t>:</w:t>
      </w:r>
      <w:r w:rsidRPr="00B85068">
        <w:t xml:space="preserve"> </w:t>
      </w:r>
      <w:r w:rsidRPr="00B85068">
        <w:rPr>
          <w:i/>
        </w:rPr>
        <w:t xml:space="preserve">Building </w:t>
      </w:r>
      <w:r>
        <w:rPr>
          <w:i/>
        </w:rPr>
        <w:t>b</w:t>
      </w:r>
      <w:r w:rsidRPr="00B85068">
        <w:rPr>
          <w:i/>
        </w:rPr>
        <w:t xml:space="preserve">ridges, </w:t>
      </w:r>
      <w:r>
        <w:rPr>
          <w:i/>
        </w:rPr>
        <w:t>n</w:t>
      </w:r>
      <w:r w:rsidRPr="00B85068">
        <w:rPr>
          <w:i/>
        </w:rPr>
        <w:t xml:space="preserve">ot </w:t>
      </w:r>
      <w:r>
        <w:rPr>
          <w:i/>
        </w:rPr>
        <w:t>w</w:t>
      </w:r>
      <w:r w:rsidRPr="00B85068">
        <w:rPr>
          <w:i/>
        </w:rPr>
        <w:t xml:space="preserve">alking on </w:t>
      </w:r>
      <w:r>
        <w:rPr>
          <w:i/>
        </w:rPr>
        <w:t>b</w:t>
      </w:r>
      <w:r w:rsidRPr="00B85068">
        <w:rPr>
          <w:i/>
        </w:rPr>
        <w:t xml:space="preserve">acks </w:t>
      </w:r>
      <w:r w:rsidRPr="00B85068">
        <w:t xml:space="preserve">(2020). </w:t>
      </w:r>
      <w:r>
        <w:t>Recovery plan</w:t>
      </w:r>
      <w:r w:rsidRPr="00B85068">
        <w:t xml:space="preserve"> 2 (C2) was published by the YWCA (Young Women’s Christian’s Association) and the University of Toronto, </w:t>
      </w:r>
      <w:r w:rsidRPr="00B85068">
        <w:rPr>
          <w:i/>
        </w:rPr>
        <w:t xml:space="preserve">A </w:t>
      </w:r>
      <w:r>
        <w:rPr>
          <w:i/>
        </w:rPr>
        <w:t>f</w:t>
      </w:r>
      <w:r w:rsidRPr="00B85068">
        <w:rPr>
          <w:i/>
        </w:rPr>
        <w:t xml:space="preserve">eminist </w:t>
      </w:r>
      <w:r>
        <w:rPr>
          <w:i/>
        </w:rPr>
        <w:t>e</w:t>
      </w:r>
      <w:r w:rsidRPr="00B85068">
        <w:rPr>
          <w:i/>
        </w:rPr>
        <w:t xml:space="preserve">conomic </w:t>
      </w:r>
      <w:r>
        <w:rPr>
          <w:i/>
        </w:rPr>
        <w:t>r</w:t>
      </w:r>
      <w:r w:rsidRPr="00B85068">
        <w:rPr>
          <w:i/>
        </w:rPr>
        <w:t xml:space="preserve">ecovery </w:t>
      </w:r>
      <w:r>
        <w:rPr>
          <w:i/>
        </w:rPr>
        <w:t>p</w:t>
      </w:r>
      <w:r w:rsidRPr="00B85068">
        <w:rPr>
          <w:i/>
        </w:rPr>
        <w:t xml:space="preserve">lan for Canada: Making the </w:t>
      </w:r>
      <w:r>
        <w:rPr>
          <w:i/>
        </w:rPr>
        <w:t>e</w:t>
      </w:r>
      <w:r w:rsidRPr="00B85068">
        <w:rPr>
          <w:i/>
        </w:rPr>
        <w:t xml:space="preserve">conomy </w:t>
      </w:r>
      <w:r>
        <w:rPr>
          <w:i/>
        </w:rPr>
        <w:t>w</w:t>
      </w:r>
      <w:r w:rsidRPr="00B85068">
        <w:rPr>
          <w:i/>
        </w:rPr>
        <w:t xml:space="preserve">ork for </w:t>
      </w:r>
      <w:r>
        <w:rPr>
          <w:i/>
        </w:rPr>
        <w:t>e</w:t>
      </w:r>
      <w:r w:rsidRPr="00B85068">
        <w:rPr>
          <w:i/>
        </w:rPr>
        <w:t>veryone</w:t>
      </w:r>
      <w:r w:rsidRPr="00B85068">
        <w:t xml:space="preserve"> (</w:t>
      </w:r>
      <w:r w:rsidRPr="00B85068">
        <w:rPr>
          <w:rFonts w:eastAsia="Arial Unicode MS"/>
        </w:rPr>
        <w:t xml:space="preserve">Sultana &amp; </w:t>
      </w:r>
      <w:proofErr w:type="spellStart"/>
      <w:r w:rsidRPr="00B85068">
        <w:rPr>
          <w:rFonts w:eastAsia="Arial Unicode MS"/>
        </w:rPr>
        <w:t>Ravanera</w:t>
      </w:r>
      <w:proofErr w:type="spellEnd"/>
      <w:r w:rsidRPr="00B85068">
        <w:rPr>
          <w:rFonts w:eastAsia="Arial Unicode MS"/>
        </w:rPr>
        <w:t xml:space="preserve">, 2020). </w:t>
      </w:r>
      <w:r>
        <w:rPr>
          <w:rFonts w:eastAsia="Arial Unicode MS"/>
        </w:rPr>
        <w:t>Recovery plan</w:t>
      </w:r>
      <w:r w:rsidRPr="00B85068">
        <w:rPr>
          <w:rFonts w:eastAsia="Arial Unicode MS"/>
        </w:rPr>
        <w:t xml:space="preserve"> 3 (C3) was published by </w:t>
      </w:r>
      <w:r w:rsidRPr="007C2860">
        <w:t>Feminists Deliver,</w:t>
      </w:r>
      <w:r w:rsidRPr="00B85068">
        <w:t xml:space="preserve"> a grassroots </w:t>
      </w:r>
      <w:r w:rsidRPr="00B85068">
        <w:lastRenderedPageBreak/>
        <w:t>co</w:t>
      </w:r>
      <w:r>
        <w:t>alition</w:t>
      </w:r>
      <w:r w:rsidRPr="00B85068">
        <w:t xml:space="preserve"> in British Columbia (Canada), </w:t>
      </w:r>
      <w:r w:rsidRPr="00B85068">
        <w:rPr>
          <w:i/>
        </w:rPr>
        <w:t xml:space="preserve">This </w:t>
      </w:r>
      <w:r>
        <w:rPr>
          <w:i/>
        </w:rPr>
        <w:t>e</w:t>
      </w:r>
      <w:r w:rsidRPr="00B85068">
        <w:rPr>
          <w:i/>
        </w:rPr>
        <w:t xml:space="preserve">conomic </w:t>
      </w:r>
      <w:r>
        <w:rPr>
          <w:i/>
        </w:rPr>
        <w:t>l</w:t>
      </w:r>
      <w:r w:rsidRPr="00B85068">
        <w:rPr>
          <w:i/>
        </w:rPr>
        <w:t xml:space="preserve">abour </w:t>
      </w:r>
      <w:r>
        <w:rPr>
          <w:i/>
        </w:rPr>
        <w:t>h</w:t>
      </w:r>
      <w:r w:rsidRPr="00B85068">
        <w:rPr>
          <w:i/>
        </w:rPr>
        <w:t xml:space="preserve">urts the </w:t>
      </w:r>
      <w:r>
        <w:rPr>
          <w:i/>
        </w:rPr>
        <w:t>a</w:t>
      </w:r>
      <w:r w:rsidRPr="00B85068">
        <w:rPr>
          <w:i/>
        </w:rPr>
        <w:t xml:space="preserve">rch of </w:t>
      </w:r>
      <w:r>
        <w:rPr>
          <w:i/>
        </w:rPr>
        <w:t>o</w:t>
      </w:r>
      <w:r w:rsidRPr="00B85068">
        <w:rPr>
          <w:i/>
        </w:rPr>
        <w:t xml:space="preserve">ur </w:t>
      </w:r>
      <w:r>
        <w:rPr>
          <w:i/>
        </w:rPr>
        <w:t>b</w:t>
      </w:r>
      <w:r w:rsidRPr="00B85068">
        <w:rPr>
          <w:i/>
        </w:rPr>
        <w:t>acks</w:t>
      </w:r>
      <w:r>
        <w:rPr>
          <w:i/>
        </w:rPr>
        <w:t>:</w:t>
      </w:r>
      <w:r w:rsidRPr="00B85068">
        <w:rPr>
          <w:i/>
        </w:rPr>
        <w:t xml:space="preserve"> A </w:t>
      </w:r>
      <w:r>
        <w:rPr>
          <w:i/>
        </w:rPr>
        <w:t>f</w:t>
      </w:r>
      <w:r w:rsidRPr="00B85068">
        <w:rPr>
          <w:i/>
        </w:rPr>
        <w:t xml:space="preserve">eminist </w:t>
      </w:r>
      <w:r>
        <w:rPr>
          <w:i/>
        </w:rPr>
        <w:t>e</w:t>
      </w:r>
      <w:r w:rsidRPr="00B85068">
        <w:rPr>
          <w:i/>
        </w:rPr>
        <w:t xml:space="preserve">conomic </w:t>
      </w:r>
      <w:r>
        <w:rPr>
          <w:i/>
        </w:rPr>
        <w:t>r</w:t>
      </w:r>
      <w:r w:rsidRPr="00B85068">
        <w:rPr>
          <w:i/>
        </w:rPr>
        <w:t xml:space="preserve">ecovery </w:t>
      </w:r>
      <w:r>
        <w:rPr>
          <w:i/>
        </w:rPr>
        <w:t>p</w:t>
      </w:r>
      <w:r w:rsidRPr="00B85068">
        <w:rPr>
          <w:i/>
        </w:rPr>
        <w:t>lan for COVID-19</w:t>
      </w:r>
      <w:r w:rsidRPr="00B85068">
        <w:t xml:space="preserve"> (2020). </w:t>
      </w:r>
      <w:r>
        <w:t>The first plan was therefore produced by a state government body, the second by a non-profit and a university, and the third by a feminist grassroots collaboration.</w:t>
      </w:r>
      <w:r w:rsidRPr="004424EC">
        <w:t xml:space="preserve"> </w:t>
      </w:r>
      <w:r>
        <w:t>It was expected that the three feminist recovery plans would offer a broad range of SME policy recommendations.</w:t>
      </w:r>
    </w:p>
    <w:p w14:paraId="368F0FC7" w14:textId="77777777" w:rsidR="00EE18FD" w:rsidRPr="00B85068" w:rsidRDefault="00EE18FD" w:rsidP="00EE18FD">
      <w:pPr>
        <w:pStyle w:val="Heading2"/>
      </w:pPr>
      <w:r w:rsidRPr="000335E7">
        <w:rPr>
          <w:i w:val="0"/>
        </w:rPr>
        <w:t>3.1</w:t>
      </w:r>
      <w:r w:rsidRPr="00B85068">
        <w:t xml:space="preserve"> </w:t>
      </w:r>
      <w:r>
        <w:tab/>
        <w:t>Coding process</w:t>
      </w:r>
    </w:p>
    <w:p w14:paraId="295D171E" w14:textId="77777777" w:rsidR="00EE18FD" w:rsidRDefault="00EE18FD" w:rsidP="00745795">
      <w:pPr>
        <w:spacing w:line="480" w:lineRule="auto"/>
        <w:ind w:firstLine="360"/>
      </w:pPr>
      <w:r>
        <w:t>Thematic c</w:t>
      </w:r>
      <w:r w:rsidRPr="00B85068">
        <w:t xml:space="preserve">ontent analysis </w:t>
      </w:r>
      <w:r>
        <w:t>was</w:t>
      </w:r>
      <w:r w:rsidRPr="00B85068">
        <w:t xml:space="preserve"> </w:t>
      </w:r>
      <w:r>
        <w:t xml:space="preserve">employed as </w:t>
      </w:r>
      <w:r w:rsidRPr="00B85068">
        <w:t>a</w:t>
      </w:r>
      <w:r>
        <w:t>n efficient and</w:t>
      </w:r>
      <w:r w:rsidRPr="00B85068">
        <w:t xml:space="preserve"> non-intrusive means to access “individual and collective structures such as values, intentions, attitudes, and cognitions” (</w:t>
      </w:r>
      <w:proofErr w:type="spellStart"/>
      <w:r w:rsidRPr="00604292">
        <w:t>Kabanoff</w:t>
      </w:r>
      <w:proofErr w:type="spellEnd"/>
      <w:r w:rsidRPr="00604292">
        <w:t xml:space="preserve"> et al. (1995) as cited in </w:t>
      </w:r>
      <w:proofErr w:type="spellStart"/>
      <w:r w:rsidRPr="00604292">
        <w:t>Duriau</w:t>
      </w:r>
      <w:proofErr w:type="spellEnd"/>
      <w:r w:rsidRPr="00604292">
        <w:t xml:space="preserve"> et al., 2007, p. 6)</w:t>
      </w:r>
      <w:r w:rsidRPr="00FF4CD0">
        <w:t xml:space="preserve">. </w:t>
      </w:r>
      <w:r>
        <w:t xml:space="preserve">Coding entailed one experienced coder who adhered to guidelines specified by </w:t>
      </w:r>
      <w:r w:rsidRPr="00C355E0">
        <w:rPr>
          <w:rFonts w:eastAsia="Arial Unicode MS"/>
        </w:rPr>
        <w:t>Harding</w:t>
      </w:r>
      <w:r>
        <w:rPr>
          <w:rFonts w:eastAsia="Arial Unicode MS"/>
        </w:rPr>
        <w:t xml:space="preserve"> and </w:t>
      </w:r>
      <w:r w:rsidRPr="00C355E0">
        <w:rPr>
          <w:rFonts w:eastAsia="Arial Unicode MS"/>
        </w:rPr>
        <w:t>Whitehead (2013</w:t>
      </w:r>
      <w:r>
        <w:rPr>
          <w:rFonts w:eastAsia="Arial Unicode MS"/>
        </w:rPr>
        <w:t xml:space="preserve">). Specifically, </w:t>
      </w:r>
      <w:r>
        <w:t xml:space="preserve">each of the three recovery plans was reviewed in the thematic context of the parameters advanced in the second step of this study. </w:t>
      </w:r>
      <w:r>
        <w:rPr>
          <w:lang w:val="en-US"/>
        </w:rPr>
        <w:t xml:space="preserve">Analysis entailed </w:t>
      </w:r>
      <w:r w:rsidRPr="00C355E0">
        <w:rPr>
          <w:lang w:val="en-US"/>
        </w:rPr>
        <w:t>divid</w:t>
      </w:r>
      <w:r>
        <w:rPr>
          <w:lang w:val="en-US"/>
        </w:rPr>
        <w:t>ing</w:t>
      </w:r>
      <w:r w:rsidRPr="00C355E0">
        <w:rPr>
          <w:lang w:val="en-US"/>
        </w:rPr>
        <w:t xml:space="preserve"> the data into abstract codes</w:t>
      </w:r>
      <w:r>
        <w:rPr>
          <w:lang w:val="en-US"/>
        </w:rPr>
        <w:t xml:space="preserve"> to </w:t>
      </w:r>
      <w:r w:rsidRPr="00C355E0">
        <w:rPr>
          <w:lang w:val="en-US"/>
        </w:rPr>
        <w:t>identify and label</w:t>
      </w:r>
      <w:r>
        <w:rPr>
          <w:lang w:val="en-US"/>
        </w:rPr>
        <w:t xml:space="preserve"> </w:t>
      </w:r>
      <w:r w:rsidRPr="00C355E0">
        <w:rPr>
          <w:lang w:val="en-US"/>
        </w:rPr>
        <w:t>recurrent words, themes and concepts</w:t>
      </w:r>
      <w:r>
        <w:rPr>
          <w:lang w:val="en-US"/>
        </w:rPr>
        <w:t>: “s</w:t>
      </w:r>
      <w:r w:rsidRPr="00C355E0">
        <w:rPr>
          <w:lang w:val="en-US"/>
        </w:rPr>
        <w:t>canning paragraphs for units of meaning relevant to</w:t>
      </w:r>
      <w:r>
        <w:rPr>
          <w:lang w:val="en-US"/>
        </w:rPr>
        <w:t xml:space="preserve"> </w:t>
      </w:r>
      <w:r w:rsidRPr="00C355E0">
        <w:rPr>
          <w:lang w:val="en-US"/>
        </w:rPr>
        <w:t>answering the research question</w:t>
      </w:r>
      <w:r>
        <w:rPr>
          <w:lang w:val="en-US"/>
        </w:rPr>
        <w:t xml:space="preserve"> </w:t>
      </w:r>
      <w:r w:rsidRPr="00C355E0">
        <w:rPr>
          <w:lang w:val="en-US"/>
        </w:rPr>
        <w:t>which are then denoted</w:t>
      </w:r>
      <w:r>
        <w:rPr>
          <w:lang w:val="en-US"/>
        </w:rPr>
        <w:t xml:space="preserve"> </w:t>
      </w:r>
      <w:r w:rsidRPr="00C355E0">
        <w:rPr>
          <w:lang w:val="en-US"/>
        </w:rPr>
        <w:t>(or abstracted) into descriptive codes</w:t>
      </w:r>
      <w:r>
        <w:rPr>
          <w:lang w:val="en-US"/>
        </w:rPr>
        <w:t xml:space="preserve"> (</w:t>
      </w:r>
      <w:r w:rsidRPr="00C355E0">
        <w:rPr>
          <w:rFonts w:eastAsia="Arial Unicode MS"/>
        </w:rPr>
        <w:t>Harding</w:t>
      </w:r>
      <w:r>
        <w:rPr>
          <w:rFonts w:eastAsia="Arial Unicode MS"/>
        </w:rPr>
        <w:t xml:space="preserve"> and </w:t>
      </w:r>
      <w:r w:rsidRPr="00C355E0">
        <w:rPr>
          <w:rFonts w:eastAsia="Arial Unicode MS"/>
        </w:rPr>
        <w:t>Whitehead</w:t>
      </w:r>
      <w:r>
        <w:rPr>
          <w:rFonts w:eastAsia="Arial Unicode MS"/>
        </w:rPr>
        <w:t>,</w:t>
      </w:r>
      <w:r w:rsidRPr="00C355E0">
        <w:rPr>
          <w:rFonts w:eastAsia="Arial Unicode MS"/>
        </w:rPr>
        <w:t xml:space="preserve"> 2013</w:t>
      </w:r>
      <w:r>
        <w:rPr>
          <w:rFonts w:eastAsia="Arial Unicode MS"/>
        </w:rPr>
        <w:t xml:space="preserve">, </w:t>
      </w:r>
      <w:r>
        <w:rPr>
          <w:lang w:val="en-US"/>
        </w:rPr>
        <w:t>p. 133)</w:t>
      </w:r>
      <w:r w:rsidRPr="00C355E0">
        <w:rPr>
          <w:lang w:val="en-US"/>
        </w:rPr>
        <w:t xml:space="preserve">. </w:t>
      </w:r>
      <w:r>
        <w:t>The m</w:t>
      </w:r>
      <w:r w:rsidRPr="00B85068">
        <w:t xml:space="preserve">anual first cycle coding process included phrases, full sentences, and single paragraph blocks of text. </w:t>
      </w:r>
      <w:r>
        <w:rPr>
          <w:lang w:val="en-US"/>
        </w:rPr>
        <w:t xml:space="preserve">Following </w:t>
      </w:r>
      <w:r w:rsidRPr="00C355E0">
        <w:rPr>
          <w:lang w:val="en-US"/>
        </w:rPr>
        <w:t>line-by-line coding</w:t>
      </w:r>
      <w:r>
        <w:rPr>
          <w:lang w:val="en-US"/>
        </w:rPr>
        <w:t xml:space="preserve"> and scanning of </w:t>
      </w:r>
      <w:r w:rsidRPr="00C355E0">
        <w:rPr>
          <w:lang w:val="en-US"/>
        </w:rPr>
        <w:t>paragraphs,</w:t>
      </w:r>
      <w:r>
        <w:rPr>
          <w:lang w:val="en-US"/>
        </w:rPr>
        <w:t xml:space="preserve"> the </w:t>
      </w:r>
      <w:r w:rsidRPr="00C355E0">
        <w:rPr>
          <w:lang w:val="en-US"/>
        </w:rPr>
        <w:t xml:space="preserve">abstracted codes </w:t>
      </w:r>
      <w:r>
        <w:rPr>
          <w:lang w:val="en-US"/>
        </w:rPr>
        <w:t>were</w:t>
      </w:r>
      <w:r w:rsidRPr="00C355E0">
        <w:rPr>
          <w:lang w:val="en-US"/>
        </w:rPr>
        <w:t xml:space="preserve"> grouped </w:t>
      </w:r>
      <w:r>
        <w:rPr>
          <w:lang w:val="en-US"/>
        </w:rPr>
        <w:t xml:space="preserve">or categorized and </w:t>
      </w:r>
      <w:r w:rsidRPr="00C355E0">
        <w:rPr>
          <w:lang w:val="en-US"/>
        </w:rPr>
        <w:t>a tentative label allocated.</w:t>
      </w:r>
      <w:r>
        <w:rPr>
          <w:lang w:val="en-US"/>
        </w:rPr>
        <w:t xml:space="preserve"> </w:t>
      </w:r>
      <w:r w:rsidRPr="00B85068">
        <w:t>Subsequent coding cycle</w:t>
      </w:r>
      <w:r>
        <w:t>s</w:t>
      </w:r>
      <w:r w:rsidRPr="00B85068">
        <w:t xml:space="preserve"> broke down content into smaller bodies of texts.</w:t>
      </w:r>
      <w:r>
        <w:t xml:space="preserve"> K</w:t>
      </w:r>
      <w:r w:rsidRPr="00C355E0">
        <w:t xml:space="preserve">eywords of </w:t>
      </w:r>
      <w:r>
        <w:t xml:space="preserve">text </w:t>
      </w:r>
      <w:r w:rsidRPr="00C355E0">
        <w:t xml:space="preserve">content </w:t>
      </w:r>
      <w:r>
        <w:t>were</w:t>
      </w:r>
      <w:r w:rsidRPr="00C355E0">
        <w:t xml:space="preserve"> used to </w:t>
      </w:r>
      <w:r>
        <w:t xml:space="preserve">compare alignment with the ten parameters identified in the broader entrepreneurship literature. </w:t>
      </w:r>
      <w:r w:rsidRPr="00B85068">
        <w:t xml:space="preserve">Third order domains, second order themes, and first order illustrative verbatim statements were identified. Refinement of the feminist principles and processes was ongoing. </w:t>
      </w:r>
      <w:r>
        <w:t xml:space="preserve">Having completed this phase of the qualitative analysis, </w:t>
      </w:r>
      <w:r>
        <w:lastRenderedPageBreak/>
        <w:t>cross-case comparisons were undertaken to identify differences and similarities or g</w:t>
      </w:r>
      <w:r w:rsidRPr="009400A9">
        <w:t>enerali</w:t>
      </w:r>
      <w:r>
        <w:t>zations</w:t>
      </w:r>
      <w:r w:rsidRPr="009400A9">
        <w:t xml:space="preserve"> </w:t>
      </w:r>
      <w:r>
        <w:t>among the three recovery plans and two</w:t>
      </w:r>
      <w:r w:rsidRPr="009400A9">
        <w:t xml:space="preserve"> </w:t>
      </w:r>
      <w:r>
        <w:t xml:space="preserve">geographic </w:t>
      </w:r>
      <w:r w:rsidRPr="009400A9">
        <w:t>contexts</w:t>
      </w:r>
      <w:r>
        <w:t xml:space="preserve">. This required the researcher to return to the data for further iterative analysis until meaning-making occurs. </w:t>
      </w:r>
    </w:p>
    <w:p w14:paraId="734C9ADC" w14:textId="77777777" w:rsidR="00EE18FD" w:rsidRPr="00B85068" w:rsidRDefault="00EE18FD" w:rsidP="00EE18FD">
      <w:pPr>
        <w:spacing w:after="240" w:line="480" w:lineRule="auto"/>
        <w:ind w:firstLine="360"/>
      </w:pPr>
      <w:r>
        <w:t>The thematic analytical technique employed is deemed “particularly useful for certain specific approaches, such as phenomenology” where the researcher is encouraged to use this style ‘free-form’ to guide analysis (</w:t>
      </w:r>
      <w:r w:rsidRPr="00C355E0">
        <w:rPr>
          <w:rFonts w:eastAsia="Arial Unicode MS"/>
        </w:rPr>
        <w:t>Harding</w:t>
      </w:r>
      <w:r>
        <w:rPr>
          <w:rFonts w:eastAsia="Arial Unicode MS"/>
        </w:rPr>
        <w:t xml:space="preserve"> and </w:t>
      </w:r>
      <w:r w:rsidRPr="00C355E0">
        <w:rPr>
          <w:rFonts w:eastAsia="Arial Unicode MS"/>
        </w:rPr>
        <w:t>Whitehead</w:t>
      </w:r>
      <w:r>
        <w:rPr>
          <w:rFonts w:eastAsia="Arial Unicode MS"/>
        </w:rPr>
        <w:t>,</w:t>
      </w:r>
      <w:r w:rsidRPr="00C355E0">
        <w:rPr>
          <w:rFonts w:eastAsia="Arial Unicode MS"/>
        </w:rPr>
        <w:t xml:space="preserve"> 2013</w:t>
      </w:r>
      <w:r>
        <w:rPr>
          <w:rFonts w:eastAsia="Arial Unicode MS"/>
        </w:rPr>
        <w:t>).</w:t>
      </w:r>
      <w:r>
        <w:t xml:space="preserve"> </w:t>
      </w:r>
      <w:r w:rsidRPr="00B85068">
        <w:t xml:space="preserve">The analysis was undertaken between June 2020 and </w:t>
      </w:r>
      <w:r>
        <w:t>October</w:t>
      </w:r>
      <w:r w:rsidRPr="00B85068">
        <w:t xml:space="preserve"> 2020. </w:t>
      </w:r>
      <w:r>
        <w:t>F</w:t>
      </w:r>
      <w:r w:rsidRPr="00B85068">
        <w:t>indings</w:t>
      </w:r>
      <w:r>
        <w:t xml:space="preserve"> of the qualitative analysis</w:t>
      </w:r>
      <w:r w:rsidRPr="00B85068">
        <w:t xml:space="preserve"> are presented in Table 2 in chronological reference to the principles of entrepreneurial feminism specified in Table 1. </w:t>
      </w:r>
      <w:r>
        <w:t xml:space="preserve">Summative insights follow. </w:t>
      </w:r>
    </w:p>
    <w:p w14:paraId="5CDDD644" w14:textId="77777777" w:rsidR="00EE18FD" w:rsidRPr="00B85068" w:rsidRDefault="00EE18FD" w:rsidP="00EE18FD">
      <w:pPr>
        <w:spacing w:after="240" w:line="480" w:lineRule="auto"/>
        <w:ind w:firstLine="360"/>
        <w:jc w:val="center"/>
      </w:pPr>
      <w:r w:rsidRPr="00B85068">
        <w:t>INSERT TABLE 2 ABOUT HERE</w:t>
      </w:r>
    </w:p>
    <w:p w14:paraId="4571E1B8" w14:textId="77777777" w:rsidR="00EE18FD" w:rsidRPr="00B85068" w:rsidRDefault="00EE18FD" w:rsidP="00EE18FD">
      <w:pPr>
        <w:pStyle w:val="Heading1"/>
      </w:pPr>
      <w:r>
        <w:t xml:space="preserve">3.2 </w:t>
      </w:r>
      <w:r>
        <w:tab/>
      </w:r>
      <w:r w:rsidRPr="000335E7">
        <w:rPr>
          <w:i/>
        </w:rPr>
        <w:t xml:space="preserve">Analyses  </w:t>
      </w:r>
    </w:p>
    <w:p w14:paraId="3CED22B7" w14:textId="77777777" w:rsidR="00EE18FD" w:rsidRPr="00B85068" w:rsidRDefault="00EE18FD" w:rsidP="00EE18FD">
      <w:pPr>
        <w:spacing w:line="480" w:lineRule="auto"/>
        <w:rPr>
          <w:i/>
        </w:rPr>
      </w:pPr>
      <w:r w:rsidRPr="00B85068">
        <w:rPr>
          <w:i/>
        </w:rPr>
        <w:t>P</w:t>
      </w:r>
      <w:r>
        <w:rPr>
          <w:i/>
        </w:rPr>
        <w:t>arameter</w:t>
      </w:r>
      <w:r w:rsidRPr="00B85068">
        <w:rPr>
          <w:i/>
        </w:rPr>
        <w:t xml:space="preserve"> 1. Center policy on equity, inclusion and empowerment</w:t>
      </w:r>
    </w:p>
    <w:p w14:paraId="70599C45" w14:textId="77777777" w:rsidR="00EE18FD" w:rsidRPr="00FD2320" w:rsidRDefault="00EE18FD" w:rsidP="00EE18FD">
      <w:pPr>
        <w:spacing w:line="480" w:lineRule="auto"/>
        <w:ind w:firstLine="720"/>
        <w:rPr>
          <w:lang w:val="en-US"/>
        </w:rPr>
      </w:pPr>
      <w:r w:rsidRPr="00B85068">
        <w:t>Rationale</w:t>
      </w:r>
      <w:r>
        <w:t>s</w:t>
      </w:r>
      <w:r w:rsidRPr="00B85068">
        <w:t xml:space="preserve"> for feminist COVID-19 policy recommendations </w:t>
      </w:r>
      <w:r>
        <w:t xml:space="preserve">identified in the recovery plans </w:t>
      </w:r>
      <w:r w:rsidRPr="00945538">
        <w:t>differ</w:t>
      </w:r>
      <w:r>
        <w:t>ed</w:t>
      </w:r>
      <w:r w:rsidRPr="00B85068">
        <w:t xml:space="preserve"> </w:t>
      </w:r>
      <w:r>
        <w:t>from insights drawn from the broader entrepreneurship literature</w:t>
      </w:r>
      <w:r w:rsidRPr="00B85068">
        <w:t xml:space="preserve">. </w:t>
      </w:r>
      <w:r w:rsidRPr="00B85068">
        <w:rPr>
          <w:lang w:val="en-US"/>
        </w:rPr>
        <w:t xml:space="preserve">Root causes of </w:t>
      </w:r>
      <w:r>
        <w:rPr>
          <w:lang w:val="en-US"/>
        </w:rPr>
        <w:t xml:space="preserve">gender </w:t>
      </w:r>
      <w:r w:rsidRPr="00B85068">
        <w:rPr>
          <w:lang w:val="en-US"/>
        </w:rPr>
        <w:t xml:space="preserve">inequality </w:t>
      </w:r>
      <w:r>
        <w:rPr>
          <w:lang w:val="en-US"/>
        </w:rPr>
        <w:t xml:space="preserve">cited in the feminist recovery plans </w:t>
      </w:r>
      <w:r w:rsidRPr="00B85068">
        <w:rPr>
          <w:lang w:val="en-US"/>
        </w:rPr>
        <w:t xml:space="preserve">were </w:t>
      </w:r>
      <w:r>
        <w:rPr>
          <w:lang w:val="en-US"/>
        </w:rPr>
        <w:t xml:space="preserve">more expansive. Causes were </w:t>
      </w:r>
      <w:r w:rsidRPr="00B85068">
        <w:rPr>
          <w:lang w:val="en-US"/>
        </w:rPr>
        <w:t xml:space="preserve">attributed to </w:t>
      </w:r>
      <w:r w:rsidRPr="00B85068">
        <w:t>coloni</w:t>
      </w:r>
      <w:r>
        <w:t>z</w:t>
      </w:r>
      <w:r w:rsidRPr="00B85068">
        <w:t>ation, sexism, ableism, patriarchy, homophobia, bi</w:t>
      </w:r>
      <w:r>
        <w:t xml:space="preserve"> </w:t>
      </w:r>
      <w:r w:rsidRPr="00B85068">
        <w:t>phobia, queer</w:t>
      </w:r>
      <w:r>
        <w:t xml:space="preserve"> </w:t>
      </w:r>
      <w:r w:rsidRPr="00B85068">
        <w:t xml:space="preserve">phobia, White supremacy, systemic racism, colonialism, capitalism, heteronormativity, and forms of structural discrimination and violence. </w:t>
      </w:r>
      <w:r>
        <w:t xml:space="preserve">Motives for reporting differed across the recovery plans. </w:t>
      </w:r>
      <w:r w:rsidRPr="00B85068">
        <w:t xml:space="preserve">C1 sought to address </w:t>
      </w:r>
      <w:r>
        <w:t xml:space="preserve">gendered </w:t>
      </w:r>
      <w:r w:rsidRPr="00B85068">
        <w:t xml:space="preserve">omissions </w:t>
      </w:r>
      <w:r>
        <w:t xml:space="preserve">in previously published </w:t>
      </w:r>
      <w:r w:rsidRPr="00B85068">
        <w:t>economic recovery plans:</w:t>
      </w:r>
      <w:r w:rsidRPr="00B85068">
        <w:rPr>
          <w:i/>
          <w:lang w:val="en-US"/>
        </w:rPr>
        <w:t xml:space="preserve"> Hawai’i </w:t>
      </w:r>
      <w:r>
        <w:rPr>
          <w:i/>
          <w:lang w:val="en-US"/>
        </w:rPr>
        <w:t>e</w:t>
      </w:r>
      <w:r w:rsidRPr="00B85068">
        <w:rPr>
          <w:i/>
          <w:lang w:val="en-US"/>
        </w:rPr>
        <w:t xml:space="preserve">conomic and </w:t>
      </w:r>
      <w:r>
        <w:rPr>
          <w:i/>
          <w:lang w:val="en-US"/>
        </w:rPr>
        <w:t>c</w:t>
      </w:r>
      <w:r w:rsidRPr="00B85068">
        <w:rPr>
          <w:i/>
          <w:lang w:val="en-US"/>
        </w:rPr>
        <w:t xml:space="preserve">ommunity </w:t>
      </w:r>
      <w:r>
        <w:rPr>
          <w:i/>
          <w:lang w:val="en-US"/>
        </w:rPr>
        <w:t>r</w:t>
      </w:r>
      <w:r w:rsidRPr="00B85068">
        <w:rPr>
          <w:i/>
          <w:lang w:val="en-US"/>
        </w:rPr>
        <w:t xml:space="preserve">ecovery &amp; </w:t>
      </w:r>
      <w:r>
        <w:rPr>
          <w:i/>
          <w:lang w:val="en-US"/>
        </w:rPr>
        <w:t>r</w:t>
      </w:r>
      <w:r w:rsidRPr="00B85068">
        <w:rPr>
          <w:i/>
          <w:lang w:val="en-US"/>
        </w:rPr>
        <w:t xml:space="preserve">esiliency </w:t>
      </w:r>
      <w:r>
        <w:rPr>
          <w:i/>
          <w:lang w:val="en-US"/>
        </w:rPr>
        <w:t>p</w:t>
      </w:r>
      <w:r w:rsidRPr="00B85068">
        <w:rPr>
          <w:i/>
          <w:lang w:val="en-US"/>
        </w:rPr>
        <w:t>lan</w:t>
      </w:r>
      <w:r w:rsidRPr="00B85068">
        <w:rPr>
          <w:lang w:val="en-US"/>
        </w:rPr>
        <w:t>, and</w:t>
      </w:r>
      <w:r>
        <w:rPr>
          <w:lang w:val="en-US"/>
        </w:rPr>
        <w:t xml:space="preserve"> an unspecified report by</w:t>
      </w:r>
      <w:r w:rsidRPr="00B85068">
        <w:rPr>
          <w:lang w:val="en-US"/>
        </w:rPr>
        <w:t xml:space="preserve"> the University of Hawaii Economic Research Organization</w:t>
      </w:r>
      <w:r>
        <w:rPr>
          <w:lang w:val="en-US"/>
        </w:rPr>
        <w:t xml:space="preserve">. Neither plan was seen to </w:t>
      </w:r>
      <w:r w:rsidRPr="00740278">
        <w:t>incorporate the concerns of women and girls. Th</w:t>
      </w:r>
      <w:r w:rsidRPr="00B85068">
        <w:t xml:space="preserve">e </w:t>
      </w:r>
      <w:r>
        <w:t>motive</w:t>
      </w:r>
      <w:r w:rsidRPr="00B85068">
        <w:t xml:space="preserve"> of C2 was to “support policies which enable the </w:t>
      </w:r>
      <w:r w:rsidRPr="00B85068">
        <w:lastRenderedPageBreak/>
        <w:t>decolonization and Indigenizing of COVID-19 recovery efforts.”</w:t>
      </w:r>
      <w:r w:rsidRPr="00B85068">
        <w:rPr>
          <w:lang w:val="en-US"/>
        </w:rPr>
        <w:t xml:space="preserve"> C3 was motived by the </w:t>
      </w:r>
      <w:r>
        <w:rPr>
          <w:lang w:val="en-US"/>
        </w:rPr>
        <w:t>release</w:t>
      </w:r>
      <w:r w:rsidRPr="00B85068">
        <w:rPr>
          <w:lang w:val="en-US"/>
        </w:rPr>
        <w:t xml:space="preserve"> of C1 and a </w:t>
      </w:r>
      <w:r>
        <w:rPr>
          <w:lang w:val="en-US"/>
        </w:rPr>
        <w:t xml:space="preserve">complementary </w:t>
      </w:r>
      <w:r w:rsidRPr="00B85068">
        <w:rPr>
          <w:lang w:val="en-US"/>
        </w:rPr>
        <w:t>feminist anthology.</w:t>
      </w:r>
      <w:r>
        <w:rPr>
          <w:rStyle w:val="FootnoteReference"/>
          <w:lang w:val="en-US"/>
        </w:rPr>
        <w:footnoteReference w:id="3"/>
      </w:r>
      <w:r>
        <w:rPr>
          <w:rStyle w:val="EndnoteReference"/>
          <w:lang w:val="en-US"/>
        </w:rPr>
        <w:t xml:space="preserve"> </w:t>
      </w:r>
      <w:r>
        <w:rPr>
          <w:lang w:val="en-US"/>
        </w:rPr>
        <w:t xml:space="preserve"> All recovery </w:t>
      </w:r>
      <w:r w:rsidRPr="00B85068">
        <w:t>plans identified the need to ‘re-value’ (C1) and address ‘de-valuing’ of women’s work (C2) with social well-being as the economic priority (C1). None</w:t>
      </w:r>
      <w:r>
        <w:t xml:space="preserve"> </w:t>
      </w:r>
      <w:r w:rsidRPr="00B85068">
        <w:t xml:space="preserve">sought to </w:t>
      </w:r>
      <w:r>
        <w:t>‘</w:t>
      </w:r>
      <w:r w:rsidRPr="00B85068">
        <w:t>return to normal</w:t>
      </w:r>
      <w:r>
        <w:t>’</w:t>
      </w:r>
      <w:r w:rsidRPr="00B85068">
        <w:t xml:space="preserve"> as per the </w:t>
      </w:r>
      <w:r>
        <w:t>United Nations (</w:t>
      </w:r>
      <w:r w:rsidRPr="00B85068">
        <w:t>UN</w:t>
      </w:r>
      <w:r>
        <w:t>)</w:t>
      </w:r>
      <w:r w:rsidRPr="00B85068">
        <w:t xml:space="preserve"> (2020) recommendation to build more equal, inclusive and sustainable economies</w:t>
      </w:r>
      <w:r>
        <w:t>.</w:t>
      </w:r>
      <w:r w:rsidRPr="00B85068">
        <w:t xml:space="preserve"> </w:t>
      </w:r>
    </w:p>
    <w:p w14:paraId="38CD0272" w14:textId="77777777" w:rsidR="00EE18FD" w:rsidRPr="00B85068" w:rsidRDefault="00EE18FD" w:rsidP="00EE18FD">
      <w:pPr>
        <w:pStyle w:val="Heading2"/>
      </w:pPr>
      <w:r w:rsidRPr="005F4854">
        <w:t>Parameter 2</w:t>
      </w:r>
      <w:r w:rsidRPr="00B85068">
        <w:t>. Redress power differentials</w:t>
      </w:r>
    </w:p>
    <w:p w14:paraId="2BE3A12A" w14:textId="77777777" w:rsidR="00EE18FD" w:rsidRPr="00B85068" w:rsidRDefault="00EE18FD" w:rsidP="00EE18FD">
      <w:pPr>
        <w:spacing w:after="120" w:line="480" w:lineRule="auto"/>
        <w:ind w:firstLine="720"/>
      </w:pPr>
      <w:r>
        <w:rPr>
          <w:lang w:val="en-US"/>
        </w:rPr>
        <w:t>Within the recovery plans, m</w:t>
      </w:r>
      <w:r w:rsidRPr="00B85068">
        <w:rPr>
          <w:lang w:val="en-US"/>
        </w:rPr>
        <w:t>arginal</w:t>
      </w:r>
      <w:r>
        <w:rPr>
          <w:lang w:val="en-US"/>
        </w:rPr>
        <w:t>ize</w:t>
      </w:r>
      <w:r w:rsidRPr="00B85068">
        <w:rPr>
          <w:lang w:val="en-US"/>
        </w:rPr>
        <w:t xml:space="preserve">d and disadvantaged women were </w:t>
      </w:r>
      <w:r>
        <w:rPr>
          <w:lang w:val="en-US"/>
        </w:rPr>
        <w:t>identified</w:t>
      </w:r>
      <w:r w:rsidRPr="00B85068">
        <w:rPr>
          <w:lang w:val="en-US"/>
        </w:rPr>
        <w:t xml:space="preserve"> as </w:t>
      </w:r>
      <w:r w:rsidRPr="00B85068">
        <w:t xml:space="preserve">particularly vulnerable to the socio-economic </w:t>
      </w:r>
      <w:r>
        <w:t>impacts</w:t>
      </w:r>
      <w:r w:rsidRPr="00B85068">
        <w:t xml:space="preserve"> of the pandemic. Disproportionate </w:t>
      </w:r>
      <w:r>
        <w:t>effects</w:t>
      </w:r>
      <w:r w:rsidRPr="00B85068">
        <w:t xml:space="preserve"> </w:t>
      </w:r>
      <w:r>
        <w:t>were</w:t>
      </w:r>
      <w:r w:rsidRPr="00B85068">
        <w:t xml:space="preserve"> attributed to high rates of employment in essential services</w:t>
      </w:r>
      <w:r>
        <w:t xml:space="preserve">, </w:t>
      </w:r>
      <w:r w:rsidRPr="00B85068">
        <w:t>such as</w:t>
      </w:r>
      <w:r>
        <w:t xml:space="preserve">, the </w:t>
      </w:r>
      <w:r w:rsidRPr="00B85068">
        <w:t>“5Cs: caring, cashiering, catering, cleaning and clerical functions” (C2, p. 1); employment in sectors character</w:t>
      </w:r>
      <w:r>
        <w:t>ize</w:t>
      </w:r>
      <w:r w:rsidRPr="00B85068">
        <w:t xml:space="preserve">d by </w:t>
      </w:r>
      <w:r>
        <w:t xml:space="preserve">mass </w:t>
      </w:r>
      <w:r w:rsidRPr="00B85068">
        <w:t>layoffs and job loss; increase incidence</w:t>
      </w:r>
      <w:r>
        <w:t>s</w:t>
      </w:r>
      <w:r w:rsidRPr="00B85068">
        <w:t xml:space="preserve"> of gender-based violence, sex trafficking, sexual harassment, and coercion by landlords; and </w:t>
      </w:r>
      <w:r>
        <w:t xml:space="preserve">less </w:t>
      </w:r>
      <w:r w:rsidRPr="00B85068">
        <w:t>access to shelter and healthcare (e.g., maternal, neo-natal, family planning), safe housing</w:t>
      </w:r>
      <w:r>
        <w:t xml:space="preserve"> due to gender-based violence</w:t>
      </w:r>
      <w:r w:rsidRPr="00B85068">
        <w:t xml:space="preserve">, healthy food and clean water (C2). </w:t>
      </w:r>
    </w:p>
    <w:p w14:paraId="56AA8240" w14:textId="77777777" w:rsidR="00EE18FD" w:rsidRPr="00B85068" w:rsidRDefault="00EE18FD" w:rsidP="00EE18FD">
      <w:pPr>
        <w:pStyle w:val="Heading2"/>
      </w:pPr>
      <w:r w:rsidRPr="005F4854">
        <w:t xml:space="preserve">Parameter </w:t>
      </w:r>
      <w:r w:rsidRPr="00B85068">
        <w:t>3. Recogn</w:t>
      </w:r>
      <w:r>
        <w:t>ize</w:t>
      </w:r>
      <w:r w:rsidRPr="00B85068">
        <w:t xml:space="preserve"> gendered processes in venture creation</w:t>
      </w:r>
    </w:p>
    <w:p w14:paraId="6653C1B7" w14:textId="77777777" w:rsidR="00EE18FD" w:rsidRPr="00B85068" w:rsidRDefault="00EE18FD" w:rsidP="00EE18FD">
      <w:pPr>
        <w:spacing w:after="120" w:line="480" w:lineRule="auto"/>
        <w:ind w:firstLine="720"/>
      </w:pPr>
      <w:r>
        <w:t>P</w:t>
      </w:r>
      <w:r w:rsidRPr="00B85068">
        <w:t xml:space="preserve">olicy recommendations </w:t>
      </w:r>
      <w:r>
        <w:t xml:space="preserve">of the three feminist recovery plans </w:t>
      </w:r>
      <w:r w:rsidRPr="00B85068">
        <w:t xml:space="preserve">clustered under </w:t>
      </w:r>
      <w:r>
        <w:t>seven themes</w:t>
      </w:r>
      <w:r w:rsidRPr="00B85068">
        <w:t xml:space="preserve">: </w:t>
      </w:r>
      <w:r>
        <w:t xml:space="preserve">importance of addressing root causes of inequality; need to invest in social and </w:t>
      </w:r>
      <w:r>
        <w:lastRenderedPageBreak/>
        <w:t>economic outcomes; economic security; enhancing access to economic resources; investment in infrastructure; inclusive decision-making; and the need for gender disaggregated data to inform policy. Policy r</w:t>
      </w:r>
      <w:r w:rsidRPr="00B85068">
        <w:t xml:space="preserve">ecommendations associated with self-employment </w:t>
      </w:r>
      <w:r>
        <w:t xml:space="preserve">and small businesses </w:t>
      </w:r>
      <w:r w:rsidRPr="00B85068">
        <w:t xml:space="preserve">focused </w:t>
      </w:r>
      <w:r>
        <w:t xml:space="preserve">primarily </w:t>
      </w:r>
      <w:r w:rsidRPr="00B85068">
        <w:t>on</w:t>
      </w:r>
      <w:r>
        <w:t>:</w:t>
      </w:r>
      <w:r w:rsidRPr="00B85068">
        <w:t xml:space="preserve"> </w:t>
      </w:r>
      <w:r>
        <w:t xml:space="preserve">provision of emergency </w:t>
      </w:r>
      <w:r w:rsidRPr="00B85068">
        <w:rPr>
          <w:lang w:val="en-US"/>
        </w:rPr>
        <w:t>relief funding</w:t>
      </w:r>
      <w:r>
        <w:rPr>
          <w:lang w:val="en-US"/>
        </w:rPr>
        <w:t>;</w:t>
      </w:r>
      <w:r w:rsidRPr="00B85068">
        <w:rPr>
          <w:lang w:val="en-US"/>
        </w:rPr>
        <w:t xml:space="preserve"> </w:t>
      </w:r>
      <w:r>
        <w:rPr>
          <w:lang w:val="en-US"/>
        </w:rPr>
        <w:t xml:space="preserve">education, training and </w:t>
      </w:r>
      <w:r w:rsidRPr="00B85068">
        <w:rPr>
          <w:lang w:val="en-US"/>
        </w:rPr>
        <w:t xml:space="preserve">skills </w:t>
      </w:r>
      <w:r>
        <w:rPr>
          <w:lang w:val="en-US"/>
        </w:rPr>
        <w:t xml:space="preserve">development; </w:t>
      </w:r>
      <w:r w:rsidRPr="00B85068">
        <w:rPr>
          <w:lang w:val="en-US"/>
        </w:rPr>
        <w:t xml:space="preserve">investment </w:t>
      </w:r>
      <w:r>
        <w:rPr>
          <w:lang w:val="en-US"/>
        </w:rPr>
        <w:t>in</w:t>
      </w:r>
      <w:r w:rsidRPr="00B85068">
        <w:rPr>
          <w:lang w:val="en-US"/>
        </w:rPr>
        <w:t xml:space="preserve"> “women-majority” sectors (e.g., caregiving, </w:t>
      </w:r>
      <w:r>
        <w:rPr>
          <w:lang w:val="en-US"/>
        </w:rPr>
        <w:t>essential work</w:t>
      </w:r>
      <w:r w:rsidRPr="00B85068">
        <w:rPr>
          <w:lang w:val="en-US"/>
        </w:rPr>
        <w:t>)</w:t>
      </w:r>
      <w:r>
        <w:rPr>
          <w:lang w:val="en-US"/>
        </w:rPr>
        <w:t xml:space="preserve"> and</w:t>
      </w:r>
      <w:r w:rsidRPr="00B85068">
        <w:rPr>
          <w:lang w:val="en-US"/>
        </w:rPr>
        <w:t xml:space="preserve"> social </w:t>
      </w:r>
      <w:r>
        <w:rPr>
          <w:lang w:val="en-US"/>
        </w:rPr>
        <w:t xml:space="preserve">value ventures; </w:t>
      </w:r>
      <w:r w:rsidRPr="00B85068">
        <w:rPr>
          <w:lang w:val="en-US"/>
        </w:rPr>
        <w:t xml:space="preserve">and </w:t>
      </w:r>
      <w:r w:rsidRPr="00B85068">
        <w:t xml:space="preserve">public </w:t>
      </w:r>
      <w:r>
        <w:t xml:space="preserve">SME </w:t>
      </w:r>
      <w:r w:rsidRPr="00B85068">
        <w:t>procurement</w:t>
      </w:r>
      <w:r>
        <w:t xml:space="preserve">. </w:t>
      </w:r>
      <w:r w:rsidRPr="00B85068">
        <w:t>C2 (Canada)</w:t>
      </w:r>
      <w:r>
        <w:t>, for example,</w:t>
      </w:r>
      <w:r w:rsidRPr="00B85068">
        <w:t xml:space="preserve"> recommended “minimum set-asides in public procurement spending (e.g., 15%) towards businesses led by women, racialized people, and other equity-seeking groups” (p. 24). </w:t>
      </w:r>
      <w:r>
        <w:t xml:space="preserve">In </w:t>
      </w:r>
      <w:r w:rsidRPr="00B85068">
        <w:t>C1</w:t>
      </w:r>
      <w:r>
        <w:t xml:space="preserve"> (situated in the </w:t>
      </w:r>
      <w:r w:rsidRPr="00B85068">
        <w:t>State of Hawai</w:t>
      </w:r>
      <w:r>
        <w:t xml:space="preserve">’i) </w:t>
      </w:r>
      <w:r w:rsidRPr="00B85068">
        <w:t>recommended 20</w:t>
      </w:r>
      <w:r>
        <w:t>%</w:t>
      </w:r>
      <w:r w:rsidRPr="00B85068">
        <w:t xml:space="preserve"> pro rata share of the COVID-19-response funds in trust for their express recovery needs, </w:t>
      </w:r>
      <w:r>
        <w:t>“</w:t>
      </w:r>
      <w:r w:rsidRPr="00B85068">
        <w:t xml:space="preserve">which would help lift Native Hawaiian women.” </w:t>
      </w:r>
      <w:r w:rsidRPr="00B85068">
        <w:rPr>
          <w:lang w:val="en-US"/>
        </w:rPr>
        <w:t>All</w:t>
      </w:r>
      <w:r>
        <w:rPr>
          <w:lang w:val="en-US"/>
        </w:rPr>
        <w:t xml:space="preserve"> feminist recovery plans </w:t>
      </w:r>
      <w:r w:rsidRPr="00B85068">
        <w:rPr>
          <w:lang w:val="en-US"/>
        </w:rPr>
        <w:t>emphasi</w:t>
      </w:r>
      <w:r>
        <w:rPr>
          <w:lang w:val="en-US"/>
        </w:rPr>
        <w:t>z</w:t>
      </w:r>
      <w:r w:rsidRPr="00B85068">
        <w:rPr>
          <w:lang w:val="en-US"/>
        </w:rPr>
        <w:t xml:space="preserve">ed </w:t>
      </w:r>
      <w:r>
        <w:rPr>
          <w:lang w:val="en-US"/>
        </w:rPr>
        <w:t xml:space="preserve">the </w:t>
      </w:r>
      <w:r w:rsidRPr="00B85068">
        <w:rPr>
          <w:lang w:val="en-US"/>
        </w:rPr>
        <w:t xml:space="preserve">need for </w:t>
      </w:r>
      <w:r>
        <w:rPr>
          <w:lang w:val="en-US"/>
        </w:rPr>
        <w:t xml:space="preserve">stakeholder </w:t>
      </w:r>
      <w:r w:rsidRPr="00B85068">
        <w:rPr>
          <w:lang w:val="en-US"/>
        </w:rPr>
        <w:t>consultation</w:t>
      </w:r>
      <w:r>
        <w:rPr>
          <w:lang w:val="en-US"/>
        </w:rPr>
        <w:t>s</w:t>
      </w:r>
      <w:r w:rsidRPr="00B85068">
        <w:rPr>
          <w:lang w:val="en-US"/>
        </w:rPr>
        <w:t xml:space="preserve"> </w:t>
      </w:r>
      <w:r>
        <w:rPr>
          <w:lang w:val="en-US"/>
        </w:rPr>
        <w:t xml:space="preserve">and specified </w:t>
      </w:r>
      <w:r w:rsidRPr="00B85068">
        <w:rPr>
          <w:lang w:val="en-US"/>
        </w:rPr>
        <w:t>funding to support Indigenous peoples.</w:t>
      </w:r>
      <w:r w:rsidRPr="00E81164">
        <w:t xml:space="preserve"> </w:t>
      </w:r>
      <w:r>
        <w:t xml:space="preserve">Policy domains to assist in recovery were therefore more expansive than those identified in the </w:t>
      </w:r>
      <w:r w:rsidRPr="00700B42">
        <w:t>literature</w:t>
      </w:r>
      <w:r>
        <w:t>.</w:t>
      </w:r>
    </w:p>
    <w:p w14:paraId="363B7BF9" w14:textId="77777777" w:rsidR="00EE18FD" w:rsidRPr="00B85068" w:rsidRDefault="00EE18FD" w:rsidP="00EE18FD">
      <w:pPr>
        <w:pStyle w:val="Heading2"/>
      </w:pPr>
      <w:r w:rsidRPr="005F4854">
        <w:t xml:space="preserve">Parameter </w:t>
      </w:r>
      <w:r w:rsidRPr="00B85068">
        <w:t>4. Honour innovations important to women</w:t>
      </w:r>
    </w:p>
    <w:p w14:paraId="230FC7EA" w14:textId="77777777" w:rsidR="00EE18FD" w:rsidRPr="00B85068" w:rsidRDefault="00EE18FD" w:rsidP="00EE18FD">
      <w:pPr>
        <w:spacing w:after="120" w:line="480" w:lineRule="auto"/>
        <w:ind w:firstLine="720"/>
      </w:pPr>
      <w:r>
        <w:t xml:space="preserve">Policy </w:t>
      </w:r>
      <w:r w:rsidRPr="00B85068">
        <w:t xml:space="preserve">priorities </w:t>
      </w:r>
      <w:r>
        <w:t xml:space="preserve">with the feminist recovery plans </w:t>
      </w:r>
      <w:r w:rsidRPr="00B85068">
        <w:t xml:space="preserve">reflected </w:t>
      </w:r>
      <w:r>
        <w:t xml:space="preserve">between </w:t>
      </w:r>
      <w:r w:rsidRPr="00B85068">
        <w:t>country differences</w:t>
      </w:r>
      <w:r>
        <w:t xml:space="preserve">, such as investment in different sectors and affordable </w:t>
      </w:r>
      <w:r w:rsidRPr="00B85068">
        <w:t>healthcare. C1</w:t>
      </w:r>
      <w:r>
        <w:t>, for example, emphasized</w:t>
      </w:r>
      <w:r w:rsidRPr="00B85068">
        <w:t xml:space="preserve"> di</w:t>
      </w:r>
      <w:r>
        <w:t xml:space="preserve">vesting </w:t>
      </w:r>
      <w:r w:rsidRPr="00B85068">
        <w:t>away from military, tourism and luxury accommodation</w:t>
      </w:r>
      <w:r>
        <w:t>,</w:t>
      </w:r>
      <w:r w:rsidRPr="00B85068">
        <w:t xml:space="preserve"> and increas</w:t>
      </w:r>
      <w:r>
        <w:t>ing</w:t>
      </w:r>
      <w:r w:rsidRPr="00B85068">
        <w:t xml:space="preserve"> investment </w:t>
      </w:r>
      <w:r>
        <w:t>in</w:t>
      </w:r>
      <w:r w:rsidRPr="00B85068">
        <w:t xml:space="preserve"> childhood education, healthcare (e.g., midwifery, maternal, and neo-natal care), eldercare, shelter, and access to digital technology. C2 (Canada) emphas</w:t>
      </w:r>
      <w:r>
        <w:t>ize</w:t>
      </w:r>
      <w:r w:rsidRPr="00B85068">
        <w:t xml:space="preserve">d </w:t>
      </w:r>
      <w:r>
        <w:t xml:space="preserve">investment in </w:t>
      </w:r>
      <w:r w:rsidRPr="00B85068">
        <w:t xml:space="preserve">essential </w:t>
      </w:r>
      <w:r>
        <w:t xml:space="preserve">and </w:t>
      </w:r>
      <w:r w:rsidRPr="00B85068">
        <w:t xml:space="preserve">care work, funding to address gender-based violence, </w:t>
      </w:r>
      <w:r>
        <w:t xml:space="preserve">and the </w:t>
      </w:r>
      <w:r w:rsidRPr="00B85068">
        <w:t>need to bolster small businesses and strengthen social infrastructure. C3 focused on energy and trade</w:t>
      </w:r>
      <w:r>
        <w:t>, key sectors of Western Canada.</w:t>
      </w:r>
      <w:r w:rsidRPr="00B85068">
        <w:t xml:space="preserve"> Only one </w:t>
      </w:r>
      <w:r>
        <w:t>recovery plan</w:t>
      </w:r>
      <w:r w:rsidRPr="00B85068">
        <w:t xml:space="preserve"> </w:t>
      </w:r>
      <w:r>
        <w:t xml:space="preserve">made </w:t>
      </w:r>
      <w:r w:rsidRPr="00B85068">
        <w:t>reference</w:t>
      </w:r>
      <w:r>
        <w:t xml:space="preserve"> to</w:t>
      </w:r>
      <w:r w:rsidRPr="00B85068">
        <w:t xml:space="preserve"> innovation</w:t>
      </w:r>
      <w:r>
        <w:t xml:space="preserve"> policy</w:t>
      </w:r>
      <w:r w:rsidRPr="00B85068">
        <w:t xml:space="preserve">. Consistent with Principle 4 </w:t>
      </w:r>
      <w:r w:rsidRPr="00B85068">
        <w:lastRenderedPageBreak/>
        <w:t xml:space="preserve">(Table 1) C3 noted, “Many </w:t>
      </w:r>
      <w:r w:rsidRPr="007E2DA0">
        <w:rPr>
          <w:i/>
        </w:rPr>
        <w:t>innovations</w:t>
      </w:r>
      <w:r w:rsidRPr="00B85068">
        <w:t xml:space="preserve"> have been led by women and by Black, Indigenous and People of Colour, who have been demonstrating sustainable models for a more inclusive economy for many years.”</w:t>
      </w:r>
    </w:p>
    <w:p w14:paraId="2F752849" w14:textId="77777777" w:rsidR="00EE18FD" w:rsidRPr="00B85068" w:rsidRDefault="00EE18FD" w:rsidP="00EE18FD">
      <w:pPr>
        <w:pStyle w:val="Heading2"/>
      </w:pPr>
      <w:r w:rsidRPr="005F4854">
        <w:t xml:space="preserve">Parameter </w:t>
      </w:r>
      <w:r w:rsidRPr="00B85068">
        <w:t xml:space="preserve">5. Support non-economic impacts of policy </w:t>
      </w:r>
    </w:p>
    <w:p w14:paraId="3C974EEA" w14:textId="77777777" w:rsidR="00EE18FD" w:rsidRPr="00B85068" w:rsidRDefault="00EE18FD" w:rsidP="00EE18FD">
      <w:pPr>
        <w:spacing w:after="120" w:line="480" w:lineRule="auto"/>
        <w:ind w:firstLine="720"/>
      </w:pPr>
      <w:r>
        <w:t>The feminist recovery</w:t>
      </w:r>
      <w:r w:rsidRPr="00B85068">
        <w:t xml:space="preserve"> </w:t>
      </w:r>
      <w:r>
        <w:t>plans</w:t>
      </w:r>
      <w:r w:rsidRPr="00B85068">
        <w:t xml:space="preserve"> sought multiple </w:t>
      </w:r>
      <w:r>
        <w:t xml:space="preserve">social and economic </w:t>
      </w:r>
      <w:r w:rsidRPr="00B85068">
        <w:t xml:space="preserve">outcomes </w:t>
      </w:r>
      <w:r>
        <w:t>from policy</w:t>
      </w:r>
      <w:r w:rsidRPr="00B85068">
        <w:t xml:space="preserve"> intervention</w:t>
      </w:r>
      <w:r>
        <w:t xml:space="preserve">, reflected in </w:t>
      </w:r>
      <w:r w:rsidRPr="00B85068">
        <w:t xml:space="preserve">perceptual, contextual, and relational </w:t>
      </w:r>
      <w:r>
        <w:t>outcomes</w:t>
      </w:r>
      <w:r w:rsidRPr="00B85068">
        <w:t xml:space="preserve">.  </w:t>
      </w:r>
      <w:r>
        <w:t>This is consistent with parameter  5.</w:t>
      </w:r>
    </w:p>
    <w:p w14:paraId="13BB2B0C" w14:textId="77777777" w:rsidR="00EE18FD" w:rsidRPr="00B85068" w:rsidRDefault="00EE18FD" w:rsidP="00EE18FD">
      <w:pPr>
        <w:pStyle w:val="Heading2"/>
      </w:pPr>
      <w:r w:rsidRPr="005F4854">
        <w:t xml:space="preserve">Parameter </w:t>
      </w:r>
      <w:r w:rsidRPr="00B85068">
        <w:t>6. Monitor policy using gender-disaggregated data</w:t>
      </w:r>
    </w:p>
    <w:p w14:paraId="0E6F1C24" w14:textId="77777777" w:rsidR="00EE18FD" w:rsidRPr="00B85068" w:rsidRDefault="00EE18FD" w:rsidP="00EE18FD">
      <w:pPr>
        <w:spacing w:after="120" w:line="480" w:lineRule="auto"/>
        <w:ind w:firstLine="720"/>
        <w:rPr>
          <w:lang w:val="en-US"/>
        </w:rPr>
      </w:pPr>
      <w:r>
        <w:rPr>
          <w:lang w:val="en-US"/>
        </w:rPr>
        <w:t>Consistent with the approach employed in this study, the three</w:t>
      </w:r>
      <w:r w:rsidRPr="00B85068">
        <w:rPr>
          <w:lang w:val="en-US"/>
        </w:rPr>
        <w:t xml:space="preserve"> </w:t>
      </w:r>
      <w:r>
        <w:rPr>
          <w:lang w:val="en-US"/>
        </w:rPr>
        <w:t>recovery plans</w:t>
      </w:r>
      <w:r w:rsidRPr="00B85068">
        <w:rPr>
          <w:lang w:val="en-US"/>
        </w:rPr>
        <w:t xml:space="preserve"> </w:t>
      </w:r>
      <w:r>
        <w:rPr>
          <w:lang w:val="en-US"/>
        </w:rPr>
        <w:t xml:space="preserve">called for more </w:t>
      </w:r>
      <w:r w:rsidRPr="00B85068">
        <w:rPr>
          <w:lang w:val="en-US"/>
        </w:rPr>
        <w:t xml:space="preserve">gender disaggregated data, including “intersectional social identities” (C2). To guide data collection and reporting, </w:t>
      </w:r>
      <w:r>
        <w:rPr>
          <w:lang w:val="en-US"/>
        </w:rPr>
        <w:t xml:space="preserve">several </w:t>
      </w:r>
      <w:r w:rsidRPr="00B85068">
        <w:t xml:space="preserve">commissions </w:t>
      </w:r>
      <w:r>
        <w:t>and</w:t>
      </w:r>
      <w:r w:rsidRPr="00B85068">
        <w:t xml:space="preserve"> advisory bodies</w:t>
      </w:r>
      <w:r>
        <w:t xml:space="preserve"> were referenced</w:t>
      </w:r>
      <w:r w:rsidRPr="00B85068">
        <w:t>. C1 cited state obligations to Native Hawaiians</w:t>
      </w:r>
      <w:r>
        <w:t xml:space="preserve"> (known as the Kanaka </w:t>
      </w:r>
      <w:proofErr w:type="spellStart"/>
      <w:r>
        <w:t>Maoli</w:t>
      </w:r>
      <w:proofErr w:type="spellEnd"/>
      <w:r>
        <w:t>)</w:t>
      </w:r>
      <w:r w:rsidRPr="00B85068">
        <w:t xml:space="preserve"> (</w:t>
      </w:r>
      <w:r w:rsidRPr="006F1BD4">
        <w:rPr>
          <w:i/>
          <w:iCs/>
        </w:rPr>
        <w:t xml:space="preserve">Public </w:t>
      </w:r>
      <w:r>
        <w:rPr>
          <w:i/>
          <w:iCs/>
        </w:rPr>
        <w:t>l</w:t>
      </w:r>
      <w:r w:rsidRPr="006F1BD4">
        <w:rPr>
          <w:i/>
          <w:iCs/>
        </w:rPr>
        <w:t xml:space="preserve">and </w:t>
      </w:r>
      <w:r>
        <w:rPr>
          <w:i/>
          <w:iCs/>
        </w:rPr>
        <w:t>t</w:t>
      </w:r>
      <w:r w:rsidRPr="006F1BD4">
        <w:rPr>
          <w:i/>
          <w:iCs/>
        </w:rPr>
        <w:t xml:space="preserve">rust </w:t>
      </w:r>
      <w:r>
        <w:rPr>
          <w:i/>
          <w:iCs/>
        </w:rPr>
        <w:t>r</w:t>
      </w:r>
      <w:r w:rsidRPr="006F1BD4">
        <w:rPr>
          <w:i/>
          <w:iCs/>
        </w:rPr>
        <w:t xml:space="preserve">evenue </w:t>
      </w:r>
      <w:r>
        <w:rPr>
          <w:i/>
          <w:iCs/>
        </w:rPr>
        <w:t>g</w:t>
      </w:r>
      <w:r w:rsidRPr="006F1BD4">
        <w:rPr>
          <w:i/>
          <w:iCs/>
        </w:rPr>
        <w:t>uidelines</w:t>
      </w:r>
      <w:r w:rsidRPr="00B85068">
        <w:t xml:space="preserve">). C2 cited obligations under </w:t>
      </w:r>
      <w:r w:rsidRPr="00B85068">
        <w:rPr>
          <w:i/>
        </w:rPr>
        <w:t xml:space="preserve">Truth and </w:t>
      </w:r>
      <w:r>
        <w:rPr>
          <w:i/>
        </w:rPr>
        <w:t>r</w:t>
      </w:r>
      <w:r w:rsidRPr="00B85068">
        <w:rPr>
          <w:i/>
        </w:rPr>
        <w:t xml:space="preserve">econciliation </w:t>
      </w:r>
      <w:r>
        <w:rPr>
          <w:i/>
        </w:rPr>
        <w:t>c</w:t>
      </w:r>
      <w:r w:rsidRPr="00B85068">
        <w:rPr>
          <w:i/>
        </w:rPr>
        <w:t>ommission</w:t>
      </w:r>
      <w:r>
        <w:rPr>
          <w:i/>
        </w:rPr>
        <w:t xml:space="preserve"> </w:t>
      </w:r>
      <w:r w:rsidRPr="00B85068">
        <w:rPr>
          <w:i/>
        </w:rPr>
        <w:t>of Canada</w:t>
      </w:r>
      <w:r>
        <w:t>:</w:t>
      </w:r>
      <w:r w:rsidRPr="00B85068">
        <w:rPr>
          <w:i/>
        </w:rPr>
        <w:t xml:space="preserve"> Calls to </w:t>
      </w:r>
      <w:r>
        <w:rPr>
          <w:i/>
        </w:rPr>
        <w:t>a</w:t>
      </w:r>
      <w:r w:rsidRPr="00B85068">
        <w:rPr>
          <w:i/>
        </w:rPr>
        <w:t>ction</w:t>
      </w:r>
      <w:r>
        <w:t xml:space="preserve"> </w:t>
      </w:r>
      <w:r w:rsidRPr="005E7B6D">
        <w:t>(2015)</w:t>
      </w:r>
      <w:r>
        <w:t xml:space="preserve"> a</w:t>
      </w:r>
      <w:r w:rsidRPr="00B85068">
        <w:t>nd UN assertions of colonisation and genocide.</w:t>
      </w:r>
      <w:r>
        <w:rPr>
          <w:rStyle w:val="EndnoteReference"/>
        </w:rPr>
        <w:t xml:space="preserve"> </w:t>
      </w:r>
      <w:r w:rsidRPr="00B85068">
        <w:t xml:space="preserve"> C3 cited the </w:t>
      </w:r>
      <w:r w:rsidRPr="00B85068">
        <w:rPr>
          <w:i/>
        </w:rPr>
        <w:t>Truth and Reconciliation Commission of Canada. Calls to Action</w:t>
      </w:r>
      <w:r w:rsidRPr="00B85068">
        <w:t xml:space="preserve"> and the </w:t>
      </w:r>
      <w:r w:rsidRPr="00B85068">
        <w:rPr>
          <w:i/>
        </w:rPr>
        <w:t xml:space="preserve">United Nations </w:t>
      </w:r>
      <w:r>
        <w:rPr>
          <w:i/>
        </w:rPr>
        <w:t>d</w:t>
      </w:r>
      <w:r w:rsidRPr="00B85068">
        <w:rPr>
          <w:i/>
        </w:rPr>
        <w:t xml:space="preserve">eclaration on the </w:t>
      </w:r>
      <w:r>
        <w:rPr>
          <w:i/>
        </w:rPr>
        <w:t>r</w:t>
      </w:r>
      <w:r w:rsidRPr="00B85068">
        <w:rPr>
          <w:i/>
        </w:rPr>
        <w:t>ights</w:t>
      </w:r>
      <w:r>
        <w:rPr>
          <w:i/>
        </w:rPr>
        <w:t xml:space="preserve"> </w:t>
      </w:r>
      <w:r w:rsidRPr="00B85068">
        <w:rPr>
          <w:i/>
        </w:rPr>
        <w:t xml:space="preserve">of Indigenous </w:t>
      </w:r>
      <w:r>
        <w:rPr>
          <w:i/>
        </w:rPr>
        <w:t>P</w:t>
      </w:r>
      <w:r w:rsidRPr="00B85068">
        <w:rPr>
          <w:i/>
        </w:rPr>
        <w:t>eople</w:t>
      </w:r>
      <w:r w:rsidRPr="00B85068">
        <w:t xml:space="preserve"> (UNDRIP).  </w:t>
      </w:r>
      <w:r w:rsidRPr="00B85068">
        <w:rPr>
          <w:lang w:val="en-US"/>
        </w:rPr>
        <w:t xml:space="preserve"> </w:t>
      </w:r>
    </w:p>
    <w:p w14:paraId="57974E12" w14:textId="77777777" w:rsidR="00EE18FD" w:rsidRPr="00B85068" w:rsidRDefault="00EE18FD" w:rsidP="00EE18FD">
      <w:pPr>
        <w:pStyle w:val="Heading2"/>
      </w:pPr>
      <w:r w:rsidRPr="005F4854">
        <w:t xml:space="preserve">Parameter </w:t>
      </w:r>
      <w:r w:rsidRPr="00B85068">
        <w:t>7. Construct coherent policy frameworks</w:t>
      </w:r>
    </w:p>
    <w:p w14:paraId="629ADCD5" w14:textId="77777777" w:rsidR="00EE18FD" w:rsidRPr="00B85068" w:rsidRDefault="00EE18FD" w:rsidP="00745795">
      <w:pPr>
        <w:spacing w:line="480" w:lineRule="auto"/>
        <w:ind w:firstLine="360"/>
        <w:rPr>
          <w:lang w:val="en-US"/>
        </w:rPr>
      </w:pPr>
      <w:r>
        <w:rPr>
          <w:lang w:val="en-US"/>
        </w:rPr>
        <w:t xml:space="preserve">Feminist recovery </w:t>
      </w:r>
      <w:r w:rsidRPr="00B85068">
        <w:rPr>
          <w:lang w:val="en-US"/>
        </w:rPr>
        <w:t xml:space="preserve">recommendations incorporated education, health, ecology, health, childcare, employment insurance, sick days and </w:t>
      </w:r>
      <w:r w:rsidRPr="00745795">
        <w:t>family</w:t>
      </w:r>
      <w:r w:rsidRPr="00B85068">
        <w:rPr>
          <w:lang w:val="en-US"/>
        </w:rPr>
        <w:t xml:space="preserve"> leave, and skills development and training. No reference was made to </w:t>
      </w:r>
      <w:r>
        <w:rPr>
          <w:lang w:val="en-US"/>
        </w:rPr>
        <w:t>international assistance or</w:t>
      </w:r>
      <w:r w:rsidRPr="00B85068">
        <w:rPr>
          <w:lang w:val="en-US"/>
        </w:rPr>
        <w:t xml:space="preserve"> foreign </w:t>
      </w:r>
      <w:r>
        <w:rPr>
          <w:lang w:val="en-US"/>
        </w:rPr>
        <w:t xml:space="preserve">trade </w:t>
      </w:r>
      <w:r w:rsidRPr="00B85068">
        <w:rPr>
          <w:lang w:val="en-US"/>
        </w:rPr>
        <w:t>polic</w:t>
      </w:r>
      <w:r>
        <w:rPr>
          <w:lang w:val="en-US"/>
        </w:rPr>
        <w:t>ies</w:t>
      </w:r>
      <w:r w:rsidRPr="00B85068">
        <w:rPr>
          <w:lang w:val="en-US"/>
        </w:rPr>
        <w:t xml:space="preserve">. </w:t>
      </w:r>
    </w:p>
    <w:p w14:paraId="6A16BE7A" w14:textId="77777777" w:rsidR="00EE18FD" w:rsidRPr="00B85068" w:rsidRDefault="00EE18FD" w:rsidP="00EE18FD">
      <w:pPr>
        <w:pStyle w:val="Heading2"/>
      </w:pPr>
      <w:r w:rsidRPr="005F4854">
        <w:t xml:space="preserve">Parameter </w:t>
      </w:r>
      <w:r w:rsidRPr="00B85068">
        <w:t>8. Facilitate change as a collective process</w:t>
      </w:r>
    </w:p>
    <w:p w14:paraId="05964C21" w14:textId="77777777" w:rsidR="00EE18FD" w:rsidRPr="00B85068" w:rsidRDefault="00EE18FD" w:rsidP="00EE18FD">
      <w:pPr>
        <w:spacing w:after="120" w:line="480" w:lineRule="auto"/>
        <w:ind w:firstLine="720"/>
      </w:pPr>
      <w:r w:rsidRPr="00B85068">
        <w:lastRenderedPageBreak/>
        <w:t>Lack of consultation with marginal</w:t>
      </w:r>
      <w:r>
        <w:t>ize</w:t>
      </w:r>
      <w:r w:rsidRPr="00B85068">
        <w:t xml:space="preserve">d and disadvantaged groups in the provision of early COVID-19 relief measures was </w:t>
      </w:r>
      <w:r>
        <w:t>described</w:t>
      </w:r>
      <w:r w:rsidRPr="00B85068">
        <w:t xml:space="preserve"> as inequitable and discriminatory. </w:t>
      </w:r>
      <w:r>
        <w:t>C1 called for gender balance in economic recovery task forces and need to establish a Gender Advisory Council.</w:t>
      </w:r>
    </w:p>
    <w:p w14:paraId="71F3407D" w14:textId="77777777" w:rsidR="00EE18FD" w:rsidRPr="00B85068" w:rsidRDefault="00EE18FD" w:rsidP="00EE18FD">
      <w:pPr>
        <w:pStyle w:val="Heading2"/>
      </w:pPr>
      <w:r w:rsidRPr="005F4854">
        <w:t xml:space="preserve">Parameter </w:t>
      </w:r>
      <w:r w:rsidRPr="00B85068">
        <w:t>9. Leverage feminist, gender, women’s enterprise policy expertise</w:t>
      </w:r>
    </w:p>
    <w:p w14:paraId="1BFDE596" w14:textId="77777777" w:rsidR="00EE18FD" w:rsidRPr="00B85068" w:rsidRDefault="00EE18FD" w:rsidP="00EE18FD">
      <w:pPr>
        <w:spacing w:after="120" w:line="480" w:lineRule="auto"/>
        <w:ind w:firstLine="720"/>
      </w:pPr>
      <w:r w:rsidRPr="00B85068">
        <w:t>Legitimacy to speak on behalf of</w:t>
      </w:r>
      <w:r>
        <w:t xml:space="preserve"> women</w:t>
      </w:r>
      <w:r w:rsidRPr="00B85068">
        <w:t xml:space="preserve"> was signalled in </w:t>
      </w:r>
      <w:r>
        <w:t xml:space="preserve">the </w:t>
      </w:r>
      <w:r w:rsidRPr="00B85068">
        <w:t xml:space="preserve">description of </w:t>
      </w:r>
      <w:r>
        <w:t xml:space="preserve">the </w:t>
      </w:r>
      <w:r w:rsidRPr="00B85068">
        <w:t>consolation process</w:t>
      </w:r>
      <w:r>
        <w:t xml:space="preserve">es, the </w:t>
      </w:r>
      <w:r w:rsidRPr="00B85068">
        <w:t xml:space="preserve">size and scope of </w:t>
      </w:r>
      <w:r>
        <w:t xml:space="preserve">the </w:t>
      </w:r>
      <w:r w:rsidRPr="00B85068">
        <w:t>commissioning agenc</w:t>
      </w:r>
      <w:r>
        <w:t xml:space="preserve">y (e.g., C2: </w:t>
      </w:r>
      <w:r w:rsidRPr="00B85068">
        <w:t>YWCA and University of Toronto</w:t>
      </w:r>
      <w:r>
        <w:t>,</w:t>
      </w:r>
      <w:r w:rsidRPr="00B85068">
        <w:t xml:space="preserve"> </w:t>
      </w:r>
      <w:r>
        <w:t xml:space="preserve">Institute for </w:t>
      </w:r>
      <w:r w:rsidRPr="00B85068">
        <w:t>Gender and the Economy</w:t>
      </w:r>
      <w:r>
        <w:t xml:space="preserve">) and </w:t>
      </w:r>
      <w:r w:rsidRPr="00B85068">
        <w:t>list</w:t>
      </w:r>
      <w:r>
        <w:t xml:space="preserve">s </w:t>
      </w:r>
      <w:r w:rsidRPr="00B85068">
        <w:t>of contribut</w:t>
      </w:r>
      <w:r>
        <w:t>ors</w:t>
      </w:r>
      <w:r w:rsidRPr="00B85068">
        <w:t xml:space="preserve"> (C3). </w:t>
      </w:r>
      <w:r>
        <w:t xml:space="preserve">Investment recommendations targeted </w:t>
      </w:r>
      <w:r w:rsidRPr="00B85068">
        <w:t>organisations that advance gender equity, intersectional feminism, women’s rights, gender-based violence, child</w:t>
      </w:r>
      <w:r>
        <w:t>/elder</w:t>
      </w:r>
      <w:r w:rsidRPr="00B85068">
        <w:t xml:space="preserve">care, and </w:t>
      </w:r>
      <w:r>
        <w:t xml:space="preserve">mental and maternal </w:t>
      </w:r>
      <w:r w:rsidRPr="00B85068">
        <w:t>health care</w:t>
      </w:r>
      <w:r>
        <w:t>.</w:t>
      </w:r>
      <w:r w:rsidRPr="00B85068">
        <w:t xml:space="preserve"> </w:t>
      </w:r>
    </w:p>
    <w:p w14:paraId="765D6DCD" w14:textId="77777777" w:rsidR="00EE18FD" w:rsidRPr="00B85068" w:rsidRDefault="00EE18FD" w:rsidP="00EE18FD">
      <w:pPr>
        <w:pStyle w:val="Heading2"/>
      </w:pPr>
      <w:r w:rsidRPr="005F4854">
        <w:t xml:space="preserve">Parameter </w:t>
      </w:r>
      <w:r w:rsidRPr="00B85068">
        <w:t>10. Create mechanisms for women to be change agents</w:t>
      </w:r>
    </w:p>
    <w:p w14:paraId="794A4828" w14:textId="77777777" w:rsidR="00EE18FD" w:rsidRDefault="00EE18FD" w:rsidP="00EE18FD">
      <w:pPr>
        <w:spacing w:after="120" w:line="480" w:lineRule="auto"/>
        <w:ind w:firstLine="720"/>
      </w:pPr>
      <w:r w:rsidRPr="00B85068">
        <w:t xml:space="preserve">Enhancing </w:t>
      </w:r>
      <w:r w:rsidRPr="00B85068">
        <w:rPr>
          <w:i/>
        </w:rPr>
        <w:t>economic security</w:t>
      </w:r>
      <w:r w:rsidRPr="00B85068">
        <w:t xml:space="preserve"> </w:t>
      </w:r>
      <w:r>
        <w:t>was associated with</w:t>
      </w:r>
      <w:r w:rsidRPr="00B85068">
        <w:t xml:space="preserve"> access to unemploymen</w:t>
      </w:r>
      <w:r>
        <w:t xml:space="preserve">t relief </w:t>
      </w:r>
      <w:r w:rsidRPr="00B85068">
        <w:t xml:space="preserve">benefits, </w:t>
      </w:r>
      <w:r>
        <w:t>credentialization of newcomers and migrant workers,</w:t>
      </w:r>
      <w:r w:rsidRPr="00B85068">
        <w:t xml:space="preserve"> and tax schemes</w:t>
      </w:r>
      <w:r>
        <w:t xml:space="preserve"> that amortize </w:t>
      </w:r>
      <w:r w:rsidRPr="00B85068">
        <w:t xml:space="preserve">personal and household </w:t>
      </w:r>
      <w:r>
        <w:t>earnings</w:t>
      </w:r>
      <w:r w:rsidRPr="00B85068">
        <w:t xml:space="preserve">. </w:t>
      </w:r>
      <w:r>
        <w:t xml:space="preserve">Recommendations </w:t>
      </w:r>
      <w:r w:rsidRPr="00B85068">
        <w:t>include</w:t>
      </w:r>
      <w:r>
        <w:t>d</w:t>
      </w:r>
      <w:r w:rsidRPr="00B85068">
        <w:t xml:space="preserve"> lowering employment insurance eligibility</w:t>
      </w:r>
      <w:r>
        <w:t xml:space="preserve"> criteria</w:t>
      </w:r>
      <w:r w:rsidRPr="00B85068">
        <w:t xml:space="preserve">, job protection for disabled workers, increasing minimum wage rates, recognition of migrants’ foreign credentials, and employment benefits, such as paid sick days and family leave. </w:t>
      </w:r>
      <w:r>
        <w:t>T</w:t>
      </w:r>
      <w:r w:rsidRPr="00B85068">
        <w:t xml:space="preserve">ax </w:t>
      </w:r>
      <w:r>
        <w:t>regulations</w:t>
      </w:r>
      <w:r w:rsidRPr="00B85068">
        <w:t xml:space="preserve"> </w:t>
      </w:r>
      <w:r>
        <w:t>focused on the</w:t>
      </w:r>
      <w:r w:rsidRPr="00B85068">
        <w:t xml:space="preserve"> </w:t>
      </w:r>
      <w:r>
        <w:t xml:space="preserve">need to </w:t>
      </w:r>
      <w:r w:rsidRPr="00B85068">
        <w:t>adjust</w:t>
      </w:r>
      <w:r>
        <w:t xml:space="preserve"> </w:t>
      </w:r>
      <w:r w:rsidRPr="00B85068">
        <w:t xml:space="preserve">after-tax </w:t>
      </w:r>
      <w:r>
        <w:t>earnings, as tax schedules were</w:t>
      </w:r>
      <w:r w:rsidRPr="00B85068">
        <w:t xml:space="preserve"> </w:t>
      </w:r>
      <w:r>
        <w:t>deemed</w:t>
      </w:r>
      <w:r w:rsidRPr="00B85068">
        <w:t xml:space="preserve"> </w:t>
      </w:r>
      <w:r>
        <w:t xml:space="preserve">to be </w:t>
      </w:r>
      <w:r w:rsidRPr="00B85068">
        <w:t>discriminatory to women</w:t>
      </w:r>
      <w:r>
        <w:t xml:space="preserve"> and</w:t>
      </w:r>
      <w:r w:rsidRPr="00B85068">
        <w:t xml:space="preserve"> </w:t>
      </w:r>
      <w:r>
        <w:t xml:space="preserve">particularly, </w:t>
      </w:r>
      <w:r w:rsidRPr="00B85068">
        <w:t xml:space="preserve">low-income </w:t>
      </w:r>
      <w:r>
        <w:t xml:space="preserve">earners (e.g., </w:t>
      </w:r>
      <w:r w:rsidRPr="00B85068">
        <w:t>restructur</w:t>
      </w:r>
      <w:r>
        <w:t>ing</w:t>
      </w:r>
      <w:r w:rsidRPr="00B85068">
        <w:t xml:space="preserve"> tax rates to </w:t>
      </w:r>
      <w:r>
        <w:t xml:space="preserve">adjust for </w:t>
      </w:r>
      <w:r w:rsidRPr="00B85068">
        <w:t>after-tax income “for all but the richest 10%” (</w:t>
      </w:r>
      <w:r>
        <w:t xml:space="preserve">C2, </w:t>
      </w:r>
      <w:r w:rsidRPr="00B85068">
        <w:t>p. 10</w:t>
      </w:r>
      <w:r>
        <w:t>)</w:t>
      </w:r>
      <w:r w:rsidRPr="00B85068">
        <w:t xml:space="preserve">). </w:t>
      </w:r>
    </w:p>
    <w:p w14:paraId="31BF1BF2" w14:textId="77777777" w:rsidR="00EE18FD" w:rsidRPr="00B85068" w:rsidRDefault="00EE18FD" w:rsidP="00EE18FD">
      <w:pPr>
        <w:spacing w:after="120" w:line="480" w:lineRule="auto"/>
        <w:ind w:firstLine="720"/>
      </w:pPr>
      <w:r>
        <w:lastRenderedPageBreak/>
        <w:t>All three feminist recovery plans emphasized</w:t>
      </w:r>
      <w:r w:rsidRPr="00B85068">
        <w:t xml:space="preserve"> </w:t>
      </w:r>
      <w:r>
        <w:t xml:space="preserve">business and </w:t>
      </w:r>
      <w:r w:rsidRPr="00B85068">
        <w:t>market exchange</w:t>
      </w:r>
      <w:r>
        <w:t xml:space="preserve"> models</w:t>
      </w:r>
      <w:r w:rsidRPr="00B85068">
        <w:t xml:space="preserve"> predicated on social </w:t>
      </w:r>
      <w:r w:rsidRPr="007E2DA0">
        <w:t>value</w:t>
      </w:r>
      <w:r>
        <w:t xml:space="preserve">, such as </w:t>
      </w:r>
      <w:r w:rsidRPr="00B85068">
        <w:t>cooperative</w:t>
      </w:r>
      <w:r>
        <w:t>s</w:t>
      </w:r>
      <w:r w:rsidRPr="00B85068">
        <w:t xml:space="preserve">, social </w:t>
      </w:r>
      <w:r>
        <w:t xml:space="preserve">value </w:t>
      </w:r>
      <w:r w:rsidRPr="00B85068">
        <w:t>enterpr</w:t>
      </w:r>
      <w:r>
        <w:t>ises</w:t>
      </w:r>
      <w:r w:rsidRPr="00B85068">
        <w:t xml:space="preserve">, non-profits, </w:t>
      </w:r>
      <w:r>
        <w:t xml:space="preserve">and </w:t>
      </w:r>
      <w:r w:rsidRPr="00B85068">
        <w:t>hybrid enterprises</w:t>
      </w:r>
      <w:r>
        <w:t>. C1 (State of Hawai’i, 2020) recommended</w:t>
      </w:r>
      <w:r w:rsidRPr="00B85068">
        <w:t xml:space="preserve"> </w:t>
      </w:r>
      <w:r>
        <w:t>that</w:t>
      </w:r>
      <w:r w:rsidRPr="00B85068">
        <w:t xml:space="preserve"> displaced workers </w:t>
      </w:r>
      <w:r>
        <w:t xml:space="preserve">be reemployed </w:t>
      </w:r>
      <w:r w:rsidRPr="00B85068">
        <w:t>in “worker-owned cooperatives and other methods to share income generated more equitably”</w:t>
      </w:r>
      <w:r>
        <w:t xml:space="preserve"> (</w:t>
      </w:r>
      <w:r w:rsidRPr="00B85068">
        <w:t xml:space="preserve">p. 3). C2 </w:t>
      </w:r>
      <w:r>
        <w:t>recommended</w:t>
      </w:r>
      <w:r w:rsidRPr="00B85068">
        <w:t xml:space="preserve"> funding to</w:t>
      </w:r>
      <w:r>
        <w:t>:</w:t>
      </w:r>
      <w:r w:rsidRPr="00B85068">
        <w:t xml:space="preserve"> </w:t>
      </w:r>
      <w:r>
        <w:t xml:space="preserve">(a) </w:t>
      </w:r>
      <w:r w:rsidRPr="00B85068">
        <w:t>increase awareness of cooperative business models</w:t>
      </w:r>
      <w:r>
        <w:t xml:space="preserve">; (b) </w:t>
      </w:r>
      <w:r w:rsidRPr="00B85068">
        <w:t xml:space="preserve">create tools to convert businesses </w:t>
      </w:r>
      <w:r>
        <w:t xml:space="preserve">[assumed </w:t>
      </w:r>
      <w:r w:rsidRPr="00B85068">
        <w:t>for-profit</w:t>
      </w:r>
      <w:r>
        <w:t xml:space="preserve">] </w:t>
      </w:r>
      <w:r w:rsidRPr="00B85068">
        <w:t>to cooperatives</w:t>
      </w:r>
      <w:r>
        <w:t>;</w:t>
      </w:r>
      <w:r w:rsidRPr="00B85068">
        <w:t xml:space="preserve"> and (c) empower the Business Development Bank of Canada</w:t>
      </w:r>
      <w:r>
        <w:t xml:space="preserve"> [a </w:t>
      </w:r>
      <w:r w:rsidRPr="00B85068">
        <w:t>crown corporation</w:t>
      </w:r>
      <w:r>
        <w:t xml:space="preserve"> focusing on SMEs] </w:t>
      </w:r>
      <w:r w:rsidRPr="00B85068">
        <w:t>to “support co-operative conversions” (p. 24).</w:t>
      </w:r>
      <w:r>
        <w:t xml:space="preserve"> </w:t>
      </w:r>
      <w:r w:rsidRPr="00B85068">
        <w:t xml:space="preserve">C3 </w:t>
      </w:r>
      <w:r>
        <w:t>recommended investment in</w:t>
      </w:r>
      <w:r w:rsidRPr="00B85068">
        <w:t xml:space="preserve"> self-entrepreneurship</w:t>
      </w:r>
      <w:r>
        <w:t>,</w:t>
      </w:r>
      <w:r w:rsidRPr="00B85068">
        <w:t xml:space="preserve"> </w:t>
      </w:r>
      <w:r>
        <w:t>“</w:t>
      </w:r>
      <w:r w:rsidRPr="00B85068">
        <w:t>social entrepreneurs</w:t>
      </w:r>
      <w:r>
        <w:t>,”</w:t>
      </w:r>
      <w:r w:rsidRPr="00B85068">
        <w:t xml:space="preserve"> </w:t>
      </w:r>
      <w:r>
        <w:t xml:space="preserve">and </w:t>
      </w:r>
      <w:r w:rsidRPr="00B85068">
        <w:t>cooperative</w:t>
      </w:r>
      <w:r>
        <w:t xml:space="preserve"> </w:t>
      </w:r>
      <w:r w:rsidRPr="00B85068">
        <w:t>enterprises.</w:t>
      </w:r>
      <w:r w:rsidRPr="00B85068" w:rsidDel="006404E4">
        <w:t xml:space="preserve"> </w:t>
      </w:r>
    </w:p>
    <w:p w14:paraId="0B9FDEAC" w14:textId="77777777" w:rsidR="00EE18FD" w:rsidRPr="00B85068" w:rsidRDefault="00EE18FD" w:rsidP="00EE18FD">
      <w:pPr>
        <w:pStyle w:val="Heading1"/>
      </w:pPr>
      <w:r>
        <w:t>4.</w:t>
      </w:r>
      <w:r>
        <w:tab/>
        <w:t xml:space="preserve">Discussion of findings  </w:t>
      </w:r>
    </w:p>
    <w:p w14:paraId="0F2E121A" w14:textId="77777777" w:rsidR="00EE18FD" w:rsidRDefault="00EE18FD" w:rsidP="00EE18FD">
      <w:pPr>
        <w:spacing w:after="120" w:line="480" w:lineRule="auto"/>
        <w:ind w:firstLine="360"/>
      </w:pPr>
      <w:r>
        <w:rPr>
          <w:lang w:eastAsia="ja-JP"/>
        </w:rPr>
        <w:t>T</w:t>
      </w:r>
      <w:r w:rsidRPr="00B85068">
        <w:t>he</w:t>
      </w:r>
      <w:r>
        <w:t xml:space="preserve"> qualitative step of this research identifies gaps</w:t>
      </w:r>
      <w:r w:rsidRPr="00B85068">
        <w:t xml:space="preserve"> between the</w:t>
      </w:r>
      <w:r>
        <w:t xml:space="preserve"> parameters of entrepreneurial feminism advanced in this study and policy priorities cited in the recovery plans</w:t>
      </w:r>
      <w:r w:rsidRPr="008C07BE">
        <w:t xml:space="preserve">. Interestingly, </w:t>
      </w:r>
      <w:r>
        <w:t xml:space="preserve">while </w:t>
      </w:r>
      <w:r w:rsidRPr="008C07BE">
        <w:t>all</w:t>
      </w:r>
      <w:r>
        <w:t xml:space="preserve"> three feminist </w:t>
      </w:r>
      <w:r w:rsidRPr="008C07BE">
        <w:t>recovery plans emphas</w:t>
      </w:r>
      <w:r>
        <w:t>ize</w:t>
      </w:r>
      <w:r w:rsidRPr="008C07BE">
        <w:t>d economic and social security within paid employment</w:t>
      </w:r>
      <w:r>
        <w:t>, f</w:t>
      </w:r>
      <w:r w:rsidRPr="008C07BE">
        <w:t>ew</w:t>
      </w:r>
      <w:r>
        <w:t xml:space="preserve"> policy </w:t>
      </w:r>
      <w:r w:rsidRPr="00B85068">
        <w:t xml:space="preserve">recommendations </w:t>
      </w:r>
      <w:r>
        <w:t xml:space="preserve">sought to address loss of </w:t>
      </w:r>
      <w:r w:rsidRPr="00B85068">
        <w:t>self-employment</w:t>
      </w:r>
      <w:r>
        <w:t xml:space="preserve"> earnings, particularly among women who own for-profit enterprises. Parameters of entrepreneurial feminism aligned</w:t>
      </w:r>
      <w:r w:rsidRPr="00B85068">
        <w:t xml:space="preserve"> with self-employment </w:t>
      </w:r>
      <w:r>
        <w:t xml:space="preserve">status </w:t>
      </w:r>
      <w:r w:rsidRPr="00B85068">
        <w:t xml:space="preserve">received </w:t>
      </w:r>
      <w:r>
        <w:t xml:space="preserve">nominal </w:t>
      </w:r>
      <w:r w:rsidRPr="00B85068">
        <w:t>focus</w:t>
      </w:r>
      <w:r>
        <w:t xml:space="preserve">, including: acknowledging gendered processes within venture creation, innovation, engineering, and R&amp;D, and occupational stereotypes that impact opportunity recognition and enterprise performance </w:t>
      </w:r>
      <w:r w:rsidRPr="009109F6">
        <w:t>(Brush et al., 2009)</w:t>
      </w:r>
      <w:r>
        <w:t>; employing inclusive definitions of innovation, honoring innovations important to women and women’s innovative contributions; and c</w:t>
      </w:r>
      <w:r w:rsidRPr="00855D04">
        <w:t>onstruct</w:t>
      </w:r>
      <w:r>
        <w:t>ing</w:t>
      </w:r>
      <w:r w:rsidRPr="00855D04">
        <w:t xml:space="preserve"> coherent and integrated policy frameworks across all domains that impact women-identified entrepreneurs, including</w:t>
      </w:r>
      <w:r>
        <w:t>:</w:t>
      </w:r>
      <w:r w:rsidRPr="00855D04">
        <w:t xml:space="preserve"> small business</w:t>
      </w:r>
      <w:r>
        <w:t>;</w:t>
      </w:r>
      <w:r w:rsidRPr="00855D04">
        <w:t xml:space="preserve"> innovation</w:t>
      </w:r>
      <w:r>
        <w:t>;</w:t>
      </w:r>
      <w:r w:rsidRPr="00855D04">
        <w:t xml:space="preserve"> trade</w:t>
      </w:r>
      <w:r>
        <w:t xml:space="preserve">; </w:t>
      </w:r>
      <w:r w:rsidRPr="00855D04">
        <w:t>income protection</w:t>
      </w:r>
      <w:r>
        <w:t>;</w:t>
      </w:r>
      <w:r w:rsidRPr="00855D04">
        <w:t xml:space="preserve"> healthcare</w:t>
      </w:r>
      <w:r>
        <w:t>;</w:t>
      </w:r>
      <w:r w:rsidRPr="00855D04">
        <w:t xml:space="preserve"> gender-based </w:t>
      </w:r>
      <w:r w:rsidRPr="00855D04">
        <w:lastRenderedPageBreak/>
        <w:t>violence</w:t>
      </w:r>
      <w:r>
        <w:t>;</w:t>
      </w:r>
      <w:r w:rsidRPr="00855D04">
        <w:t xml:space="preserve"> financial and digital literacy</w:t>
      </w:r>
      <w:r>
        <w:t>;</w:t>
      </w:r>
      <w:r w:rsidRPr="00855D04">
        <w:t xml:space="preserve"> procurement</w:t>
      </w:r>
      <w:r>
        <w:t>;</w:t>
      </w:r>
      <w:r w:rsidRPr="00855D04">
        <w:t xml:space="preserve"> and caregiving.</w:t>
      </w:r>
      <w:r>
        <w:t xml:space="preserve"> O</w:t>
      </w:r>
      <w:r w:rsidRPr="00B85068">
        <w:t>nly one recovery plan (C2)</w:t>
      </w:r>
      <w:r>
        <w:t xml:space="preserve"> </w:t>
      </w:r>
      <w:r w:rsidRPr="00B85068">
        <w:t xml:space="preserve">included a section </w:t>
      </w:r>
      <w:r>
        <w:t>titled “</w:t>
      </w:r>
      <w:r w:rsidRPr="00B85068">
        <w:t xml:space="preserve">Bolstering </w:t>
      </w:r>
      <w:r>
        <w:t>s</w:t>
      </w:r>
      <w:r w:rsidRPr="00B85068">
        <w:t xml:space="preserve">mall </w:t>
      </w:r>
      <w:r>
        <w:t>b</w:t>
      </w:r>
      <w:r w:rsidRPr="00B85068">
        <w:t>usiness</w:t>
      </w:r>
      <w:r>
        <w:t xml:space="preserve">.” </w:t>
      </w:r>
      <w:r>
        <w:rPr>
          <w:lang w:eastAsia="ja-JP"/>
        </w:rPr>
        <w:t>While the recovery plans emphasized historically marginalized groups of entrepreneurs, few recommendations focused on established SMEs. It was not made clear how the needs of communities of women differ (e.g., immigrant, Indigenous women, and women who are Black).</w:t>
      </w:r>
      <w:r>
        <w:t xml:space="preserve"> </w:t>
      </w:r>
    </w:p>
    <w:p w14:paraId="757929F6" w14:textId="77777777" w:rsidR="00EE18FD" w:rsidRDefault="00EE18FD" w:rsidP="00EE18FD">
      <w:pPr>
        <w:spacing w:after="120" w:line="480" w:lineRule="auto"/>
        <w:ind w:firstLine="720"/>
      </w:pPr>
      <w:r>
        <w:t xml:space="preserve">The </w:t>
      </w:r>
      <w:r w:rsidRPr="00B85068">
        <w:t xml:space="preserve">dearth of </w:t>
      </w:r>
      <w:r>
        <w:t xml:space="preserve">measures for </w:t>
      </w:r>
      <w:r w:rsidRPr="00B85068">
        <w:t xml:space="preserve">self-employed </w:t>
      </w:r>
      <w:r>
        <w:t>women</w:t>
      </w:r>
      <w:r w:rsidRPr="00B85068">
        <w:t xml:space="preserve"> </w:t>
      </w:r>
      <w:r>
        <w:t xml:space="preserve">in the feminist recovery plans </w:t>
      </w:r>
      <w:r w:rsidRPr="00B85068">
        <w:t xml:space="preserve">may </w:t>
      </w:r>
      <w:r>
        <w:t>be a product</w:t>
      </w:r>
      <w:r w:rsidRPr="00B85068">
        <w:t xml:space="preserve"> of </w:t>
      </w:r>
      <w:r>
        <w:t>the consultations process as there appeared to be limited engagement with for-profit women small business owners or leaders of women’s</w:t>
      </w:r>
      <w:r w:rsidRPr="00B85068">
        <w:t xml:space="preserve"> enterprise </w:t>
      </w:r>
      <w:r>
        <w:t xml:space="preserve">support </w:t>
      </w:r>
      <w:r w:rsidRPr="00B85068">
        <w:t>organi</w:t>
      </w:r>
      <w:r>
        <w:t>z</w:t>
      </w:r>
      <w:r w:rsidRPr="00B85068">
        <w:t xml:space="preserve">ations. </w:t>
      </w:r>
      <w:r>
        <w:rPr>
          <w:lang w:eastAsia="ja-JP"/>
        </w:rPr>
        <w:t>A</w:t>
      </w:r>
      <w:r>
        <w:t xml:space="preserve">bsence </w:t>
      </w:r>
      <w:r w:rsidRPr="00B85068">
        <w:t xml:space="preserve">may reflect </w:t>
      </w:r>
      <w:r>
        <w:t xml:space="preserve">perceptions about </w:t>
      </w:r>
      <w:r w:rsidRPr="00B85068">
        <w:t>capitalism</w:t>
      </w:r>
      <w:r>
        <w:t xml:space="preserve"> as a mechanism that undermines gender equality</w:t>
      </w:r>
      <w:r w:rsidRPr="00B85068">
        <w:t>. C1 illustrates th</w:t>
      </w:r>
      <w:r>
        <w:t>is</w:t>
      </w:r>
      <w:r w:rsidRPr="00B85068">
        <w:t xml:space="preserve"> </w:t>
      </w:r>
      <w:r>
        <w:t>point:</w:t>
      </w:r>
      <w:r w:rsidRPr="00B85068">
        <w:t xml:space="preserve"> “Social capital of interpersonal relationships, a shared sense of identity, a shared understanding, shared norms, shared values, trust, cooperation, and reciprocity must form the heart of our new economic system </w:t>
      </w:r>
      <w:r w:rsidRPr="0023622B">
        <w:t>beyond capitalism</w:t>
      </w:r>
      <w:r w:rsidRPr="00B85068">
        <w:t xml:space="preserve">.” </w:t>
      </w:r>
      <w:r>
        <w:t xml:space="preserve">It may be that feminist collectives are unfamiliar with entrepreneurial feminism or that feminist policies are an emergent area of expertise. As such, recommendations about </w:t>
      </w:r>
      <w:r w:rsidRPr="00107C63">
        <w:rPr>
          <w:i/>
        </w:rPr>
        <w:t>how</w:t>
      </w:r>
      <w:r>
        <w:t xml:space="preserve"> recovery policies can support women entrepreneurs were weak. These observations provide further evidence that diverse </w:t>
      </w:r>
      <w:r w:rsidRPr="00F46EBE">
        <w:t xml:space="preserve">women </w:t>
      </w:r>
      <w:r>
        <w:t xml:space="preserve">entrepreneurs </w:t>
      </w:r>
      <w:r w:rsidRPr="00F46EBE">
        <w:t xml:space="preserve">need a seat at </w:t>
      </w:r>
      <w:r w:rsidRPr="00EF6E30">
        <w:rPr>
          <w:i/>
        </w:rPr>
        <w:t>all</w:t>
      </w:r>
      <w:r w:rsidRPr="00F46EBE">
        <w:t xml:space="preserve"> table</w:t>
      </w:r>
      <w:r>
        <w:t>s</w:t>
      </w:r>
      <w:r w:rsidRPr="00F46EBE">
        <w:t xml:space="preserve"> when formulating SME </w:t>
      </w:r>
      <w:r>
        <w:t xml:space="preserve">recovery and other </w:t>
      </w:r>
      <w:r w:rsidRPr="00F46EBE">
        <w:t xml:space="preserve">entrepreneurship policies.  </w:t>
      </w:r>
      <w:r>
        <w:t xml:space="preserve"> </w:t>
      </w:r>
    </w:p>
    <w:p w14:paraId="444BBD40" w14:textId="77777777" w:rsidR="00EE18FD" w:rsidRDefault="00EE18FD" w:rsidP="00EE18FD">
      <w:pPr>
        <w:spacing w:after="120" w:line="480" w:lineRule="auto"/>
        <w:ind w:firstLine="357"/>
      </w:pPr>
      <w:r>
        <w:t xml:space="preserve">It appears that </w:t>
      </w:r>
      <w:r w:rsidRPr="00CE44FD">
        <w:rPr>
          <w:i/>
          <w:lang w:eastAsia="ja-JP"/>
        </w:rPr>
        <w:t>social value models</w:t>
      </w:r>
      <w:r w:rsidRPr="00B85068">
        <w:rPr>
          <w:lang w:eastAsia="ja-JP"/>
        </w:rPr>
        <w:t xml:space="preserve"> of enterprise </w:t>
      </w:r>
      <w:r w:rsidRPr="00CE44FD">
        <w:rPr>
          <w:lang w:eastAsia="ja-JP"/>
        </w:rPr>
        <w:t xml:space="preserve">are </w:t>
      </w:r>
      <w:r>
        <w:rPr>
          <w:lang w:eastAsia="ja-JP"/>
        </w:rPr>
        <w:t>the</w:t>
      </w:r>
      <w:r w:rsidRPr="00CE44FD">
        <w:rPr>
          <w:lang w:eastAsia="ja-JP"/>
        </w:rPr>
        <w:t xml:space="preserve"> de facto </w:t>
      </w:r>
      <w:r>
        <w:rPr>
          <w:lang w:eastAsia="ja-JP"/>
        </w:rPr>
        <w:t>model of entrepreneurship within the feminist recovery plans. O</w:t>
      </w:r>
      <w:r w:rsidRPr="00B85068">
        <w:t xml:space="preserve">mission </w:t>
      </w:r>
      <w:r>
        <w:t xml:space="preserve">of policy recommendations to support for-profit women-owned SMEs and self-employed women </w:t>
      </w:r>
      <w:r w:rsidRPr="00B85068">
        <w:t>is not</w:t>
      </w:r>
      <w:r>
        <w:t xml:space="preserve"> </w:t>
      </w:r>
      <w:r w:rsidRPr="00B85068">
        <w:t>without consequence</w:t>
      </w:r>
      <w:r>
        <w:t xml:space="preserve">. The absence of policy recommendations </w:t>
      </w:r>
      <w:r w:rsidRPr="00B85068">
        <w:t xml:space="preserve">overlooks </w:t>
      </w:r>
      <w:r>
        <w:t>a large</w:t>
      </w:r>
      <w:r w:rsidRPr="00B85068">
        <w:t xml:space="preserve"> </w:t>
      </w:r>
      <w:r>
        <w:t>cadre of women who are affected by the pandemic.</w:t>
      </w:r>
      <w:r>
        <w:rPr>
          <w:rStyle w:val="EndnoteReference"/>
        </w:rPr>
        <w:t xml:space="preserve"> </w:t>
      </w:r>
      <w:r>
        <w:t xml:space="preserve">Policy focus to encourage business start-up and the </w:t>
      </w:r>
      <w:r w:rsidRPr="00B85068">
        <w:t>transform</w:t>
      </w:r>
      <w:r>
        <w:t xml:space="preserve">ation of for-profit </w:t>
      </w:r>
      <w:r w:rsidRPr="00B85068">
        <w:t xml:space="preserve">to cooperative </w:t>
      </w:r>
      <w:r>
        <w:t xml:space="preserve">or </w:t>
      </w:r>
      <w:r>
        <w:lastRenderedPageBreak/>
        <w:t xml:space="preserve">social enterprises is worthy of consultation. </w:t>
      </w:r>
      <w:r>
        <w:rPr>
          <w:lang w:eastAsia="ja-JP"/>
        </w:rPr>
        <w:t xml:space="preserve">Such directives </w:t>
      </w:r>
      <w:r>
        <w:t xml:space="preserve">fail to recognize </w:t>
      </w:r>
      <w:r w:rsidRPr="00B85068">
        <w:t>the precarious nature of start-up</w:t>
      </w:r>
      <w:r>
        <w:t>s, particularly among vulnerable groups of people. Research also finds that individuals</w:t>
      </w:r>
      <w:r w:rsidRPr="00B85068">
        <w:t xml:space="preserve"> with prosocial</w:t>
      </w:r>
      <w:r>
        <w:t xml:space="preserve"> </w:t>
      </w:r>
      <w:r w:rsidRPr="00B85068">
        <w:t xml:space="preserve">motivations are less likely to </w:t>
      </w:r>
      <w:r>
        <w:t xml:space="preserve">evolve their ideas </w:t>
      </w:r>
      <w:r w:rsidRPr="00B85068">
        <w:t xml:space="preserve">to </w:t>
      </w:r>
      <w:r>
        <w:t xml:space="preserve">operational </w:t>
      </w:r>
      <w:r w:rsidRPr="00B85068">
        <w:t>status compared to conventional</w:t>
      </w:r>
      <w:r>
        <w:t>,</w:t>
      </w:r>
      <w:r w:rsidRPr="00B85068">
        <w:t xml:space="preserve"> </w:t>
      </w:r>
      <w:r>
        <w:t xml:space="preserve">for-profit </w:t>
      </w:r>
      <w:r w:rsidRPr="00B85068">
        <w:t>entrepreneurs (</w:t>
      </w:r>
      <w:proofErr w:type="spellStart"/>
      <w:r w:rsidRPr="00B85068">
        <w:t>Renko</w:t>
      </w:r>
      <w:proofErr w:type="spellEnd"/>
      <w:r w:rsidRPr="00B85068">
        <w:t xml:space="preserve">, 2012). </w:t>
      </w:r>
      <w:r>
        <w:t>E</w:t>
      </w:r>
      <w:r w:rsidRPr="001761D8">
        <w:t>ncourag</w:t>
      </w:r>
      <w:r>
        <w:t>ing</w:t>
      </w:r>
      <w:r w:rsidRPr="001761D8">
        <w:t xml:space="preserve"> women to transform from for-profit to non-profit ventures</w:t>
      </w:r>
      <w:r>
        <w:t xml:space="preserve"> is inconsistent with arguments that </w:t>
      </w:r>
      <w:r w:rsidRPr="001761D8">
        <w:t>criticize</w:t>
      </w:r>
      <w:r>
        <w:t xml:space="preserve"> the ‘</w:t>
      </w:r>
      <w:r w:rsidRPr="001761D8">
        <w:t>warehousing</w:t>
      </w:r>
      <w:r>
        <w:t>’ of</w:t>
      </w:r>
      <w:r w:rsidRPr="001761D8">
        <w:t xml:space="preserve"> women in non-profit and social sectors while leaving the for-profit sector</w:t>
      </w:r>
      <w:r>
        <w:t>s</w:t>
      </w:r>
      <w:r w:rsidRPr="001761D8">
        <w:t xml:space="preserve"> to men. Th</w:t>
      </w:r>
      <w:r>
        <w:t>e</w:t>
      </w:r>
      <w:r w:rsidRPr="001761D8">
        <w:t xml:space="preserve"> approach leads to lower levels of influence and economic empowerment for women.</w:t>
      </w:r>
      <w:r>
        <w:t xml:space="preserve"> As such, caution is warranted in driving recovery through measures predicated on increasing the number of self-employed women or investing in social enterprises without advisement about the liabilities of newness and rates of discontinuance or bankruptcy due to the pandemic.</w:t>
      </w:r>
      <w:r>
        <w:rPr>
          <w:lang w:eastAsia="ja-JP"/>
        </w:rPr>
        <w:t xml:space="preserve"> SME r</w:t>
      </w:r>
      <w:r>
        <w:t>ecovery policies must also be sensitive to program qualifying criteria (e.g., size of firm), and types of enterprise (e.g., inclusion of both social value and for-profit).</w:t>
      </w:r>
    </w:p>
    <w:p w14:paraId="28A815E5" w14:textId="77777777" w:rsidR="00EE18FD" w:rsidRDefault="00EE18FD" w:rsidP="00EE18FD">
      <w:pPr>
        <w:spacing w:after="120" w:line="480" w:lineRule="auto"/>
        <w:ind w:firstLine="360"/>
      </w:pPr>
      <w:r>
        <w:rPr>
          <w:lang w:eastAsia="ja-JP"/>
        </w:rPr>
        <w:t xml:space="preserve">Given the low engagement of women compared to men in innovation intermediaries, it is not surprising that all three </w:t>
      </w:r>
      <w:r w:rsidRPr="00B85068">
        <w:rPr>
          <w:lang w:eastAsia="ja-JP"/>
        </w:rPr>
        <w:t xml:space="preserve">recovery </w:t>
      </w:r>
      <w:r>
        <w:rPr>
          <w:lang w:eastAsia="ja-JP"/>
        </w:rPr>
        <w:t xml:space="preserve">plans called for targeted funding to </w:t>
      </w:r>
      <w:r w:rsidRPr="00B85068">
        <w:rPr>
          <w:lang w:eastAsia="ja-JP"/>
        </w:rPr>
        <w:t>women-</w:t>
      </w:r>
      <w:r w:rsidRPr="00B85068">
        <w:t>focused</w:t>
      </w:r>
      <w:r w:rsidRPr="00B85068">
        <w:rPr>
          <w:lang w:eastAsia="ja-JP"/>
        </w:rPr>
        <w:t xml:space="preserve"> </w:t>
      </w:r>
      <w:r>
        <w:rPr>
          <w:lang w:eastAsia="ja-JP"/>
        </w:rPr>
        <w:t xml:space="preserve">enterprise </w:t>
      </w:r>
      <w:r w:rsidRPr="00B85068">
        <w:rPr>
          <w:lang w:eastAsia="ja-JP"/>
        </w:rPr>
        <w:t>organi</w:t>
      </w:r>
      <w:r>
        <w:rPr>
          <w:lang w:eastAsia="ja-JP"/>
        </w:rPr>
        <w:t>z</w:t>
      </w:r>
      <w:r w:rsidRPr="00B85068">
        <w:rPr>
          <w:lang w:eastAsia="ja-JP"/>
        </w:rPr>
        <w:t>ation</w:t>
      </w:r>
      <w:r>
        <w:rPr>
          <w:lang w:eastAsia="ja-JP"/>
        </w:rPr>
        <w:t xml:space="preserve">s. The recovery plans also cited need to </w:t>
      </w:r>
      <w:r w:rsidRPr="00B85068">
        <w:rPr>
          <w:lang w:eastAsia="ja-JP"/>
        </w:rPr>
        <w:t xml:space="preserve">account for historic devaluation of caregiving </w:t>
      </w:r>
      <w:r>
        <w:rPr>
          <w:lang w:eastAsia="ja-JP"/>
        </w:rPr>
        <w:t>through the</w:t>
      </w:r>
      <w:r w:rsidRPr="00B85068">
        <w:rPr>
          <w:lang w:eastAsia="ja-JP"/>
        </w:rPr>
        <w:t xml:space="preserve"> </w:t>
      </w:r>
      <w:r>
        <w:rPr>
          <w:lang w:eastAsia="ja-JP"/>
        </w:rPr>
        <w:t xml:space="preserve">provision for quality and affordable daycare, eldercare, sick days, and maternal healthcare. Recommendations </w:t>
      </w:r>
      <w:r>
        <w:t xml:space="preserve">to </w:t>
      </w:r>
      <w:r w:rsidRPr="00B85068">
        <w:t xml:space="preserve">embed </w:t>
      </w:r>
      <w:r w:rsidRPr="008853ED">
        <w:rPr>
          <w:i/>
        </w:rPr>
        <w:t>motherhood</w:t>
      </w:r>
      <w:r w:rsidRPr="00B85068">
        <w:t xml:space="preserve"> (e.g., maternal, neonatal healthcare); </w:t>
      </w:r>
      <w:r w:rsidRPr="008853ED">
        <w:rPr>
          <w:i/>
        </w:rPr>
        <w:t>parenting</w:t>
      </w:r>
      <w:r w:rsidRPr="00B85068">
        <w:t xml:space="preserve"> (e.g., leave, home schooling); and </w:t>
      </w:r>
      <w:r w:rsidRPr="008853ED">
        <w:rPr>
          <w:i/>
        </w:rPr>
        <w:t>family</w:t>
      </w:r>
      <w:r w:rsidRPr="00B85068">
        <w:t xml:space="preserve"> (e.g., </w:t>
      </w:r>
      <w:r>
        <w:t xml:space="preserve">child, </w:t>
      </w:r>
      <w:r w:rsidRPr="00B85068">
        <w:t xml:space="preserve">eldercare) </w:t>
      </w:r>
      <w:r>
        <w:t xml:space="preserve">mirror recommendations advanced by </w:t>
      </w:r>
      <w:r>
        <w:rPr>
          <w:lang w:eastAsia="ja-JP"/>
        </w:rPr>
        <w:t>UN Women (2020), UN WE Empower (2020), and W20 (2020) and earlier by scholars (</w:t>
      </w:r>
      <w:r w:rsidRPr="0011121B">
        <w:t xml:space="preserve">Bird </w:t>
      </w:r>
      <w:r>
        <w:t xml:space="preserve">&amp; </w:t>
      </w:r>
      <w:r w:rsidRPr="0011121B">
        <w:t>Brush</w:t>
      </w:r>
      <w:r>
        <w:t xml:space="preserve">, </w:t>
      </w:r>
      <w:r w:rsidRPr="0011121B">
        <w:t>2002</w:t>
      </w:r>
      <w:r>
        <w:t xml:space="preserve">; </w:t>
      </w:r>
      <w:r w:rsidRPr="00B85068">
        <w:t xml:space="preserve">Aldrich </w:t>
      </w:r>
      <w:r>
        <w:t xml:space="preserve">&amp; </w:t>
      </w:r>
      <w:r w:rsidRPr="00B85068">
        <w:t>Cliff</w:t>
      </w:r>
      <w:r>
        <w:t>,</w:t>
      </w:r>
      <w:r w:rsidRPr="00B85068">
        <w:t xml:space="preserve"> 2003</w:t>
      </w:r>
      <w:r>
        <w:t xml:space="preserve">; </w:t>
      </w:r>
      <w:r w:rsidRPr="0011121B">
        <w:t>Brush et al., 2009, 2010</w:t>
      </w:r>
      <w:r>
        <w:t>)</w:t>
      </w:r>
      <w:r w:rsidRPr="0011121B">
        <w:t xml:space="preserve">. </w:t>
      </w:r>
      <w:r>
        <w:t xml:space="preserve">These recommendations align with the literature that identifies domestic responsibilities facing women entrepreneurs during the </w:t>
      </w:r>
      <w:r w:rsidRPr="00BB2862">
        <w:t>pandemic (</w:t>
      </w:r>
      <w:proofErr w:type="spellStart"/>
      <w:r w:rsidRPr="00BB2862">
        <w:t>Manolova</w:t>
      </w:r>
      <w:proofErr w:type="spellEnd"/>
      <w:r w:rsidRPr="00BB2862">
        <w:t xml:space="preserve">  et al., 2020).</w:t>
      </w:r>
    </w:p>
    <w:p w14:paraId="535CBD45" w14:textId="77777777" w:rsidR="00EE18FD" w:rsidRDefault="00EE18FD" w:rsidP="00EE18FD">
      <w:pPr>
        <w:spacing w:after="120" w:line="480" w:lineRule="auto"/>
        <w:ind w:firstLine="357"/>
      </w:pPr>
      <w:r>
        <w:lastRenderedPageBreak/>
        <w:t>The regional c</w:t>
      </w:r>
      <w:r w:rsidRPr="00B85068">
        <w:t>ontext</w:t>
      </w:r>
      <w:r>
        <w:t>s</w:t>
      </w:r>
      <w:r w:rsidRPr="00B85068">
        <w:t xml:space="preserve"> </w:t>
      </w:r>
      <w:r>
        <w:t>of entrepreneurship (</w:t>
      </w:r>
      <w:r w:rsidRPr="00B85068">
        <w:t>Welter</w:t>
      </w:r>
      <w:r>
        <w:t xml:space="preserve">, </w:t>
      </w:r>
      <w:r w:rsidRPr="00B85068">
        <w:t>2011)</w:t>
      </w:r>
      <w:r>
        <w:t xml:space="preserve">, including sector, </w:t>
      </w:r>
      <w:r w:rsidRPr="00B85068">
        <w:t>temporal</w:t>
      </w:r>
      <w:r>
        <w:t xml:space="preserve">, </w:t>
      </w:r>
      <w:r w:rsidRPr="00B85068">
        <w:t>historical (e.g., coloni</w:t>
      </w:r>
      <w:r>
        <w:t>z</w:t>
      </w:r>
      <w:r w:rsidRPr="00B85068">
        <w:t xml:space="preserve">ation) and regulatory </w:t>
      </w:r>
      <w:r>
        <w:t xml:space="preserve">influences were evidenced within each plan. </w:t>
      </w:r>
      <w:r w:rsidRPr="00B85068">
        <w:t>C1 (State of Hawai</w:t>
      </w:r>
      <w:r>
        <w:t>’</w:t>
      </w:r>
      <w:r w:rsidRPr="00B85068">
        <w:t>i)</w:t>
      </w:r>
      <w:r>
        <w:t xml:space="preserve"> emphasized</w:t>
      </w:r>
      <w:r w:rsidRPr="00B85068">
        <w:t xml:space="preserve"> </w:t>
      </w:r>
      <w:r>
        <w:t>the presence of</w:t>
      </w:r>
      <w:r w:rsidRPr="00B85068">
        <w:t xml:space="preserve"> military, tourism, and luxury real estate</w:t>
      </w:r>
      <w:r>
        <w:t xml:space="preserve">, and </w:t>
      </w:r>
      <w:r w:rsidRPr="00B85068">
        <w:t xml:space="preserve">access to </w:t>
      </w:r>
      <w:r>
        <w:t xml:space="preserve">affordable </w:t>
      </w:r>
      <w:r w:rsidRPr="00B85068">
        <w:t>healthcare (e.g., midwifery, maternal</w:t>
      </w:r>
      <w:r>
        <w:t>,</w:t>
      </w:r>
      <w:r w:rsidRPr="00B85068">
        <w:t xml:space="preserve"> and neo-natal). C3 emphas</w:t>
      </w:r>
      <w:r>
        <w:t>ize</w:t>
      </w:r>
      <w:r w:rsidRPr="00B85068">
        <w:t xml:space="preserve">d energy and trade, </w:t>
      </w:r>
      <w:r>
        <w:t>leading sectors in</w:t>
      </w:r>
      <w:r w:rsidRPr="00B85068">
        <w:t xml:space="preserve"> Western Canada. </w:t>
      </w:r>
      <w:r>
        <w:t xml:space="preserve">C2 referenced </w:t>
      </w:r>
      <w:r w:rsidRPr="0021344E">
        <w:t>Indigenous Services Canada</w:t>
      </w:r>
      <w:r>
        <w:t xml:space="preserve"> water advisories notifications on </w:t>
      </w:r>
      <w:r w:rsidRPr="0021344E">
        <w:t xml:space="preserve">Indigenous reserves, </w:t>
      </w:r>
      <w:r>
        <w:t>noting issues of sanitation</w:t>
      </w:r>
      <w:r w:rsidRPr="0021344E">
        <w:t xml:space="preserve"> </w:t>
      </w:r>
      <w:r>
        <w:t xml:space="preserve">and </w:t>
      </w:r>
      <w:r w:rsidRPr="0021344E">
        <w:t xml:space="preserve">housing insecurity </w:t>
      </w:r>
      <w:r>
        <w:t>that have become particularly acute during the pandemic. F</w:t>
      </w:r>
      <w:r w:rsidRPr="00B85068">
        <w:t xml:space="preserve">ew references </w:t>
      </w:r>
      <w:r>
        <w:t xml:space="preserve">were made to </w:t>
      </w:r>
      <w:r w:rsidRPr="00B85068">
        <w:t>healthcare in C2 and C</w:t>
      </w:r>
      <w:r>
        <w:t>3 compared to C1, likely</w:t>
      </w:r>
      <w:r w:rsidRPr="00B85068">
        <w:t xml:space="preserve"> </w:t>
      </w:r>
      <w:r>
        <w:t xml:space="preserve">a function of </w:t>
      </w:r>
      <w:r w:rsidRPr="00B85068">
        <w:t xml:space="preserve">universal healthcare </w:t>
      </w:r>
      <w:r>
        <w:t>in Canada</w:t>
      </w:r>
      <w:r w:rsidRPr="00B85068">
        <w:t>.</w:t>
      </w:r>
    </w:p>
    <w:p w14:paraId="27D5DA0F" w14:textId="77777777" w:rsidR="00EE18FD" w:rsidRPr="00E85974" w:rsidRDefault="00EE18FD" w:rsidP="00EE18FD">
      <w:pPr>
        <w:spacing w:after="120" w:line="480" w:lineRule="auto"/>
        <w:ind w:firstLine="720"/>
        <w:rPr>
          <w:rFonts w:eastAsia="Arial Unicode MS"/>
        </w:rPr>
      </w:pPr>
      <w:r>
        <w:rPr>
          <w:lang w:eastAsia="ja-JP"/>
        </w:rPr>
        <w:t xml:space="preserve">The analysis presented evidence that </w:t>
      </w:r>
      <w:r w:rsidRPr="00B85068">
        <w:rPr>
          <w:lang w:val="en-US"/>
        </w:rPr>
        <w:t xml:space="preserve">information sharing </w:t>
      </w:r>
      <w:r>
        <w:rPr>
          <w:lang w:val="en-US"/>
        </w:rPr>
        <w:t xml:space="preserve">is needed to </w:t>
      </w:r>
      <w:r w:rsidRPr="00B85068">
        <w:rPr>
          <w:lang w:val="en-US"/>
        </w:rPr>
        <w:t xml:space="preserve">increase solidarity, clarify policy jurisdictions and enhance </w:t>
      </w:r>
      <w:r>
        <w:rPr>
          <w:lang w:val="en-US"/>
        </w:rPr>
        <w:t>understanding</w:t>
      </w:r>
      <w:r w:rsidRPr="00B85068">
        <w:rPr>
          <w:lang w:val="en-US"/>
        </w:rPr>
        <w:t xml:space="preserve"> </w:t>
      </w:r>
      <w:r>
        <w:rPr>
          <w:lang w:val="en-US"/>
        </w:rPr>
        <w:t xml:space="preserve">about the roles and contributions of stakeholders within </w:t>
      </w:r>
      <w:r w:rsidRPr="00B85068">
        <w:rPr>
          <w:lang w:val="en-US"/>
        </w:rPr>
        <w:t>entrepreneurial ecosystem</w:t>
      </w:r>
      <w:r>
        <w:rPr>
          <w:lang w:val="en-US"/>
        </w:rPr>
        <w:t>s</w:t>
      </w:r>
      <w:r>
        <w:rPr>
          <w:rFonts w:eastAsia="Arial Unicode MS"/>
        </w:rPr>
        <w:t xml:space="preserve">. </w:t>
      </w:r>
      <w:r>
        <w:rPr>
          <w:lang w:val="en-US"/>
        </w:rPr>
        <w:t>I</w:t>
      </w:r>
      <w:r w:rsidRPr="00B85068">
        <w:rPr>
          <w:lang w:val="en-US"/>
        </w:rPr>
        <w:t xml:space="preserve">deological differences that </w:t>
      </w:r>
      <w:r>
        <w:rPr>
          <w:lang w:val="en-US"/>
        </w:rPr>
        <w:t xml:space="preserve">reflect </w:t>
      </w:r>
      <w:r w:rsidRPr="00B85068">
        <w:rPr>
          <w:lang w:val="en-US"/>
        </w:rPr>
        <w:t>legitimacy to speak on behalf of</w:t>
      </w:r>
      <w:r>
        <w:rPr>
          <w:lang w:val="en-US"/>
        </w:rPr>
        <w:t xml:space="preserve"> </w:t>
      </w:r>
      <w:r w:rsidRPr="00B85068">
        <w:rPr>
          <w:lang w:val="en-US"/>
        </w:rPr>
        <w:t>women</w:t>
      </w:r>
      <w:r>
        <w:rPr>
          <w:lang w:val="en-US"/>
        </w:rPr>
        <w:t xml:space="preserve"> entrepreneurs were noted</w:t>
      </w:r>
      <w:r w:rsidRPr="00B85068">
        <w:rPr>
          <w:lang w:val="en-US"/>
        </w:rPr>
        <w:t>.</w:t>
      </w:r>
      <w:r w:rsidRPr="00B85068">
        <w:rPr>
          <w:lang w:eastAsia="ja-JP"/>
        </w:rPr>
        <w:t xml:space="preserve"> </w:t>
      </w:r>
      <w:r>
        <w:t xml:space="preserve">Collectively, insights drawn from the </w:t>
      </w:r>
      <w:r w:rsidRPr="000335E7">
        <w:t xml:space="preserve">entrepreneurship literature and qualitative content analysis inform the </w:t>
      </w:r>
      <w:r w:rsidRPr="000335E7">
        <w:rPr>
          <w:lang w:val="en-US"/>
        </w:rPr>
        <w:t>conceptualization of a Feminist entrepreneurship policy framework.</w:t>
      </w:r>
      <w:r>
        <w:rPr>
          <w:lang w:val="en-US"/>
        </w:rPr>
        <w:t xml:space="preserve">  </w:t>
      </w:r>
    </w:p>
    <w:p w14:paraId="521B2AB2" w14:textId="77777777" w:rsidR="00EE18FD" w:rsidRPr="004C45DB" w:rsidRDefault="00EE18FD" w:rsidP="00EE18FD">
      <w:pPr>
        <w:pStyle w:val="Heading1"/>
      </w:pPr>
      <w:r>
        <w:t>4.1</w:t>
      </w:r>
      <w:r>
        <w:tab/>
      </w:r>
      <w:r w:rsidRPr="000335E7">
        <w:rPr>
          <w:i/>
        </w:rPr>
        <w:t>Feminist entrepreneurship policy framework</w:t>
      </w:r>
    </w:p>
    <w:p w14:paraId="7741BFCF" w14:textId="77777777" w:rsidR="00EE18FD" w:rsidRDefault="00EE18FD" w:rsidP="00EE18FD">
      <w:pPr>
        <w:spacing w:after="120" w:line="480" w:lineRule="auto"/>
        <w:ind w:firstLine="720"/>
        <w:rPr>
          <w:lang w:val="en-US"/>
        </w:rPr>
      </w:pPr>
      <w:r>
        <w:rPr>
          <w:lang w:val="en-US"/>
        </w:rPr>
        <w:t>The</w:t>
      </w:r>
      <w:r w:rsidRPr="004B19E3">
        <w:rPr>
          <w:lang w:val="en-US"/>
        </w:rPr>
        <w:t xml:space="preserve"> </w:t>
      </w:r>
      <w:r>
        <w:rPr>
          <w:rFonts w:cs="Courier New"/>
        </w:rPr>
        <w:t>f</w:t>
      </w:r>
      <w:r w:rsidRPr="00B85068">
        <w:rPr>
          <w:rFonts w:cs="Courier New"/>
        </w:rPr>
        <w:t xml:space="preserve">eminist </w:t>
      </w:r>
      <w:r>
        <w:rPr>
          <w:rFonts w:cs="Courier New"/>
        </w:rPr>
        <w:t>entrepreneurship p</w:t>
      </w:r>
      <w:r w:rsidRPr="00B85068">
        <w:rPr>
          <w:rFonts w:cs="Courier New"/>
        </w:rPr>
        <w:t xml:space="preserve">olicy </w:t>
      </w:r>
      <w:r>
        <w:rPr>
          <w:rFonts w:cs="Courier New"/>
        </w:rPr>
        <w:t>f</w:t>
      </w:r>
      <w:r w:rsidRPr="00B85068">
        <w:rPr>
          <w:rFonts w:cs="Courier New"/>
        </w:rPr>
        <w:t>ramework</w:t>
      </w:r>
      <w:r w:rsidRPr="004B19E3">
        <w:rPr>
          <w:lang w:val="en-US"/>
        </w:rPr>
        <w:t xml:space="preserve"> </w:t>
      </w:r>
      <w:r>
        <w:rPr>
          <w:lang w:val="en-US"/>
        </w:rPr>
        <w:t>(</w:t>
      </w:r>
      <w:r w:rsidRPr="004B19E3">
        <w:rPr>
          <w:lang w:val="en-US"/>
        </w:rPr>
        <w:t>Figure 1</w:t>
      </w:r>
      <w:r>
        <w:rPr>
          <w:lang w:val="en-US"/>
        </w:rPr>
        <w:t xml:space="preserve">) integrates insights advanced in this study to </w:t>
      </w:r>
      <w:r w:rsidRPr="00260F1A">
        <w:rPr>
          <w:lang w:val="en-US"/>
        </w:rPr>
        <w:t xml:space="preserve">inform gender-responsive SME recovery. Aligned with the UN </w:t>
      </w:r>
      <w:r>
        <w:rPr>
          <w:lang w:val="en-US"/>
        </w:rPr>
        <w:t xml:space="preserve">Women </w:t>
      </w:r>
      <w:r w:rsidRPr="00260F1A">
        <w:rPr>
          <w:lang w:val="en-US"/>
        </w:rPr>
        <w:t>(2020) recommendation to position women’s economic lives at the center of recovery interventions, framework recogni</w:t>
      </w:r>
      <w:r>
        <w:rPr>
          <w:lang w:val="en-US"/>
        </w:rPr>
        <w:t>z</w:t>
      </w:r>
      <w:r w:rsidRPr="00260F1A">
        <w:rPr>
          <w:lang w:val="en-US"/>
        </w:rPr>
        <w:t>es overlapping identity factors that constrain women. The parameters that demarcate entrepreneurial</w:t>
      </w:r>
      <w:r>
        <w:rPr>
          <w:lang w:val="en-US"/>
        </w:rPr>
        <w:t xml:space="preserve"> feminist policies are incorporated. Illustrative SME recovery measures are listed. Social, economic, material, and perceptual outcomes are also identified. Aligned with entrepreneurial feminism, prioritized measures include provision to increase access to economic </w:t>
      </w:r>
      <w:r>
        <w:rPr>
          <w:lang w:val="en-US"/>
        </w:rPr>
        <w:lastRenderedPageBreak/>
        <w:t xml:space="preserve">resources (such as, financial capital, Internet, and ICT software), facilitate access to markets via trade promotion, strategic SME contracting, and investment to strengthen knowledge about the gendered nature of venture. Provisions to support care work acknowledges the </w:t>
      </w:r>
      <w:r w:rsidRPr="00A60376">
        <w:rPr>
          <w:lang w:val="en-US"/>
        </w:rPr>
        <w:t xml:space="preserve">association </w:t>
      </w:r>
      <w:r>
        <w:rPr>
          <w:lang w:val="en-US"/>
        </w:rPr>
        <w:t>among</w:t>
      </w:r>
      <w:r w:rsidRPr="00A60376">
        <w:rPr>
          <w:lang w:val="en-US"/>
        </w:rPr>
        <w:t xml:space="preserve"> </w:t>
      </w:r>
      <w:r>
        <w:rPr>
          <w:lang w:val="en-US"/>
        </w:rPr>
        <w:t xml:space="preserve">well-being, </w:t>
      </w:r>
      <w:r w:rsidRPr="00A60376">
        <w:rPr>
          <w:lang w:val="en-US"/>
        </w:rPr>
        <w:t xml:space="preserve">business performance and access to </w:t>
      </w:r>
      <w:r>
        <w:rPr>
          <w:lang w:val="en-US"/>
        </w:rPr>
        <w:t xml:space="preserve">education, </w:t>
      </w:r>
      <w:r w:rsidRPr="00A60376">
        <w:rPr>
          <w:lang w:val="en-US"/>
        </w:rPr>
        <w:t>healthcare and child/eldercare.</w:t>
      </w:r>
      <w:r>
        <w:rPr>
          <w:lang w:val="en-US"/>
        </w:rPr>
        <w:t xml:space="preserve"> Investment priorities target women-focused and feminist centers, networks, accelerators, and incubators.</w:t>
      </w:r>
      <w:r w:rsidRPr="00FC7143">
        <w:rPr>
          <w:lang w:val="en-US"/>
        </w:rPr>
        <w:t xml:space="preserve"> </w:t>
      </w:r>
    </w:p>
    <w:p w14:paraId="30685D8A" w14:textId="77777777" w:rsidR="00EE18FD" w:rsidRDefault="00EE18FD" w:rsidP="00EE18FD">
      <w:pPr>
        <w:spacing w:after="120" w:line="480" w:lineRule="auto"/>
        <w:ind w:firstLine="720"/>
        <w:rPr>
          <w:lang w:val="en-US"/>
        </w:rPr>
      </w:pPr>
      <w:r>
        <w:rPr>
          <w:lang w:val="en-US"/>
        </w:rPr>
        <w:t xml:space="preserve">The purpose of the framework is to guide the process and design of gender-inclusive SME recovery measures. The framework can also be used to help assess mainstream and women’s enterprise policies and programs, presenting a robust inventory of feminist value-driven SME policy options. The listed options may motivate discussions about opportunities to move beyond recovery measures predicated on ‘entrepreneurship as positive economic activity’ and assumptions of ‘one size fits all’ measures to support diverse women entrepreneurs. </w:t>
      </w:r>
    </w:p>
    <w:p w14:paraId="2ED93BFE" w14:textId="77777777" w:rsidR="00EE18FD" w:rsidRDefault="00EE18FD" w:rsidP="00EE18FD">
      <w:pPr>
        <w:spacing w:after="120" w:line="480" w:lineRule="auto"/>
        <w:ind w:firstLine="720"/>
        <w:rPr>
          <w:lang w:val="en-US"/>
        </w:rPr>
      </w:pPr>
      <w:r w:rsidRPr="00EC160E">
        <w:rPr>
          <w:lang w:val="en-US"/>
        </w:rPr>
        <w:t xml:space="preserve">Boundaries of </w:t>
      </w:r>
      <w:r>
        <w:rPr>
          <w:lang w:val="en-US"/>
        </w:rPr>
        <w:t xml:space="preserve">the conceptual </w:t>
      </w:r>
      <w:r>
        <w:rPr>
          <w:rFonts w:cs="Courier New"/>
        </w:rPr>
        <w:t>framework</w:t>
      </w:r>
      <w:r w:rsidRPr="00EC160E">
        <w:rPr>
          <w:lang w:val="en-US"/>
        </w:rPr>
        <w:t xml:space="preserve"> are notable. </w:t>
      </w:r>
      <w:r>
        <w:rPr>
          <w:lang w:val="en-US"/>
        </w:rPr>
        <w:t xml:space="preserve">While the </w:t>
      </w:r>
      <w:r w:rsidRPr="00EC160E">
        <w:rPr>
          <w:lang w:val="en-US"/>
        </w:rPr>
        <w:t xml:space="preserve">parameters </w:t>
      </w:r>
      <w:r>
        <w:rPr>
          <w:lang w:val="en-US"/>
        </w:rPr>
        <w:t xml:space="preserve">of </w:t>
      </w:r>
      <w:r w:rsidRPr="00846DB5">
        <w:rPr>
          <w:i/>
          <w:lang w:val="en-US"/>
        </w:rPr>
        <w:t>positionality</w:t>
      </w:r>
      <w:r>
        <w:rPr>
          <w:lang w:val="en-US"/>
        </w:rPr>
        <w:t xml:space="preserve"> (r</w:t>
      </w:r>
      <w:r w:rsidRPr="00263A84">
        <w:rPr>
          <w:lang w:val="en-US"/>
        </w:rPr>
        <w:t>ecogni</w:t>
      </w:r>
      <w:r>
        <w:rPr>
          <w:lang w:val="en-US"/>
        </w:rPr>
        <w:t>zing</w:t>
      </w:r>
      <w:r w:rsidRPr="00263A84">
        <w:rPr>
          <w:lang w:val="en-US"/>
        </w:rPr>
        <w:t xml:space="preserve"> gendered contexts of oppression</w:t>
      </w:r>
      <w:r>
        <w:rPr>
          <w:lang w:val="en-US"/>
        </w:rPr>
        <w:t xml:space="preserve">), </w:t>
      </w:r>
      <w:r w:rsidRPr="00846DB5">
        <w:rPr>
          <w:i/>
          <w:lang w:val="en-US"/>
        </w:rPr>
        <w:t>politics</w:t>
      </w:r>
      <w:r>
        <w:rPr>
          <w:lang w:val="en-US"/>
        </w:rPr>
        <w:t xml:space="preserve"> (change through </w:t>
      </w:r>
      <w:r w:rsidRPr="00263A84">
        <w:rPr>
          <w:lang w:val="en-US"/>
        </w:rPr>
        <w:t>deliberate actions to drive policy reform</w:t>
      </w:r>
      <w:r>
        <w:rPr>
          <w:lang w:val="en-US"/>
        </w:rPr>
        <w:t xml:space="preserve">s), and </w:t>
      </w:r>
      <w:r w:rsidRPr="00846DB5">
        <w:rPr>
          <w:i/>
          <w:lang w:val="en-US"/>
        </w:rPr>
        <w:t>praxis</w:t>
      </w:r>
      <w:r>
        <w:rPr>
          <w:lang w:val="en-US"/>
        </w:rPr>
        <w:t xml:space="preserve"> (e</w:t>
      </w:r>
      <w:r w:rsidRPr="00263A84">
        <w:rPr>
          <w:lang w:val="en-US"/>
        </w:rPr>
        <w:t>nacting social change</w:t>
      </w:r>
      <w:r>
        <w:rPr>
          <w:lang w:val="en-US"/>
        </w:rPr>
        <w:t xml:space="preserve">) have universal relevance to </w:t>
      </w:r>
      <w:r w:rsidRPr="00EC160E">
        <w:rPr>
          <w:lang w:val="en-US"/>
        </w:rPr>
        <w:t>the U</w:t>
      </w:r>
      <w:r>
        <w:rPr>
          <w:lang w:val="en-US"/>
        </w:rPr>
        <w:t xml:space="preserve">N </w:t>
      </w:r>
      <w:r w:rsidRPr="00EC160E">
        <w:rPr>
          <w:lang w:val="en-US"/>
        </w:rPr>
        <w:t>(2020) call for gender-responsive policies</w:t>
      </w:r>
      <w:r>
        <w:rPr>
          <w:lang w:val="en-US"/>
        </w:rPr>
        <w:t xml:space="preserve">, prioritization </w:t>
      </w:r>
      <w:r w:rsidRPr="00EC160E">
        <w:rPr>
          <w:lang w:val="en-US"/>
        </w:rPr>
        <w:t xml:space="preserve">of </w:t>
      </w:r>
      <w:r>
        <w:rPr>
          <w:lang w:val="en-US"/>
        </w:rPr>
        <w:t>specific policies or interventions will differ across geo-political and cultural contexts.</w:t>
      </w:r>
      <w:r w:rsidRPr="00EC160E">
        <w:rPr>
          <w:lang w:val="en-US"/>
        </w:rPr>
        <w:t xml:space="preserve"> </w:t>
      </w:r>
      <w:r>
        <w:rPr>
          <w:lang w:val="en-US"/>
        </w:rPr>
        <w:t xml:space="preserve">The profile of historically disadvantaged women differ across countries and between regions. Cultural nuances will also impact recovery investment priorities. For example, the perceived value of publicly funded child and eldercare may differ across cultural context. In some societies, caregiving is viewed as solely a family rather than government responsibility. Types of enterprises and scale of investments will differ, from petty traders who require micro-finance to women who operate SMEs that </w:t>
      </w:r>
      <w:r>
        <w:rPr>
          <w:lang w:val="en-US"/>
        </w:rPr>
        <w:lastRenderedPageBreak/>
        <w:t>require substantial capital. The perceive value of strategic SME procurement likely depends on levels of corruption among procurement officers.</w:t>
      </w:r>
    </w:p>
    <w:p w14:paraId="5EDF5657" w14:textId="77777777" w:rsidR="00EE18FD" w:rsidRDefault="00EE18FD" w:rsidP="00EE18FD">
      <w:pPr>
        <w:spacing w:after="120" w:line="480" w:lineRule="auto"/>
        <w:ind w:firstLine="720"/>
        <w:rPr>
          <w:lang w:val="en-US"/>
        </w:rPr>
      </w:pPr>
      <w:r>
        <w:t xml:space="preserve">To illustrate the relevance of the parameters and conceptual framework, an assessment of Canada’s </w:t>
      </w:r>
      <w:r w:rsidRPr="00B537D6">
        <w:rPr>
          <w:i/>
        </w:rPr>
        <w:t xml:space="preserve">Women </w:t>
      </w:r>
      <w:r>
        <w:rPr>
          <w:i/>
        </w:rPr>
        <w:t>E</w:t>
      </w:r>
      <w:r w:rsidRPr="00B537D6">
        <w:rPr>
          <w:i/>
        </w:rPr>
        <w:t xml:space="preserve">ntrepreneurship </w:t>
      </w:r>
      <w:r>
        <w:rPr>
          <w:i/>
        </w:rPr>
        <w:t>S</w:t>
      </w:r>
      <w:r w:rsidRPr="00B537D6">
        <w:rPr>
          <w:i/>
        </w:rPr>
        <w:t>trategy</w:t>
      </w:r>
      <w:r>
        <w:t xml:space="preserve"> is presented in the appendix [upon peer-review, supplementary materials]. Canada was selected as the government is described as progressive with respect to women’s enterprise policy. </w:t>
      </w:r>
      <w:r>
        <w:rPr>
          <w:color w:val="000000" w:themeColor="text1"/>
          <w:lang w:val="en-US"/>
        </w:rPr>
        <w:t>The structure serves to also illustrate how feminist-driven recovery measures differ from women’s enterprise policies predicated on entrepreneurship as economic growth (</w:t>
      </w:r>
      <w:proofErr w:type="spellStart"/>
      <w:r>
        <w:rPr>
          <w:lang w:val="en-US"/>
        </w:rPr>
        <w:t>Calás</w:t>
      </w:r>
      <w:proofErr w:type="spellEnd"/>
      <w:r w:rsidRPr="00B85068">
        <w:rPr>
          <w:lang w:val="en-US"/>
        </w:rPr>
        <w:t xml:space="preserve">, </w:t>
      </w:r>
      <w:r>
        <w:rPr>
          <w:lang w:val="en-US"/>
        </w:rPr>
        <w:t xml:space="preserve">et al., </w:t>
      </w:r>
      <w:r w:rsidRPr="00B85068">
        <w:rPr>
          <w:lang w:val="en-US"/>
        </w:rPr>
        <w:t>2007</w:t>
      </w:r>
      <w:r>
        <w:rPr>
          <w:lang w:val="en-US"/>
        </w:rPr>
        <w:t xml:space="preserve">). </w:t>
      </w:r>
    </w:p>
    <w:p w14:paraId="390023FE" w14:textId="77777777" w:rsidR="00EE18FD" w:rsidRPr="00B85068" w:rsidRDefault="00EE18FD" w:rsidP="00EE18FD">
      <w:pPr>
        <w:pStyle w:val="Heading2"/>
      </w:pPr>
      <w:r w:rsidRPr="000335E7">
        <w:rPr>
          <w:i w:val="0"/>
        </w:rPr>
        <w:t>4.2</w:t>
      </w:r>
      <w:r>
        <w:tab/>
      </w:r>
      <w:r w:rsidRPr="00B85068">
        <w:t xml:space="preserve">Study limitations  </w:t>
      </w:r>
    </w:p>
    <w:p w14:paraId="55719FB0" w14:textId="77777777" w:rsidR="00EE18FD" w:rsidRPr="00AA44F4" w:rsidRDefault="00EE18FD" w:rsidP="00EE18FD">
      <w:pPr>
        <w:spacing w:after="120" w:line="480" w:lineRule="auto"/>
        <w:ind w:firstLine="720"/>
      </w:pPr>
      <w:r>
        <w:rPr>
          <w:lang w:val="en-US"/>
        </w:rPr>
        <w:t>Several study limitations are noted. The study design employed did not</w:t>
      </w:r>
      <w:r w:rsidRPr="0082528F">
        <w:t xml:space="preserve"> </w:t>
      </w:r>
      <w:r>
        <w:t xml:space="preserve">capture bureaucratic </w:t>
      </w:r>
      <w:r w:rsidRPr="0082528F">
        <w:t>boundary patrolling</w:t>
      </w:r>
      <w:r>
        <w:t xml:space="preserve"> </w:t>
      </w:r>
      <w:r w:rsidRPr="0082528F">
        <w:t xml:space="preserve">practices </w:t>
      </w:r>
      <w:r>
        <w:t xml:space="preserve">that stymie policy design </w:t>
      </w:r>
      <w:r w:rsidRPr="0082528F">
        <w:t xml:space="preserve">(Lamont </w:t>
      </w:r>
      <w:r>
        <w:t>&amp;</w:t>
      </w:r>
      <w:r w:rsidRPr="0082528F">
        <w:t xml:space="preserve"> </w:t>
      </w:r>
      <w:proofErr w:type="spellStart"/>
      <w:r w:rsidRPr="00245430">
        <w:t>Moln</w:t>
      </w:r>
      <w:r w:rsidRPr="006F1BD4">
        <w:t>á</w:t>
      </w:r>
      <w:r w:rsidRPr="00245430">
        <w:t>r</w:t>
      </w:r>
      <w:proofErr w:type="spellEnd"/>
      <w:r w:rsidRPr="00245430">
        <w:t>,</w:t>
      </w:r>
      <w:r w:rsidRPr="0082528F">
        <w:t xml:space="preserve"> 2002)</w:t>
      </w:r>
      <w:r>
        <w:t xml:space="preserve">, such as the lack of government accountability, absence of </w:t>
      </w:r>
      <w:r w:rsidRPr="00B859F8">
        <w:t>gender-based analysis</w:t>
      </w:r>
      <w:r>
        <w:t>,</w:t>
      </w:r>
      <w:r w:rsidRPr="00B859F8">
        <w:t xml:space="preserve"> </w:t>
      </w:r>
      <w:r>
        <w:t xml:space="preserve">and limited consultation to identify </w:t>
      </w:r>
      <w:r w:rsidRPr="00B859F8">
        <w:t>intersectional influences</w:t>
      </w:r>
      <w:r>
        <w:t xml:space="preserve"> within SME policy design. The study design does not incorporate </w:t>
      </w:r>
      <w:r w:rsidRPr="0082528F">
        <w:t>the experiences</w:t>
      </w:r>
      <w:r>
        <w:t xml:space="preserve"> or</w:t>
      </w:r>
      <w:r w:rsidRPr="0082528F">
        <w:t xml:space="preserve"> intentions of policymakers</w:t>
      </w:r>
      <w:r>
        <w:t>. At times, the literature review positions women</w:t>
      </w:r>
      <w:r w:rsidRPr="0082528F">
        <w:t xml:space="preserve"> against men as the dominant group (e.g., level of engagement of women compared to men in </w:t>
      </w:r>
      <w:r>
        <w:t xml:space="preserve">innovation </w:t>
      </w:r>
      <w:r w:rsidRPr="0082528F">
        <w:t xml:space="preserve">support intermediaries). </w:t>
      </w:r>
      <w:r>
        <w:t>Such c</w:t>
      </w:r>
      <w:r w:rsidRPr="0082528F">
        <w:t>omparison</w:t>
      </w:r>
      <w:r>
        <w:t>s</w:t>
      </w:r>
      <w:r w:rsidRPr="0082528F">
        <w:t xml:space="preserve"> subjugate women-identified entrepreneurs to secondary status against men and masculine norms, </w:t>
      </w:r>
      <w:r>
        <w:t xml:space="preserve">support “othering” of women (Richard, 2020) </w:t>
      </w:r>
      <w:r w:rsidRPr="0082528F">
        <w:t>lend</w:t>
      </w:r>
      <w:r>
        <w:t>ing</w:t>
      </w:r>
      <w:r w:rsidRPr="0082528F">
        <w:t xml:space="preserve"> to </w:t>
      </w:r>
      <w:r>
        <w:t>“</w:t>
      </w:r>
      <w:r w:rsidRPr="0082528F">
        <w:t>boundary maintenance</w:t>
      </w:r>
      <w:r>
        <w:t>”</w:t>
      </w:r>
      <w:r w:rsidRPr="0082528F">
        <w:t xml:space="preserve"> </w:t>
      </w:r>
      <w:r>
        <w:t>where</w:t>
      </w:r>
      <w:r w:rsidRPr="0082528F">
        <w:t xml:space="preserve"> “durable inequality most often results from cumulative, individual, and often unnoticed organi</w:t>
      </w:r>
      <w:r>
        <w:t>s</w:t>
      </w:r>
      <w:r w:rsidRPr="0082528F">
        <w:t>ational processes” (Lamont and</w:t>
      </w:r>
      <w:r>
        <w:t xml:space="preserve"> </w:t>
      </w:r>
      <w:proofErr w:type="spellStart"/>
      <w:r w:rsidRPr="00245430">
        <w:t>Molná</w:t>
      </w:r>
      <w:r w:rsidRPr="006F1BD4">
        <w:t>r</w:t>
      </w:r>
      <w:proofErr w:type="spellEnd"/>
      <w:r w:rsidRPr="0082528F">
        <w:t xml:space="preserve">, 2002, p. 176). </w:t>
      </w:r>
      <w:r>
        <w:t xml:space="preserve">The </w:t>
      </w:r>
      <w:r w:rsidRPr="0082528F">
        <w:t>analys</w:t>
      </w:r>
      <w:r>
        <w:t>es</w:t>
      </w:r>
      <w:r w:rsidRPr="0082528F">
        <w:t xml:space="preserve"> was limited to three recovery plans from two countries. </w:t>
      </w:r>
      <w:r>
        <w:t>A</w:t>
      </w:r>
      <w:r w:rsidRPr="0082528F">
        <w:t>pplicability of the</w:t>
      </w:r>
      <w:r>
        <w:t xml:space="preserve"> parameters likely </w:t>
      </w:r>
      <w:r w:rsidRPr="0082528F">
        <w:t>differ across geographic, political</w:t>
      </w:r>
      <w:r>
        <w:t>,</w:t>
      </w:r>
      <w:r w:rsidRPr="0082528F">
        <w:t xml:space="preserve"> cultural</w:t>
      </w:r>
      <w:r>
        <w:t>, language, and other</w:t>
      </w:r>
      <w:r w:rsidRPr="0082528F">
        <w:t xml:space="preserve"> contexts. </w:t>
      </w:r>
      <w:r>
        <w:t>I</w:t>
      </w:r>
      <w:r w:rsidRPr="0082528F">
        <w:t xml:space="preserve">nterpreter bias </w:t>
      </w:r>
      <w:r>
        <w:t xml:space="preserve">in the reporting of findings </w:t>
      </w:r>
      <w:r w:rsidRPr="0082528F">
        <w:t xml:space="preserve">cannot be </w:t>
      </w:r>
      <w:r w:rsidRPr="0082528F">
        <w:lastRenderedPageBreak/>
        <w:t>ruled out</w:t>
      </w:r>
      <w:r>
        <w:t xml:space="preserve"> </w:t>
      </w:r>
      <w:r w:rsidRPr="0082528F">
        <w:t xml:space="preserve">(Van de </w:t>
      </w:r>
      <w:proofErr w:type="spellStart"/>
      <w:r w:rsidRPr="0082528F">
        <w:t>Ven</w:t>
      </w:r>
      <w:proofErr w:type="spellEnd"/>
      <w:r w:rsidRPr="0082528F">
        <w:t xml:space="preserve"> &amp; Johnson, 2006)</w:t>
      </w:r>
      <w:r>
        <w:t>. To address these limitations opportunities for future research are considered.</w:t>
      </w:r>
    </w:p>
    <w:p w14:paraId="030809AB" w14:textId="77777777" w:rsidR="00EE18FD" w:rsidRDefault="00EE18FD" w:rsidP="00EE18FD">
      <w:pPr>
        <w:spacing w:after="120" w:line="480" w:lineRule="auto"/>
      </w:pPr>
      <w:r w:rsidRPr="000335E7">
        <w:rPr>
          <w:lang w:val="en-US"/>
        </w:rPr>
        <w:t>4.3</w:t>
      </w:r>
      <w:r>
        <w:rPr>
          <w:i/>
          <w:lang w:val="en-US"/>
        </w:rPr>
        <w:tab/>
      </w:r>
      <w:r w:rsidRPr="0076592B">
        <w:rPr>
          <w:i/>
          <w:lang w:val="en-US"/>
        </w:rPr>
        <w:t xml:space="preserve">Implications for </w:t>
      </w:r>
      <w:r>
        <w:rPr>
          <w:i/>
          <w:lang w:val="en-US"/>
        </w:rPr>
        <w:t xml:space="preserve">future </w:t>
      </w:r>
      <w:r w:rsidRPr="0076592B">
        <w:rPr>
          <w:i/>
          <w:lang w:val="en-US"/>
        </w:rPr>
        <w:t>research</w:t>
      </w:r>
      <w:r>
        <w:t xml:space="preserve"> </w:t>
      </w:r>
    </w:p>
    <w:p w14:paraId="666799B8" w14:textId="77777777" w:rsidR="00EE18FD" w:rsidRDefault="00EE18FD" w:rsidP="00EE18FD">
      <w:pPr>
        <w:spacing w:after="120" w:line="480" w:lineRule="auto"/>
        <w:ind w:firstLine="720"/>
      </w:pPr>
      <w:r w:rsidRPr="00FC4CE5">
        <w:t>Scholars note that research focusing on feminism and enterprise policy is a</w:t>
      </w:r>
      <w:r>
        <w:t>n emergent area of academic</w:t>
      </w:r>
      <w:r w:rsidRPr="00FC4CE5">
        <w:t xml:space="preserve"> inquiry (</w:t>
      </w:r>
      <w:r>
        <w:t xml:space="preserve">Henry et al., 2018; </w:t>
      </w:r>
      <w:r w:rsidRPr="00B85068">
        <w:t>Foss et al., 2019</w:t>
      </w:r>
      <w:r>
        <w:t>; Coleman et al., 2019).</w:t>
      </w:r>
      <w:r w:rsidRPr="00FC4CE5">
        <w:t xml:space="preserve"> </w:t>
      </w:r>
      <w:r>
        <w:t>Research is needed to examine further system-level barriers that hamper women entrepreneurs’ economic empowerment and gender equality. This study identifies several areas for consideration. T</w:t>
      </w:r>
      <w:r>
        <w:rPr>
          <w:lang w:val="en-US"/>
        </w:rPr>
        <w:t>he parameters of entrepreneurial feminism require examination in different policy, cultural, and geo-political contexts.</w:t>
      </w:r>
      <w:r>
        <w:t xml:space="preserve"> Research is needed to investigate the gendered nature of ecosystem infrastructure. Research about caregiving and enterprise performance—a gendered association evidenced in the impacts of pandemic on women entrepreneurs—is also needed. The </w:t>
      </w:r>
      <w:r w:rsidRPr="00092DDB">
        <w:t>findings suggest that attention might focus on advisory process</w:t>
      </w:r>
      <w:r>
        <w:t xml:space="preserve">es of governments to inform policy design, particularly measures that seek to address gender-regressive impacts of the pandemic. Attention is warranted in demarcating the parameters of trade, international assistance and other policy domains situated within alternative feminist perspectives. </w:t>
      </w:r>
    </w:p>
    <w:p w14:paraId="2F811551" w14:textId="77777777" w:rsidR="00EE18FD" w:rsidRDefault="00EE18FD" w:rsidP="00EE18FD">
      <w:pPr>
        <w:spacing w:after="120" w:line="480" w:lineRule="auto"/>
      </w:pPr>
      <w:r>
        <w:t>5.</w:t>
      </w:r>
      <w:r>
        <w:tab/>
        <w:t>Conclusion</w:t>
      </w:r>
    </w:p>
    <w:p w14:paraId="061B9D5F" w14:textId="77777777" w:rsidR="00EE18FD" w:rsidRDefault="00EE18FD" w:rsidP="00EE18FD">
      <w:pPr>
        <w:spacing w:after="120" w:line="480" w:lineRule="auto"/>
        <w:ind w:firstLine="720"/>
        <w:rPr>
          <w:rFonts w:eastAsiaTheme="minorEastAsia"/>
          <w:lang w:val="en-US" w:eastAsia="ja-JP"/>
        </w:rPr>
      </w:pPr>
      <w:r>
        <w:t xml:space="preserve">The study findings demonstrate that </w:t>
      </w:r>
      <w:r w:rsidRPr="00805E96">
        <w:t xml:space="preserve">supplanting </w:t>
      </w:r>
      <w:r>
        <w:t>‘</w:t>
      </w:r>
      <w:r w:rsidRPr="00805E96">
        <w:t>feminist</w:t>
      </w:r>
      <w:r>
        <w:t>’</w:t>
      </w:r>
      <w:r w:rsidRPr="00805E96">
        <w:t xml:space="preserve"> for</w:t>
      </w:r>
      <w:r>
        <w:t xml:space="preserve"> ‘</w:t>
      </w:r>
      <w:r w:rsidRPr="00805E96">
        <w:t>women</w:t>
      </w:r>
      <w:r>
        <w:t xml:space="preserve">’ </w:t>
      </w:r>
      <w:r w:rsidRPr="00805E96">
        <w:t xml:space="preserve">in </w:t>
      </w:r>
      <w:r>
        <w:t xml:space="preserve">SME policies, </w:t>
      </w:r>
      <w:r w:rsidRPr="00805E96">
        <w:t xml:space="preserve">without </w:t>
      </w:r>
      <w:r>
        <w:t xml:space="preserve">specifications of </w:t>
      </w:r>
      <w:r w:rsidRPr="00EB7B3D">
        <w:rPr>
          <w:i/>
        </w:rPr>
        <w:t>how</w:t>
      </w:r>
      <w:r>
        <w:rPr>
          <w:i/>
        </w:rPr>
        <w:t xml:space="preserve"> </w:t>
      </w:r>
      <w:r w:rsidRPr="00805E96">
        <w:t>parameters differ</w:t>
      </w:r>
      <w:r>
        <w:t>,</w:t>
      </w:r>
      <w:r w:rsidRPr="00805E96">
        <w:t xml:space="preserve"> dilute </w:t>
      </w:r>
      <w:r>
        <w:t>efforts to achieve the UN SDG 5 goals of gender quality and women’s economic empowerment</w:t>
      </w:r>
      <w:r w:rsidRPr="00805E96">
        <w:t>.</w:t>
      </w:r>
      <w:r>
        <w:t xml:space="preserve"> The review of literature provides evidence that most entrepreneurship policies do not yet incorporate theory. SME policies tend to be framed by men or by decision-making bodies dominated and controlled by men. Within SME recovery policies, it is not surprising that the particular needs of women are not evidenced in </w:t>
      </w:r>
      <w:r>
        <w:lastRenderedPageBreak/>
        <w:t>theory or practice. Development of p</w:t>
      </w:r>
      <w:r w:rsidRPr="00B85068">
        <w:t xml:space="preserve">andemic </w:t>
      </w:r>
      <w:r>
        <w:t xml:space="preserve">recovery measures </w:t>
      </w:r>
      <w:r w:rsidRPr="00B85068">
        <w:t>offers a significant opportunity to make palpable socio-economic changes in society. Recogni</w:t>
      </w:r>
      <w:r>
        <w:t>z</w:t>
      </w:r>
      <w:r w:rsidRPr="00B85068">
        <w:t>ing th</w:t>
      </w:r>
      <w:r>
        <w:t>is</w:t>
      </w:r>
      <w:r w:rsidRPr="00B85068">
        <w:t xml:space="preserve"> opportunity, the United Nations (UN)</w:t>
      </w:r>
      <w:r>
        <w:t>,</w:t>
      </w:r>
      <w:r w:rsidRPr="00B85068">
        <w:t xml:space="preserve"> in April 2020, reported on the gendered </w:t>
      </w:r>
      <w:r>
        <w:t>impacts</w:t>
      </w:r>
      <w:r w:rsidRPr="00B85068">
        <w:t xml:space="preserve"> of the pandemic and </w:t>
      </w:r>
      <w:r>
        <w:t xml:space="preserve">has </w:t>
      </w:r>
      <w:r w:rsidRPr="00B85068">
        <w:t>called for measures “</w:t>
      </w:r>
      <w:r w:rsidRPr="006F1BD4">
        <w:rPr>
          <w:iCs/>
        </w:rPr>
        <w:t>to build more equal, inclusive and sustainable economies and societies. …This includes gender-responsive economic and social policies and placing women’s economic lives at the heart of the pandemic response and recovery plans</w:t>
      </w:r>
      <w:r w:rsidRPr="001A2250">
        <w:rPr>
          <w:iCs/>
        </w:rPr>
        <w:t>”</w:t>
      </w:r>
      <w:r w:rsidRPr="008C305B">
        <w:rPr>
          <w:iCs/>
        </w:rPr>
        <w:t xml:space="preserve"> </w:t>
      </w:r>
      <w:r>
        <w:t xml:space="preserve">(UN, </w:t>
      </w:r>
      <w:r w:rsidRPr="00B85068">
        <w:t>2020a, p. 5</w:t>
      </w:r>
      <w:r w:rsidRPr="00007321">
        <w:rPr>
          <w:color w:val="000000" w:themeColor="text1"/>
        </w:rPr>
        <w:t>).</w:t>
      </w:r>
      <w:r>
        <w:rPr>
          <w:color w:val="000000" w:themeColor="text1"/>
        </w:rPr>
        <w:t xml:space="preserve"> </w:t>
      </w:r>
      <w:r>
        <w:rPr>
          <w:rFonts w:eastAsiaTheme="minorEastAsia"/>
          <w:lang w:val="en-US" w:eastAsia="ja-JP"/>
        </w:rPr>
        <w:t>W</w:t>
      </w:r>
      <w:r w:rsidRPr="00495AE3">
        <w:rPr>
          <w:rFonts w:eastAsiaTheme="minorEastAsia"/>
          <w:lang w:val="en-US" w:eastAsia="ja-JP"/>
        </w:rPr>
        <w:t xml:space="preserve">omen-owned SMEs and </w:t>
      </w:r>
      <w:r>
        <w:rPr>
          <w:rFonts w:eastAsiaTheme="minorEastAsia"/>
          <w:lang w:val="en-US" w:eastAsia="ja-JP"/>
        </w:rPr>
        <w:t xml:space="preserve">other </w:t>
      </w:r>
      <w:r w:rsidRPr="00495AE3">
        <w:rPr>
          <w:rFonts w:eastAsiaTheme="minorEastAsia"/>
          <w:lang w:val="en-US" w:eastAsia="ja-JP"/>
        </w:rPr>
        <w:t>marginali</w:t>
      </w:r>
      <w:r>
        <w:rPr>
          <w:rFonts w:eastAsiaTheme="minorEastAsia"/>
          <w:lang w:val="en-US" w:eastAsia="ja-JP"/>
        </w:rPr>
        <w:t>z</w:t>
      </w:r>
      <w:r w:rsidRPr="00495AE3">
        <w:rPr>
          <w:rFonts w:eastAsiaTheme="minorEastAsia"/>
          <w:lang w:val="en-US" w:eastAsia="ja-JP"/>
        </w:rPr>
        <w:t xml:space="preserve">ed groups of entrepreneurs </w:t>
      </w:r>
      <w:r w:rsidRPr="00A70C88">
        <w:rPr>
          <w:rFonts w:eastAsiaTheme="minorEastAsia"/>
          <w:lang w:val="en-US" w:eastAsia="ja-JP"/>
        </w:rPr>
        <w:t xml:space="preserve">are </w:t>
      </w:r>
      <w:r>
        <w:rPr>
          <w:rFonts w:eastAsiaTheme="minorEastAsia"/>
          <w:lang w:val="en-US" w:eastAsia="ja-JP"/>
        </w:rPr>
        <w:t xml:space="preserve">the </w:t>
      </w:r>
      <w:r w:rsidRPr="00A70C88">
        <w:rPr>
          <w:rFonts w:eastAsiaTheme="minorEastAsia"/>
          <w:lang w:val="en-US" w:eastAsia="ja-JP"/>
        </w:rPr>
        <w:t>canaries in</w:t>
      </w:r>
      <w:r w:rsidRPr="00495AE3">
        <w:rPr>
          <w:rFonts w:eastAsiaTheme="minorEastAsia"/>
          <w:lang w:val="en-US" w:eastAsia="ja-JP"/>
        </w:rPr>
        <w:t xml:space="preserve"> </w:t>
      </w:r>
      <w:r>
        <w:rPr>
          <w:rFonts w:eastAsiaTheme="minorEastAsia"/>
          <w:lang w:val="en-US" w:eastAsia="ja-JP"/>
        </w:rPr>
        <w:t>a</w:t>
      </w:r>
      <w:r w:rsidRPr="00495AE3">
        <w:rPr>
          <w:rFonts w:eastAsiaTheme="minorEastAsia"/>
          <w:lang w:val="en-US" w:eastAsia="ja-JP"/>
        </w:rPr>
        <w:t xml:space="preserve"> coal mine within </w:t>
      </w:r>
      <w:r>
        <w:rPr>
          <w:rFonts w:eastAsiaTheme="minorEastAsia"/>
          <w:lang w:val="en-US" w:eastAsia="ja-JP"/>
        </w:rPr>
        <w:t xml:space="preserve">government </w:t>
      </w:r>
      <w:r w:rsidRPr="00495AE3">
        <w:rPr>
          <w:rFonts w:eastAsiaTheme="minorEastAsia"/>
          <w:lang w:val="en-US" w:eastAsia="ja-JP"/>
        </w:rPr>
        <w:t xml:space="preserve">mandates to </w:t>
      </w:r>
      <w:r>
        <w:rPr>
          <w:rFonts w:eastAsiaTheme="minorEastAsia"/>
          <w:lang w:val="en-US" w:eastAsia="ja-JP"/>
        </w:rPr>
        <w:t xml:space="preserve">‘build back better.’ </w:t>
      </w:r>
    </w:p>
    <w:p w14:paraId="6C70E9ED" w14:textId="77777777" w:rsidR="00EE18FD" w:rsidRPr="00DB51EF" w:rsidRDefault="00EE18FD" w:rsidP="00EE18FD">
      <w:pPr>
        <w:spacing w:after="120" w:line="480" w:lineRule="auto"/>
        <w:ind w:firstLine="720"/>
        <w:rPr>
          <w:color w:val="000000" w:themeColor="text1"/>
        </w:rPr>
      </w:pPr>
      <w:r>
        <w:rPr>
          <w:rFonts w:eastAsiaTheme="minorEastAsia"/>
          <w:lang w:val="en-US" w:eastAsia="ja-JP"/>
        </w:rPr>
        <w:t xml:space="preserve">Purpose-built </w:t>
      </w:r>
      <w:r w:rsidRPr="00495AE3">
        <w:rPr>
          <w:rFonts w:eastAsiaTheme="minorEastAsia"/>
          <w:lang w:val="en-US" w:eastAsia="ja-JP"/>
        </w:rPr>
        <w:t xml:space="preserve">measures </w:t>
      </w:r>
      <w:r>
        <w:rPr>
          <w:rFonts w:eastAsiaTheme="minorEastAsia"/>
          <w:lang w:val="en-US" w:eastAsia="ja-JP"/>
        </w:rPr>
        <w:t xml:space="preserve">that </w:t>
      </w:r>
      <w:r w:rsidRPr="00495AE3">
        <w:rPr>
          <w:rFonts w:eastAsiaTheme="minorEastAsia"/>
          <w:lang w:val="en-US" w:eastAsia="ja-JP"/>
        </w:rPr>
        <w:t xml:space="preserve">position </w:t>
      </w:r>
      <w:r>
        <w:rPr>
          <w:rFonts w:eastAsiaTheme="minorEastAsia"/>
          <w:lang w:val="en-US" w:eastAsia="ja-JP"/>
        </w:rPr>
        <w:t>women</w:t>
      </w:r>
      <w:r w:rsidRPr="00495AE3">
        <w:rPr>
          <w:rFonts w:eastAsiaTheme="minorEastAsia"/>
          <w:lang w:val="en-US" w:eastAsia="ja-JP"/>
        </w:rPr>
        <w:t xml:space="preserve"> at the “heart</w:t>
      </w:r>
      <w:r>
        <w:rPr>
          <w:rFonts w:eastAsiaTheme="minorEastAsia"/>
          <w:lang w:val="en-US" w:eastAsia="ja-JP"/>
        </w:rPr>
        <w:t>”</w:t>
      </w:r>
      <w:r w:rsidRPr="00495AE3">
        <w:rPr>
          <w:rFonts w:eastAsiaTheme="minorEastAsia"/>
          <w:lang w:val="en-US" w:eastAsia="ja-JP"/>
        </w:rPr>
        <w:t xml:space="preserve"> of recovery</w:t>
      </w:r>
      <w:r>
        <w:rPr>
          <w:rFonts w:eastAsiaTheme="minorEastAsia"/>
          <w:lang w:val="en-US" w:eastAsia="ja-JP"/>
        </w:rPr>
        <w:t xml:space="preserve"> policies </w:t>
      </w:r>
      <w:r w:rsidRPr="00495AE3">
        <w:rPr>
          <w:rFonts w:eastAsiaTheme="minorEastAsia"/>
          <w:lang w:val="en-US" w:eastAsia="ja-JP"/>
        </w:rPr>
        <w:t xml:space="preserve">are </w:t>
      </w:r>
      <w:r>
        <w:rPr>
          <w:rFonts w:eastAsiaTheme="minorEastAsia"/>
          <w:lang w:val="en-US" w:eastAsia="ja-JP"/>
        </w:rPr>
        <w:t xml:space="preserve">the </w:t>
      </w:r>
      <w:r w:rsidRPr="00495AE3">
        <w:rPr>
          <w:rFonts w:eastAsiaTheme="minorEastAsia"/>
          <w:lang w:val="en-US" w:eastAsia="ja-JP"/>
        </w:rPr>
        <w:t xml:space="preserve">litmus test of </w:t>
      </w:r>
      <w:r>
        <w:rPr>
          <w:rFonts w:eastAsiaTheme="minorEastAsia"/>
          <w:lang w:val="en-US" w:eastAsia="ja-JP"/>
        </w:rPr>
        <w:t xml:space="preserve">the abilities of </w:t>
      </w:r>
      <w:r w:rsidRPr="00495AE3">
        <w:rPr>
          <w:rFonts w:eastAsiaTheme="minorEastAsia"/>
          <w:lang w:val="en-US" w:eastAsia="ja-JP"/>
        </w:rPr>
        <w:t>government</w:t>
      </w:r>
      <w:r>
        <w:rPr>
          <w:rFonts w:eastAsiaTheme="minorEastAsia"/>
          <w:lang w:val="en-US" w:eastAsia="ja-JP"/>
        </w:rPr>
        <w:t xml:space="preserve">s </w:t>
      </w:r>
      <w:r w:rsidRPr="00495AE3">
        <w:rPr>
          <w:rFonts w:eastAsiaTheme="minorEastAsia"/>
          <w:lang w:val="en-US" w:eastAsia="ja-JP"/>
        </w:rPr>
        <w:t>to mov</w:t>
      </w:r>
      <w:r>
        <w:rPr>
          <w:rFonts w:eastAsiaTheme="minorEastAsia"/>
          <w:lang w:val="en-US" w:eastAsia="ja-JP"/>
        </w:rPr>
        <w:t>e</w:t>
      </w:r>
      <w:r w:rsidRPr="00495AE3">
        <w:rPr>
          <w:rFonts w:eastAsiaTheme="minorEastAsia"/>
          <w:lang w:val="en-US" w:eastAsia="ja-JP"/>
        </w:rPr>
        <w:t xml:space="preserve"> beyond </w:t>
      </w:r>
      <w:r>
        <w:rPr>
          <w:rFonts w:eastAsiaTheme="minorEastAsia"/>
          <w:lang w:val="en-US" w:eastAsia="ja-JP"/>
        </w:rPr>
        <w:t xml:space="preserve">policies that </w:t>
      </w:r>
      <w:r w:rsidRPr="00495AE3">
        <w:rPr>
          <w:rFonts w:eastAsiaTheme="minorEastAsia"/>
          <w:lang w:val="en-US" w:eastAsia="ja-JP"/>
        </w:rPr>
        <w:t>privilege</w:t>
      </w:r>
      <w:r>
        <w:rPr>
          <w:rFonts w:eastAsiaTheme="minorEastAsia"/>
          <w:lang w:val="en-US" w:eastAsia="ja-JP"/>
        </w:rPr>
        <w:t xml:space="preserve"> some</w:t>
      </w:r>
      <w:r w:rsidRPr="00495AE3">
        <w:rPr>
          <w:rFonts w:eastAsiaTheme="minorEastAsia"/>
          <w:lang w:val="en-US" w:eastAsia="ja-JP"/>
        </w:rPr>
        <w:t xml:space="preserve"> stakeholder</w:t>
      </w:r>
      <w:r>
        <w:rPr>
          <w:rFonts w:eastAsiaTheme="minorEastAsia"/>
          <w:lang w:val="en-US" w:eastAsia="ja-JP"/>
        </w:rPr>
        <w:t>s</w:t>
      </w:r>
      <w:r w:rsidRPr="00495AE3">
        <w:rPr>
          <w:rFonts w:eastAsiaTheme="minorEastAsia"/>
          <w:lang w:val="en-US" w:eastAsia="ja-JP"/>
        </w:rPr>
        <w:t xml:space="preserve"> or </w:t>
      </w:r>
      <w:r>
        <w:rPr>
          <w:rFonts w:eastAsiaTheme="minorEastAsia"/>
          <w:lang w:val="en-US" w:eastAsia="ja-JP"/>
        </w:rPr>
        <w:t xml:space="preserve">that are predicated on dated stereotypes and </w:t>
      </w:r>
      <w:r w:rsidRPr="00495AE3">
        <w:rPr>
          <w:rFonts w:eastAsiaTheme="minorEastAsia"/>
          <w:lang w:val="en-US" w:eastAsia="ja-JP"/>
        </w:rPr>
        <w:t xml:space="preserve">misperceptions </w:t>
      </w:r>
      <w:r>
        <w:rPr>
          <w:rFonts w:eastAsiaTheme="minorEastAsia"/>
          <w:lang w:val="en-US" w:eastAsia="ja-JP"/>
        </w:rPr>
        <w:t xml:space="preserve">about women entrepreneurs. </w:t>
      </w:r>
      <w:r>
        <w:t xml:space="preserve">To inform recovery SME policies, the </w:t>
      </w:r>
      <w:r>
        <w:rPr>
          <w:i/>
        </w:rPr>
        <w:t xml:space="preserve">feminist entrepreneurship policy framework </w:t>
      </w:r>
      <w:r>
        <w:t xml:space="preserve">challenges the epistemological orientation of relief measures, including SME policies predicted solely on economic outcomes. </w:t>
      </w:r>
      <w:r>
        <w:rPr>
          <w:lang w:val="en-US"/>
        </w:rPr>
        <w:t xml:space="preserve">Policymakers, scholars, and advocates can employ the parameters of good practice and conceptual framework identified in this study to guide policy development and to ensure that recovery measures effect </w:t>
      </w:r>
      <w:r>
        <w:t xml:space="preserve">outcomes that align with the UN SDG 5 goals of women economic empowerment and gender equality. </w:t>
      </w:r>
    </w:p>
    <w:p w14:paraId="42CB0D94" w14:textId="77777777" w:rsidR="00EE18FD" w:rsidRPr="004C45DB" w:rsidRDefault="00EE18FD" w:rsidP="00EE18FD">
      <w:pPr>
        <w:pStyle w:val="Heading1"/>
        <w:ind w:hanging="720"/>
      </w:pPr>
      <w:bookmarkStart w:id="1" w:name="_Hlk59294159"/>
      <w:r>
        <w:t>6</w:t>
      </w:r>
      <w:r w:rsidRPr="004C45DB">
        <w:t>.0</w:t>
      </w:r>
      <w:r w:rsidRPr="004C45DB">
        <w:tab/>
        <w:t xml:space="preserve">References  </w:t>
      </w:r>
      <w:r>
        <w:t xml:space="preserve"> </w:t>
      </w:r>
    </w:p>
    <w:p w14:paraId="02D4B093" w14:textId="77777777" w:rsidR="00EE18FD" w:rsidRPr="00993D17" w:rsidRDefault="00EE18FD" w:rsidP="00EE18FD">
      <w:pPr>
        <w:spacing w:after="60"/>
        <w:ind w:hanging="720"/>
        <w:rPr>
          <w:rFonts w:eastAsia="Arial Unicode MS"/>
        </w:rPr>
      </w:pPr>
      <w:proofErr w:type="spellStart"/>
      <w:r w:rsidRPr="00993D17">
        <w:rPr>
          <w:rFonts w:eastAsia="Arial Unicode MS"/>
        </w:rPr>
        <w:t>Adema</w:t>
      </w:r>
      <w:proofErr w:type="spellEnd"/>
      <w:r w:rsidRPr="00993D17">
        <w:rPr>
          <w:rFonts w:eastAsia="Arial Unicode MS"/>
        </w:rPr>
        <w:t xml:space="preserve">, W., Ali, N., Frey., V., Kim, H., </w:t>
      </w:r>
      <w:proofErr w:type="spellStart"/>
      <w:r w:rsidRPr="00993D17">
        <w:rPr>
          <w:rFonts w:eastAsia="Arial Unicode MS"/>
        </w:rPr>
        <w:t>Lunati</w:t>
      </w:r>
      <w:proofErr w:type="spellEnd"/>
      <w:r w:rsidRPr="00993D17">
        <w:rPr>
          <w:rFonts w:eastAsia="Arial Unicode MS"/>
        </w:rPr>
        <w:t xml:space="preserve">, M., </w:t>
      </w:r>
      <w:proofErr w:type="spellStart"/>
      <w:r w:rsidRPr="00993D17">
        <w:rPr>
          <w:rFonts w:eastAsia="Arial Unicode MS"/>
        </w:rPr>
        <w:t>Piacentini</w:t>
      </w:r>
      <w:proofErr w:type="spellEnd"/>
      <w:r w:rsidRPr="00993D17">
        <w:rPr>
          <w:rFonts w:eastAsia="Arial Unicode MS"/>
        </w:rPr>
        <w:t xml:space="preserve">, M., &amp; </w:t>
      </w:r>
      <w:proofErr w:type="spellStart"/>
      <w:r w:rsidRPr="00993D17">
        <w:rPr>
          <w:rFonts w:eastAsia="Arial Unicode MS"/>
        </w:rPr>
        <w:t>Queisser</w:t>
      </w:r>
      <w:proofErr w:type="spellEnd"/>
      <w:r w:rsidRPr="00993D17">
        <w:rPr>
          <w:rFonts w:eastAsia="Arial Unicode MS"/>
        </w:rPr>
        <w:t xml:space="preserve">, M. (2014). </w:t>
      </w:r>
      <w:r w:rsidRPr="00993D17">
        <w:rPr>
          <w:rFonts w:eastAsia="Arial Unicode MS"/>
          <w:i/>
        </w:rPr>
        <w:t>Enhancing women’s economic empowerment through entrepreneurship and business leadership in OECD countries</w:t>
      </w:r>
      <w:r w:rsidRPr="00993D17">
        <w:rPr>
          <w:rFonts w:eastAsia="Arial Unicode MS"/>
        </w:rPr>
        <w:t xml:space="preserve">. OECD.  </w:t>
      </w:r>
    </w:p>
    <w:p w14:paraId="3486A7A8" w14:textId="77777777" w:rsidR="00EE18FD" w:rsidRPr="00993D17" w:rsidRDefault="00EE18FD" w:rsidP="00EE18FD">
      <w:pPr>
        <w:spacing w:after="60"/>
        <w:ind w:hanging="720"/>
        <w:rPr>
          <w:rFonts w:eastAsia="Arial Unicode MS"/>
        </w:rPr>
      </w:pPr>
      <w:r w:rsidRPr="00993D17">
        <w:rPr>
          <w:rFonts w:eastAsia="Arial Unicode MS"/>
        </w:rPr>
        <w:t>Agrawal, A., &amp; Henderson, R. (2002). Putting patents in context: Exploring knowledge transfer from MIT. </w:t>
      </w:r>
      <w:r w:rsidRPr="00993D17">
        <w:rPr>
          <w:rFonts w:eastAsia="Arial Unicode MS"/>
          <w:i/>
        </w:rPr>
        <w:t>Management Science</w:t>
      </w:r>
      <w:r w:rsidRPr="00993D17">
        <w:rPr>
          <w:rFonts w:eastAsia="Arial Unicode MS"/>
          <w:iCs/>
        </w:rPr>
        <w:t>.</w:t>
      </w:r>
      <w:r w:rsidRPr="00993D17">
        <w:rPr>
          <w:rFonts w:eastAsia="Arial Unicode MS"/>
        </w:rPr>
        <w:t> 48(1), 44–60.  https://pubsonline.informs.org/doi/abs/10.1287/mnsc.48.1.44.14279</w:t>
      </w:r>
    </w:p>
    <w:p w14:paraId="2CDAB0FA" w14:textId="77777777" w:rsidR="00EE18FD" w:rsidRPr="00993D17" w:rsidRDefault="00EE18FD" w:rsidP="00EE18FD">
      <w:pPr>
        <w:spacing w:after="60"/>
        <w:ind w:hanging="720"/>
      </w:pPr>
      <w:proofErr w:type="spellStart"/>
      <w:r w:rsidRPr="00993D17">
        <w:lastRenderedPageBreak/>
        <w:t>Ahl</w:t>
      </w:r>
      <w:proofErr w:type="spellEnd"/>
      <w:r w:rsidRPr="00993D17">
        <w:t xml:space="preserve">, H. (2004). </w:t>
      </w:r>
      <w:r w:rsidRPr="00993D17">
        <w:rPr>
          <w:i/>
        </w:rPr>
        <w:t xml:space="preserve">The scientific reproduction of gender inequality: </w:t>
      </w:r>
      <w:r w:rsidRPr="00993D17">
        <w:rPr>
          <w:i/>
          <w:kern w:val="36"/>
        </w:rPr>
        <w:t>A discourse analysis of research texts on women’s entrepreneurship</w:t>
      </w:r>
      <w:r w:rsidRPr="00993D17">
        <w:t xml:space="preserve">. CBS Press. </w:t>
      </w:r>
    </w:p>
    <w:p w14:paraId="5CC4223D" w14:textId="77777777" w:rsidR="00EE18FD" w:rsidRPr="00993D17" w:rsidRDefault="00EE18FD" w:rsidP="00EE18FD">
      <w:pPr>
        <w:spacing w:after="60"/>
        <w:ind w:hanging="720"/>
      </w:pPr>
      <w:proofErr w:type="spellStart"/>
      <w:r w:rsidRPr="00993D17">
        <w:t>Ahl</w:t>
      </w:r>
      <w:proofErr w:type="spellEnd"/>
      <w:r w:rsidRPr="00993D17">
        <w:t xml:space="preserve">, H., </w:t>
      </w:r>
      <w:r w:rsidRPr="00993D17">
        <w:rPr>
          <w:rFonts w:eastAsia="Arial Unicode MS"/>
        </w:rPr>
        <w:t>&amp;</w:t>
      </w:r>
      <w:r w:rsidRPr="00993D17">
        <w:t xml:space="preserve"> Nelson, T. (2015). How policy positions women entrepreneurs: A comparative analysis of state discourse in Sweden and the United States. </w:t>
      </w:r>
      <w:r w:rsidRPr="00993D17">
        <w:rPr>
          <w:i/>
        </w:rPr>
        <w:t>Journal of Business Venturing</w:t>
      </w:r>
      <w:r w:rsidRPr="00993D17">
        <w:rPr>
          <w:iCs/>
        </w:rPr>
        <w:t>.</w:t>
      </w:r>
      <w:r w:rsidRPr="00993D17">
        <w:rPr>
          <w:i/>
        </w:rPr>
        <w:t xml:space="preserve"> </w:t>
      </w:r>
      <w:r w:rsidRPr="00993D17">
        <w:t>30(2), 273–291. https://doi.org/10.1016/j.jbusvent.2014.08.002</w:t>
      </w:r>
      <w:r w:rsidRPr="00993D17">
        <w:rPr>
          <w:rFonts w:eastAsia="Arial Unicode MS"/>
        </w:rPr>
        <w:t xml:space="preserve"> </w:t>
      </w:r>
    </w:p>
    <w:p w14:paraId="6B625992" w14:textId="77777777" w:rsidR="00EE18FD" w:rsidRPr="00993D17" w:rsidRDefault="00EE18FD" w:rsidP="00EE18FD">
      <w:pPr>
        <w:spacing w:after="60"/>
        <w:ind w:hanging="720"/>
      </w:pPr>
      <w:proofErr w:type="spellStart"/>
      <w:r w:rsidRPr="00993D17">
        <w:t>Ahl</w:t>
      </w:r>
      <w:proofErr w:type="spellEnd"/>
      <w:r w:rsidRPr="00993D17">
        <w:t xml:space="preserve">, H., </w:t>
      </w:r>
      <w:r w:rsidRPr="00993D17">
        <w:rPr>
          <w:rFonts w:eastAsia="Arial Unicode MS"/>
        </w:rPr>
        <w:t>&amp;</w:t>
      </w:r>
      <w:r w:rsidRPr="00993D17">
        <w:t xml:space="preserve"> </w:t>
      </w:r>
      <w:proofErr w:type="spellStart"/>
      <w:r w:rsidRPr="00993D17">
        <w:t>Tillmar</w:t>
      </w:r>
      <w:proofErr w:type="spellEnd"/>
      <w:r w:rsidRPr="00993D17">
        <w:t xml:space="preserve">, M. (2015). Swedish welfare state retrenchment and the call for women’s entrepreneurship to fill the void. Paper presented at the 4th European Conference on Politics and Gender, 2015, June 11–13, Uppsala, Sweden. </w:t>
      </w:r>
    </w:p>
    <w:p w14:paraId="371326F5" w14:textId="77777777" w:rsidR="00EE18FD" w:rsidRPr="00993D17" w:rsidRDefault="00EE18FD" w:rsidP="00EE18FD">
      <w:pPr>
        <w:spacing w:after="60"/>
        <w:ind w:hanging="720"/>
        <w:rPr>
          <w:rFonts w:eastAsia="Arial Unicode MS"/>
        </w:rPr>
      </w:pPr>
      <w:proofErr w:type="spellStart"/>
      <w:r w:rsidRPr="00993D17">
        <w:rPr>
          <w:rFonts w:eastAsia="Arial Unicode MS"/>
        </w:rPr>
        <w:t>Albaz</w:t>
      </w:r>
      <w:proofErr w:type="spellEnd"/>
      <w:r w:rsidRPr="00993D17">
        <w:rPr>
          <w:rFonts w:eastAsia="Arial Unicode MS"/>
        </w:rPr>
        <w:t xml:space="preserve">, A., </w:t>
      </w:r>
      <w:proofErr w:type="spellStart"/>
      <w:r w:rsidRPr="00993D17">
        <w:rPr>
          <w:rFonts w:eastAsia="Arial Unicode MS"/>
        </w:rPr>
        <w:t>Dondi</w:t>
      </w:r>
      <w:proofErr w:type="spellEnd"/>
      <w:r w:rsidRPr="00993D17">
        <w:rPr>
          <w:rFonts w:eastAsia="Arial Unicode MS"/>
        </w:rPr>
        <w:t xml:space="preserve">, M., </w:t>
      </w:r>
      <w:proofErr w:type="spellStart"/>
      <w:r w:rsidRPr="00993D17">
        <w:rPr>
          <w:rFonts w:eastAsia="Arial Unicode MS"/>
        </w:rPr>
        <w:t>Rida</w:t>
      </w:r>
      <w:proofErr w:type="spellEnd"/>
      <w:r w:rsidRPr="00993D17">
        <w:rPr>
          <w:rFonts w:eastAsia="Arial Unicode MS"/>
        </w:rPr>
        <w:t xml:space="preserve">, T., &amp; Schubert, J. (2020). </w:t>
      </w:r>
      <w:r w:rsidRPr="00993D17">
        <w:rPr>
          <w:rFonts w:eastAsia="Arial Unicode MS"/>
          <w:i/>
        </w:rPr>
        <w:t>Unlocking growth in small and medium-size enterprises</w:t>
      </w:r>
      <w:r w:rsidRPr="00993D17">
        <w:rPr>
          <w:rFonts w:eastAsia="Arial Unicode MS"/>
        </w:rPr>
        <w:t>. 2020, July 2. McKinsey &amp; Company. https://www.mckinsey.com/industries/ public-and-social-sector/our-insights/unlocking-growth-in-small-and-medium-size-enterprises</w:t>
      </w:r>
    </w:p>
    <w:p w14:paraId="74CA54A6" w14:textId="77777777" w:rsidR="00EE18FD" w:rsidRPr="00993D17" w:rsidRDefault="00EE18FD" w:rsidP="00EE18FD">
      <w:pPr>
        <w:spacing w:after="60"/>
        <w:ind w:hanging="720"/>
        <w:rPr>
          <w:rFonts w:eastAsia="Arial Unicode MS"/>
        </w:rPr>
      </w:pPr>
      <w:r w:rsidRPr="00993D17">
        <w:rPr>
          <w:rFonts w:eastAsia="Arial Unicode MS"/>
        </w:rPr>
        <w:t xml:space="preserve">Aldrich, H. E., &amp; Cliff, J. E. (2003). The pervasive effects of family on entrepreneurship: Toward a family embeddedness perspective. </w:t>
      </w:r>
      <w:r w:rsidRPr="00993D17">
        <w:rPr>
          <w:rFonts w:eastAsia="Arial Unicode MS"/>
          <w:i/>
        </w:rPr>
        <w:t>Journal of Business Venturing</w:t>
      </w:r>
      <w:r w:rsidRPr="00993D17">
        <w:rPr>
          <w:rFonts w:eastAsia="Arial Unicode MS"/>
        </w:rPr>
        <w:t xml:space="preserve">. 18(5), 573–596. </w:t>
      </w:r>
      <w:r w:rsidRPr="00993D17">
        <w:t>https://EconPapers.repec.org/RePEc:eee:jbvent:v:18:y:2003:i:5:p:573-596</w:t>
      </w:r>
    </w:p>
    <w:p w14:paraId="111E67BB" w14:textId="77777777" w:rsidR="00EE18FD" w:rsidRPr="00993D17" w:rsidRDefault="00EE18FD" w:rsidP="00EE18FD">
      <w:pPr>
        <w:spacing w:after="60"/>
        <w:ind w:hanging="720"/>
        <w:rPr>
          <w:sz w:val="16"/>
          <w:szCs w:val="16"/>
          <w:lang w:val="en-US"/>
        </w:rPr>
      </w:pPr>
      <w:proofErr w:type="spellStart"/>
      <w:r w:rsidRPr="00993D17">
        <w:rPr>
          <w:rFonts w:eastAsia="Arial Unicode MS"/>
        </w:rPr>
        <w:t>Alsos</w:t>
      </w:r>
      <w:proofErr w:type="spellEnd"/>
      <w:r w:rsidRPr="00993D17">
        <w:rPr>
          <w:rFonts w:eastAsia="Arial Unicode MS"/>
        </w:rPr>
        <w:t xml:space="preserve">, G. A., </w:t>
      </w:r>
      <w:proofErr w:type="spellStart"/>
      <w:r w:rsidRPr="00993D17">
        <w:rPr>
          <w:rFonts w:eastAsia="Arial Unicode MS"/>
        </w:rPr>
        <w:t>Ljunggren</w:t>
      </w:r>
      <w:proofErr w:type="spellEnd"/>
      <w:r w:rsidRPr="00993D17">
        <w:rPr>
          <w:rFonts w:eastAsia="Arial Unicode MS"/>
        </w:rPr>
        <w:t xml:space="preserve">, R., &amp; </w:t>
      </w:r>
      <w:proofErr w:type="spellStart"/>
      <w:r w:rsidRPr="00993D17">
        <w:rPr>
          <w:rFonts w:eastAsia="Arial Unicode MS"/>
        </w:rPr>
        <w:t>Hytti</w:t>
      </w:r>
      <w:proofErr w:type="spellEnd"/>
      <w:r w:rsidRPr="00993D17">
        <w:rPr>
          <w:rFonts w:eastAsia="Arial Unicode MS"/>
        </w:rPr>
        <w:t xml:space="preserve">, U. (2013). Gender and innovation: </w:t>
      </w:r>
      <w:r w:rsidRPr="00993D17" w:rsidDel="00EB328B">
        <w:rPr>
          <w:rFonts w:eastAsia="Arial Unicode MS"/>
        </w:rPr>
        <w:t>S</w:t>
      </w:r>
      <w:r w:rsidRPr="00993D17">
        <w:rPr>
          <w:rFonts w:eastAsia="Arial Unicode MS"/>
        </w:rPr>
        <w:t xml:space="preserve">tate of the art and a research agenda. </w:t>
      </w:r>
      <w:r w:rsidRPr="00993D17">
        <w:rPr>
          <w:rFonts w:eastAsia="Arial Unicode MS"/>
          <w:i/>
        </w:rPr>
        <w:t>International Journal of Gender and Entrepreneurship</w:t>
      </w:r>
      <w:r w:rsidRPr="00993D17">
        <w:rPr>
          <w:rFonts w:eastAsia="Arial Unicode MS"/>
          <w:iCs/>
        </w:rPr>
        <w:t>.</w:t>
      </w:r>
      <w:r w:rsidRPr="00993D17">
        <w:rPr>
          <w:rFonts w:eastAsia="Arial Unicode MS"/>
        </w:rPr>
        <w:t xml:space="preserve"> 5(3), 236–256. </w:t>
      </w:r>
      <w:r w:rsidRPr="00993D17">
        <w:t>https://doi.org/10.1108/IJGE-06-2013-0049</w:t>
      </w:r>
      <w:r w:rsidRPr="00993D17">
        <w:rPr>
          <w:rFonts w:eastAsia="Arial Unicode MS"/>
        </w:rPr>
        <w:t xml:space="preserve"> </w:t>
      </w:r>
    </w:p>
    <w:p w14:paraId="567E3B7C" w14:textId="77777777" w:rsidR="00EE18FD" w:rsidRPr="00993D17" w:rsidRDefault="00EE18FD" w:rsidP="00EE18FD">
      <w:pPr>
        <w:spacing w:after="60"/>
        <w:ind w:hanging="720"/>
        <w:rPr>
          <w:rFonts w:eastAsia="Arial Unicode MS"/>
        </w:rPr>
      </w:pPr>
      <w:r w:rsidRPr="00993D17">
        <w:rPr>
          <w:rFonts w:eastAsia="Arial Unicode MS"/>
        </w:rPr>
        <w:t xml:space="preserve">Asia-Pacific Economic Cooperation (APEC). (2010). APEC Women’s Entrepreneurship Summit, 2010, October, Gifu, Japan. </w:t>
      </w:r>
    </w:p>
    <w:p w14:paraId="43BCF9FC" w14:textId="77777777" w:rsidR="00EE18FD" w:rsidRPr="00993D17" w:rsidRDefault="00EE18FD" w:rsidP="00EE18FD">
      <w:pPr>
        <w:spacing w:after="60"/>
        <w:ind w:hanging="720"/>
        <w:rPr>
          <w:rFonts w:eastAsia="Arial Unicode MS"/>
        </w:rPr>
      </w:pPr>
      <w:r w:rsidRPr="00993D17">
        <w:rPr>
          <w:rFonts w:eastAsia="Arial Unicode MS"/>
        </w:rPr>
        <w:t xml:space="preserve">Aspen Network of Development Entrepreneurs. (2019). </w:t>
      </w:r>
      <w:r w:rsidRPr="00993D17">
        <w:rPr>
          <w:rFonts w:eastAsia="Arial Unicode MS"/>
          <w:i/>
        </w:rPr>
        <w:t>Gender equality in the SGB sector</w:t>
      </w:r>
      <w:r w:rsidRPr="00993D17">
        <w:rPr>
          <w:rFonts w:eastAsia="Arial Unicode MS"/>
          <w:iCs/>
        </w:rPr>
        <w:t>.</w:t>
      </w:r>
      <w:r w:rsidRPr="00993D17">
        <w:rPr>
          <w:rFonts w:eastAsia="Arial Unicode MS"/>
          <w:i/>
        </w:rPr>
        <w:t xml:space="preserve"> ANDE issue brief</w:t>
      </w:r>
      <w:r w:rsidRPr="00993D17">
        <w:rPr>
          <w:rFonts w:eastAsia="Arial Unicode MS"/>
        </w:rPr>
        <w:t>. https://cdn.ymaws.com/www.andeglobal.org/resource/resmgr/research_library/sgb_gender_equality_report.pdf</w:t>
      </w:r>
    </w:p>
    <w:p w14:paraId="43CF0EA4" w14:textId="77777777" w:rsidR="00EE18FD" w:rsidRPr="00993D17" w:rsidRDefault="00EE18FD" w:rsidP="00EE18FD">
      <w:pPr>
        <w:spacing w:after="60"/>
        <w:ind w:hanging="720"/>
        <w:rPr>
          <w:rFonts w:eastAsia="Arial Unicode MS"/>
        </w:rPr>
      </w:pPr>
      <w:r w:rsidRPr="00993D17">
        <w:rPr>
          <w:rFonts w:eastAsia="Arial Unicode MS"/>
        </w:rPr>
        <w:t xml:space="preserve">Berglund, K., </w:t>
      </w:r>
      <w:proofErr w:type="spellStart"/>
      <w:r w:rsidRPr="00993D17">
        <w:rPr>
          <w:rFonts w:eastAsia="Arial Unicode MS"/>
        </w:rPr>
        <w:t>Ahl</w:t>
      </w:r>
      <w:proofErr w:type="spellEnd"/>
      <w:r w:rsidRPr="00993D17">
        <w:rPr>
          <w:rFonts w:eastAsia="Arial Unicode MS"/>
        </w:rPr>
        <w:t xml:space="preserve">, H., </w:t>
      </w:r>
      <w:proofErr w:type="spellStart"/>
      <w:r w:rsidRPr="00993D17">
        <w:rPr>
          <w:rFonts w:eastAsia="Arial Unicode MS"/>
        </w:rPr>
        <w:t>Pettersson</w:t>
      </w:r>
      <w:proofErr w:type="spellEnd"/>
      <w:r w:rsidRPr="00993D17">
        <w:rPr>
          <w:rFonts w:eastAsia="Arial Unicode MS"/>
        </w:rPr>
        <w:t xml:space="preserve">, K., &amp; </w:t>
      </w:r>
      <w:proofErr w:type="spellStart"/>
      <w:r w:rsidRPr="00993D17">
        <w:rPr>
          <w:rFonts w:eastAsia="Arial Unicode MS"/>
        </w:rPr>
        <w:t>Tillmar</w:t>
      </w:r>
      <w:proofErr w:type="spellEnd"/>
      <w:r w:rsidRPr="00993D17">
        <w:rPr>
          <w:rFonts w:eastAsia="Arial Unicode MS"/>
        </w:rPr>
        <w:t>, M. (2018). Women's entrepreneurship, neoliberalism and economic justice in the postfeminist era: A discourse analysis of policy change in Sweden. </w:t>
      </w:r>
      <w:r w:rsidRPr="00993D17">
        <w:rPr>
          <w:rFonts w:eastAsia="Arial Unicode MS"/>
          <w:i/>
          <w:iCs/>
        </w:rPr>
        <w:t>Gender, Work &amp; Organization</w:t>
      </w:r>
      <w:r w:rsidRPr="00993D17">
        <w:rPr>
          <w:rFonts w:eastAsia="Arial Unicode MS"/>
        </w:rPr>
        <w:t>, </w:t>
      </w:r>
      <w:r w:rsidRPr="00993D17">
        <w:rPr>
          <w:rFonts w:eastAsia="Arial Unicode MS"/>
          <w:i/>
          <w:iCs/>
        </w:rPr>
        <w:t>25</w:t>
      </w:r>
      <w:r w:rsidRPr="00993D17">
        <w:rPr>
          <w:rFonts w:eastAsia="Arial Unicode MS"/>
        </w:rPr>
        <w:t>(5), 531-556.</w:t>
      </w:r>
    </w:p>
    <w:p w14:paraId="7971781A" w14:textId="77777777" w:rsidR="00EE18FD" w:rsidRPr="00993D17" w:rsidRDefault="00EE18FD" w:rsidP="00EE18FD">
      <w:pPr>
        <w:spacing w:after="60"/>
        <w:ind w:hanging="720"/>
        <w:rPr>
          <w:rFonts w:eastAsia="Arial Unicode MS"/>
        </w:rPr>
      </w:pPr>
      <w:r w:rsidRPr="00993D17">
        <w:rPr>
          <w:rFonts w:eastAsia="Arial Unicode MS"/>
        </w:rPr>
        <w:t xml:space="preserve">Bird, B., &amp; Brush, C. (2002). A gendered perspective on organizational creation. </w:t>
      </w:r>
      <w:r w:rsidRPr="00993D17">
        <w:rPr>
          <w:rFonts w:eastAsia="Arial Unicode MS"/>
          <w:i/>
        </w:rPr>
        <w:t>Entrepreneurship Theory and Practice</w:t>
      </w:r>
      <w:r w:rsidRPr="00993D17">
        <w:rPr>
          <w:rFonts w:eastAsia="Arial Unicode MS"/>
          <w:iCs/>
        </w:rPr>
        <w:t>.</w:t>
      </w:r>
      <w:r w:rsidRPr="00993D17">
        <w:rPr>
          <w:rFonts w:eastAsia="Arial Unicode MS"/>
        </w:rPr>
        <w:t xml:space="preserve"> 26(3), 41–65. </w:t>
      </w:r>
      <w:r w:rsidRPr="00993D17">
        <w:t>https://doi.org/10.1177/104225870202600303</w:t>
      </w:r>
      <w:r w:rsidRPr="00993D17">
        <w:rPr>
          <w:rFonts w:eastAsia="Arial Unicode MS"/>
        </w:rPr>
        <w:t xml:space="preserve"> </w:t>
      </w:r>
    </w:p>
    <w:p w14:paraId="11196513" w14:textId="77777777" w:rsidR="00EE18FD" w:rsidRPr="00993D17" w:rsidRDefault="00EE18FD" w:rsidP="00EE18FD">
      <w:pPr>
        <w:spacing w:after="60"/>
        <w:ind w:hanging="720"/>
        <w:rPr>
          <w:rFonts w:eastAsia="Arial Unicode MS"/>
          <w:lang w:val="en-US"/>
        </w:rPr>
      </w:pPr>
      <w:r w:rsidRPr="00993D17">
        <w:rPr>
          <w:rFonts w:eastAsia="Arial Unicode MS"/>
          <w:lang w:val="en-US"/>
        </w:rPr>
        <w:t xml:space="preserve">Bruni, A., </w:t>
      </w:r>
      <w:proofErr w:type="spellStart"/>
      <w:r w:rsidRPr="00993D17">
        <w:rPr>
          <w:rFonts w:eastAsia="Arial Unicode MS"/>
          <w:lang w:val="en-US"/>
        </w:rPr>
        <w:t>Gherardi</w:t>
      </w:r>
      <w:proofErr w:type="spellEnd"/>
      <w:r w:rsidRPr="00993D17">
        <w:rPr>
          <w:rFonts w:eastAsia="Arial Unicode MS"/>
          <w:lang w:val="en-US"/>
        </w:rPr>
        <w:t xml:space="preserve">, G., </w:t>
      </w:r>
      <w:r w:rsidRPr="00993D17">
        <w:rPr>
          <w:rFonts w:eastAsia="Arial Unicode MS"/>
        </w:rPr>
        <w:t>&amp;</w:t>
      </w:r>
      <w:r w:rsidRPr="00993D17">
        <w:rPr>
          <w:rFonts w:eastAsia="Arial Unicode MS"/>
          <w:lang w:val="en-US"/>
        </w:rPr>
        <w:t xml:space="preserve"> </w:t>
      </w:r>
      <w:proofErr w:type="spellStart"/>
      <w:r w:rsidRPr="00993D17">
        <w:rPr>
          <w:rFonts w:eastAsia="Arial Unicode MS"/>
          <w:lang w:val="en-US"/>
        </w:rPr>
        <w:t>Poggio</w:t>
      </w:r>
      <w:proofErr w:type="spellEnd"/>
      <w:r w:rsidRPr="00993D17">
        <w:rPr>
          <w:rFonts w:eastAsia="Arial Unicode MS"/>
          <w:lang w:val="en-US"/>
        </w:rPr>
        <w:t xml:space="preserve">, B. (2004). Entrepreneurship-mentality, gender and the study of women entrepreneurs. </w:t>
      </w:r>
      <w:r w:rsidRPr="00993D17">
        <w:rPr>
          <w:rFonts w:eastAsia="Arial Unicode MS"/>
          <w:i/>
          <w:iCs/>
          <w:lang w:val="en-US"/>
        </w:rPr>
        <w:t>Journal of Organizational Change Management</w:t>
      </w:r>
      <w:r w:rsidRPr="00993D17">
        <w:rPr>
          <w:rFonts w:eastAsia="Arial Unicode MS"/>
          <w:lang w:val="en-US"/>
        </w:rPr>
        <w:t xml:space="preserve">. </w:t>
      </w:r>
      <w:r w:rsidRPr="00993D17">
        <w:rPr>
          <w:rFonts w:eastAsia="Arial Unicode MS"/>
          <w:iCs/>
          <w:lang w:val="en-US"/>
        </w:rPr>
        <w:t>17(3)</w:t>
      </w:r>
      <w:r w:rsidRPr="00993D17">
        <w:rPr>
          <w:rFonts w:eastAsia="Arial Unicode MS"/>
          <w:lang w:val="en-US"/>
        </w:rPr>
        <w:t xml:space="preserve">, 256–269. </w:t>
      </w:r>
      <w:r w:rsidRPr="00993D17">
        <w:rPr>
          <w:rFonts w:eastAsia="Arial Unicode MS"/>
        </w:rPr>
        <w:t xml:space="preserve"> </w:t>
      </w:r>
      <w:r w:rsidRPr="00993D17">
        <w:t>https://doi.org/10.1108/09534810410538315</w:t>
      </w:r>
    </w:p>
    <w:p w14:paraId="16474579" w14:textId="77777777" w:rsidR="00EE18FD" w:rsidRPr="00993D17" w:rsidRDefault="00EE18FD" w:rsidP="00EE18FD">
      <w:pPr>
        <w:spacing w:after="60"/>
        <w:ind w:hanging="720"/>
        <w:rPr>
          <w:rFonts w:eastAsia="Arial Unicode MS"/>
          <w:lang w:val="en-US"/>
        </w:rPr>
      </w:pPr>
      <w:r w:rsidRPr="00993D17">
        <w:rPr>
          <w:rFonts w:eastAsia="Arial Unicode MS"/>
          <w:lang w:val="en-US"/>
        </w:rPr>
        <w:t xml:space="preserve">Brush, C., Allen, E., de Bruin, A., &amp; Welter, F. (2010). Gender embeddedness of women entrepreneurs: An empirical test of the “5M” framework. Frontiers of Entrepreneurship Research. Babson College, 30(8). </w:t>
      </w:r>
    </w:p>
    <w:p w14:paraId="4740F5F1" w14:textId="77777777" w:rsidR="00EE18FD" w:rsidRPr="00993D17" w:rsidRDefault="00EE18FD" w:rsidP="00EE18FD">
      <w:pPr>
        <w:spacing w:after="60"/>
        <w:ind w:hanging="720"/>
        <w:rPr>
          <w:rFonts w:eastAsia="Arial Unicode MS"/>
          <w:lang w:val="en-US"/>
        </w:rPr>
      </w:pPr>
      <w:r w:rsidRPr="00993D17">
        <w:rPr>
          <w:rFonts w:eastAsia="Arial Unicode MS"/>
          <w:lang w:val="en-US"/>
        </w:rPr>
        <w:t xml:space="preserve">Brush, C. G., De Bruin, A., </w:t>
      </w:r>
      <w:r w:rsidRPr="00993D17">
        <w:rPr>
          <w:rFonts w:eastAsia="Arial Unicode MS"/>
        </w:rPr>
        <w:t>&amp;</w:t>
      </w:r>
      <w:r w:rsidRPr="00993D17">
        <w:rPr>
          <w:rFonts w:eastAsia="Arial Unicode MS"/>
          <w:lang w:val="en-US"/>
        </w:rPr>
        <w:t xml:space="preserve"> Welter, F. (2009). A gender</w:t>
      </w:r>
      <w:r w:rsidRPr="00993D17">
        <w:rPr>
          <w:rFonts w:ascii="Cambria Math" w:eastAsia="Arial Unicode MS" w:hAnsi="Cambria Math" w:cs="Cambria Math"/>
          <w:lang w:val="en-US"/>
        </w:rPr>
        <w:t>‐</w:t>
      </w:r>
      <w:r w:rsidRPr="00993D17">
        <w:rPr>
          <w:rFonts w:eastAsia="Arial Unicode MS"/>
          <w:lang w:val="en-US"/>
        </w:rPr>
        <w:t>aware framework for women’s entrepreneurship. </w:t>
      </w:r>
      <w:r w:rsidRPr="00993D17">
        <w:rPr>
          <w:rFonts w:eastAsia="Arial Unicode MS"/>
          <w:i/>
          <w:lang w:val="en-US"/>
        </w:rPr>
        <w:t>International Journal of Gender and Entrepreneurship</w:t>
      </w:r>
      <w:r w:rsidRPr="00993D17">
        <w:rPr>
          <w:rFonts w:eastAsia="Arial Unicode MS"/>
          <w:lang w:val="en-US"/>
        </w:rPr>
        <w:t xml:space="preserve">, 1(1), 8–24. </w:t>
      </w:r>
      <w:r w:rsidRPr="00993D17">
        <w:t>https://doi.org/10.1108/17566260910942318</w:t>
      </w:r>
    </w:p>
    <w:p w14:paraId="2228073A" w14:textId="77777777" w:rsidR="00EE18FD" w:rsidRPr="00993D17" w:rsidRDefault="00EE18FD" w:rsidP="00EE18FD">
      <w:pPr>
        <w:spacing w:after="60"/>
        <w:ind w:hanging="720"/>
        <w:rPr>
          <w:rFonts w:eastAsia="Arial Unicode MS"/>
        </w:rPr>
      </w:pPr>
      <w:r w:rsidRPr="00993D17">
        <w:rPr>
          <w:rFonts w:eastAsia="Arial Unicode MS"/>
        </w:rPr>
        <w:t xml:space="preserve">Bryman, A. (2001). </w:t>
      </w:r>
      <w:r w:rsidRPr="00993D17">
        <w:rPr>
          <w:rFonts w:eastAsia="Arial Unicode MS"/>
          <w:i/>
        </w:rPr>
        <w:t>Social research methods</w:t>
      </w:r>
      <w:r w:rsidRPr="00993D17">
        <w:rPr>
          <w:rFonts w:eastAsia="Arial Unicode MS"/>
        </w:rPr>
        <w:t>. Oxford University Press.</w:t>
      </w:r>
    </w:p>
    <w:p w14:paraId="74AA0C64" w14:textId="77777777" w:rsidR="00EE18FD" w:rsidRPr="00993D17" w:rsidRDefault="00EE18FD" w:rsidP="00EE18FD">
      <w:pPr>
        <w:spacing w:after="60"/>
        <w:ind w:hanging="720"/>
        <w:rPr>
          <w:rFonts w:eastAsia="Arial Unicode MS"/>
          <w:bCs/>
        </w:rPr>
      </w:pPr>
      <w:r w:rsidRPr="00993D17">
        <w:rPr>
          <w:rFonts w:eastAsia="Arial Unicode MS"/>
        </w:rPr>
        <w:t xml:space="preserve">Business Development Bank of Canada (BDC). (2020). </w:t>
      </w:r>
      <w:r w:rsidRPr="00993D17">
        <w:rPr>
          <w:rFonts w:eastAsia="Arial Unicode MS"/>
          <w:bCs/>
          <w:i/>
        </w:rPr>
        <w:t>Canadian entrepreneur mental health and well-being report</w:t>
      </w:r>
      <w:r w:rsidRPr="00993D17">
        <w:rPr>
          <w:rFonts w:eastAsia="Arial Unicode MS"/>
          <w:bCs/>
        </w:rPr>
        <w:t xml:space="preserve">. </w:t>
      </w:r>
      <w:r w:rsidRPr="00993D17">
        <w:rPr>
          <w:rFonts w:eastAsia="Arial Unicode MS"/>
        </w:rPr>
        <w:t>https://www.bdc.ca/globalassets/digizuite/26609-well_being_study_bdc_2020_en.pdf</w:t>
      </w:r>
    </w:p>
    <w:p w14:paraId="3AAA4DBE" w14:textId="77777777" w:rsidR="00EE18FD" w:rsidRPr="00993D17" w:rsidRDefault="00EE18FD" w:rsidP="00EE18FD">
      <w:pPr>
        <w:spacing w:after="60"/>
        <w:ind w:hanging="720"/>
        <w:rPr>
          <w:rFonts w:eastAsia="Arial Unicode MS"/>
        </w:rPr>
      </w:pPr>
      <w:r w:rsidRPr="00993D17">
        <w:rPr>
          <w:rFonts w:eastAsia="Arial Unicode MS"/>
          <w:i/>
        </w:rPr>
        <w:lastRenderedPageBreak/>
        <w:t>Canada-United States Council for Advancement of Women Entrepreneurs and Business Leaders</w:t>
      </w:r>
      <w:r w:rsidRPr="00993D17">
        <w:rPr>
          <w:rFonts w:eastAsia="Arial Unicode MS"/>
          <w:iCs/>
        </w:rPr>
        <w:t>.</w:t>
      </w:r>
      <w:r w:rsidRPr="00993D17">
        <w:rPr>
          <w:rFonts w:eastAsia="Arial Unicode MS"/>
        </w:rPr>
        <w:t xml:space="preserve"> (2017). https://advancingwomeninbusiness.com/</w:t>
      </w:r>
    </w:p>
    <w:p w14:paraId="32753DC7" w14:textId="77777777" w:rsidR="00EE18FD" w:rsidRPr="00993D17" w:rsidRDefault="00EE18FD" w:rsidP="00EE18FD">
      <w:pPr>
        <w:spacing w:after="60"/>
        <w:ind w:hanging="720"/>
        <w:rPr>
          <w:rFonts w:eastAsia="Arial Unicode MS"/>
          <w:b/>
          <w:bCs/>
        </w:rPr>
      </w:pPr>
      <w:r w:rsidRPr="00993D17">
        <w:rPr>
          <w:rFonts w:eastAsia="Arial Unicode MS"/>
        </w:rPr>
        <w:t xml:space="preserve">The Canadian Press. (2020, August 19). </w:t>
      </w:r>
      <w:r w:rsidRPr="00993D17">
        <w:rPr>
          <w:rFonts w:eastAsia="Arial Unicode MS"/>
          <w:i/>
        </w:rPr>
        <w:t>Trudeau promises roadmap following prorogation and cabinet reshuffle</w:t>
      </w:r>
      <w:r w:rsidRPr="00993D17">
        <w:rPr>
          <w:rFonts w:eastAsia="Arial Unicode MS"/>
        </w:rPr>
        <w:t>. CTV news. https://www.ctvnews.ca/politics/trudeau-promises-roadmap-following-prorogation-and-cabinet-reshuffle-1.5070076</w:t>
      </w:r>
      <w:r w:rsidRPr="00993D17" w:rsidDel="002B6CD8">
        <w:rPr>
          <w:rFonts w:eastAsia="Arial Unicode MS"/>
        </w:rPr>
        <w:t xml:space="preserve"> </w:t>
      </w:r>
    </w:p>
    <w:p w14:paraId="56CFC745" w14:textId="77777777" w:rsidR="00EE18FD" w:rsidRPr="00993D17" w:rsidRDefault="00EE18FD" w:rsidP="00EE18FD">
      <w:pPr>
        <w:spacing w:after="60"/>
        <w:ind w:hanging="720"/>
        <w:rPr>
          <w:rFonts w:eastAsia="Arial Unicode MS"/>
        </w:rPr>
      </w:pPr>
      <w:r w:rsidRPr="00993D17">
        <w:rPr>
          <w:rFonts w:eastAsia="Arial Unicode MS"/>
        </w:rPr>
        <w:t xml:space="preserve">Candida, G., Brush, C., Greene, P., </w:t>
      </w:r>
      <w:proofErr w:type="spellStart"/>
      <w:r w:rsidRPr="00993D17">
        <w:rPr>
          <w:rFonts w:eastAsia="Arial Unicode MS"/>
        </w:rPr>
        <w:t>Balachandra</w:t>
      </w:r>
      <w:proofErr w:type="spellEnd"/>
      <w:r w:rsidRPr="00993D17">
        <w:rPr>
          <w:rFonts w:eastAsia="Arial Unicode MS"/>
        </w:rPr>
        <w:t xml:space="preserve">, L., &amp; Davis, A. (2014). </w:t>
      </w:r>
      <w:r w:rsidRPr="00993D17">
        <w:rPr>
          <w:rFonts w:eastAsia="Arial Unicode MS"/>
          <w:i/>
        </w:rPr>
        <w:t>Diana Report Women Entrepreneurs 2014: Bridging the gender gap in venture capital</w:t>
      </w:r>
      <w:r w:rsidRPr="00993D17">
        <w:rPr>
          <w:rFonts w:eastAsia="Arial Unicode MS"/>
        </w:rPr>
        <w:t xml:space="preserve">, Arthur M. Blank Center for Entrepreneurship Babson College. </w:t>
      </w:r>
    </w:p>
    <w:p w14:paraId="7C1C82F2" w14:textId="77777777" w:rsidR="00EE18FD" w:rsidRPr="00993D17" w:rsidRDefault="00EE18FD" w:rsidP="00EE18FD">
      <w:pPr>
        <w:spacing w:after="60"/>
        <w:ind w:hanging="720"/>
        <w:rPr>
          <w:rFonts w:eastAsia="Arial Unicode MS"/>
        </w:rPr>
      </w:pPr>
      <w:proofErr w:type="spellStart"/>
      <w:r w:rsidRPr="00993D17">
        <w:rPr>
          <w:rFonts w:eastAsia="Arial Unicode MS"/>
        </w:rPr>
        <w:t>Cukier</w:t>
      </w:r>
      <w:proofErr w:type="spellEnd"/>
      <w:r w:rsidRPr="00993D17">
        <w:rPr>
          <w:rFonts w:eastAsia="Arial Unicode MS"/>
        </w:rPr>
        <w:t xml:space="preserve">, W., Gagnon, S., Lindo, L. M., Hannan, C., &amp; Amato, S. (2013). A (critical) ecological model to enabling change: Promoting diversity and inclusion. In V. </w:t>
      </w:r>
      <w:proofErr w:type="spellStart"/>
      <w:r w:rsidRPr="00993D17">
        <w:rPr>
          <w:rFonts w:eastAsia="Arial Unicode MS"/>
        </w:rPr>
        <w:t>Malin</w:t>
      </w:r>
      <w:proofErr w:type="spellEnd"/>
      <w:r w:rsidRPr="00993D17">
        <w:rPr>
          <w:rFonts w:eastAsia="Arial Unicode MS"/>
        </w:rPr>
        <w:t xml:space="preserve">, J. Murphy, and M. </w:t>
      </w:r>
      <w:proofErr w:type="spellStart"/>
      <w:r w:rsidRPr="00993D17">
        <w:rPr>
          <w:rFonts w:eastAsia="Arial Unicode MS"/>
        </w:rPr>
        <w:t>Siltaoja</w:t>
      </w:r>
      <w:proofErr w:type="spellEnd"/>
      <w:r w:rsidRPr="00993D17">
        <w:rPr>
          <w:rFonts w:eastAsia="Arial Unicode MS"/>
        </w:rPr>
        <w:t xml:space="preserve">. (Eds.), </w:t>
      </w:r>
      <w:r w:rsidRPr="00993D17">
        <w:rPr>
          <w:rFonts w:eastAsia="Arial Unicode MS"/>
          <w:i/>
        </w:rPr>
        <w:t xml:space="preserve">Getting things done: Dialogues in critical management studies </w:t>
      </w:r>
      <w:r w:rsidRPr="00993D17">
        <w:rPr>
          <w:rFonts w:eastAsia="Arial Unicode MS"/>
          <w:iCs/>
        </w:rPr>
        <w:t xml:space="preserve">(pp. </w:t>
      </w:r>
      <w:r w:rsidRPr="00993D17">
        <w:rPr>
          <w:rFonts w:eastAsia="Arial Unicode MS"/>
        </w:rPr>
        <w:t xml:space="preserve">245–275). Emerald Group Publishing.  </w:t>
      </w:r>
    </w:p>
    <w:p w14:paraId="6CD878CB" w14:textId="77777777" w:rsidR="00EE18FD" w:rsidRPr="00993D17" w:rsidRDefault="00EE18FD" w:rsidP="00EE18FD">
      <w:pPr>
        <w:spacing w:after="60"/>
        <w:ind w:hanging="720"/>
        <w:rPr>
          <w:rFonts w:eastAsia="Arial Unicode MS"/>
        </w:rPr>
      </w:pPr>
      <w:proofErr w:type="spellStart"/>
      <w:r w:rsidRPr="00993D17">
        <w:rPr>
          <w:rFonts w:eastAsia="Arial Unicode MS"/>
        </w:rPr>
        <w:t>Calás</w:t>
      </w:r>
      <w:proofErr w:type="spellEnd"/>
      <w:r w:rsidRPr="00993D17">
        <w:rPr>
          <w:rFonts w:eastAsia="Arial Unicode MS"/>
        </w:rPr>
        <w:t xml:space="preserve">, M., &amp; </w:t>
      </w:r>
      <w:proofErr w:type="spellStart"/>
      <w:r w:rsidRPr="00993D17">
        <w:rPr>
          <w:rFonts w:eastAsia="Arial Unicode MS"/>
        </w:rPr>
        <w:t>Smircich</w:t>
      </w:r>
      <w:proofErr w:type="spellEnd"/>
      <w:r w:rsidRPr="00993D17">
        <w:rPr>
          <w:rFonts w:eastAsia="Arial Unicode MS"/>
        </w:rPr>
        <w:t xml:space="preserve">, L. (1989). Using the “F” word: Feminist theories and the social consequences of organizational research. </w:t>
      </w:r>
      <w:r w:rsidRPr="00993D17">
        <w:rPr>
          <w:rFonts w:eastAsia="Arial Unicode MS"/>
          <w:iCs/>
        </w:rPr>
        <w:t>Paper presented at the August 1989 Academy of Management Meeting</w:t>
      </w:r>
      <w:r w:rsidRPr="00993D17">
        <w:rPr>
          <w:rFonts w:eastAsia="Arial Unicode MS"/>
        </w:rPr>
        <w:t xml:space="preserve">. Chicago, United States. </w:t>
      </w:r>
    </w:p>
    <w:p w14:paraId="479EFFC1" w14:textId="77777777" w:rsidR="00EE18FD" w:rsidRPr="00993D17" w:rsidRDefault="00EE18FD" w:rsidP="00EE18FD">
      <w:pPr>
        <w:spacing w:after="60"/>
        <w:ind w:hanging="720"/>
        <w:rPr>
          <w:rFonts w:eastAsia="Arial Unicode MS"/>
        </w:rPr>
      </w:pPr>
      <w:proofErr w:type="spellStart"/>
      <w:r w:rsidRPr="00993D17">
        <w:rPr>
          <w:rFonts w:eastAsia="Arial Unicode MS"/>
        </w:rPr>
        <w:t>Calás</w:t>
      </w:r>
      <w:proofErr w:type="spellEnd"/>
      <w:r w:rsidRPr="00993D17">
        <w:rPr>
          <w:rFonts w:eastAsia="Arial Unicode MS"/>
        </w:rPr>
        <w:t xml:space="preserve">, M., </w:t>
      </w:r>
      <w:proofErr w:type="spellStart"/>
      <w:r w:rsidRPr="00993D17">
        <w:rPr>
          <w:rFonts w:eastAsia="Arial Unicode MS"/>
        </w:rPr>
        <w:t>Smircich</w:t>
      </w:r>
      <w:proofErr w:type="spellEnd"/>
      <w:r w:rsidRPr="00993D17">
        <w:rPr>
          <w:rFonts w:eastAsia="Arial Unicode MS"/>
        </w:rPr>
        <w:t>, L., &amp; Bourne, K. (2009). Extending the boundaries: Reframing “Entrepreneurship as social change” through feminist perspectives. </w:t>
      </w:r>
      <w:r w:rsidRPr="00993D17">
        <w:rPr>
          <w:rFonts w:eastAsia="Arial Unicode MS"/>
          <w:i/>
        </w:rPr>
        <w:t>The Academy of Management Revie</w:t>
      </w:r>
      <w:r w:rsidRPr="00993D17">
        <w:rPr>
          <w:rFonts w:eastAsia="Arial Unicode MS"/>
          <w:iCs/>
        </w:rPr>
        <w:t>,</w:t>
      </w:r>
      <w:r w:rsidRPr="00993D17">
        <w:rPr>
          <w:rFonts w:eastAsia="Arial Unicode MS"/>
        </w:rPr>
        <w:t xml:space="preserve"> 34(3), 552–569. </w:t>
      </w:r>
      <w:r w:rsidRPr="00993D17">
        <w:t>https://www.jstor.org/stable/27760019</w:t>
      </w:r>
    </w:p>
    <w:p w14:paraId="39C65A44" w14:textId="77777777" w:rsidR="00EE18FD" w:rsidRPr="00993D17" w:rsidRDefault="00EE18FD" w:rsidP="00EE18FD">
      <w:pPr>
        <w:spacing w:after="60"/>
        <w:ind w:hanging="720"/>
        <w:rPr>
          <w:rFonts w:eastAsia="Arial Unicode MS"/>
          <w:b/>
        </w:rPr>
      </w:pPr>
      <w:r w:rsidRPr="00993D17">
        <w:rPr>
          <w:rFonts w:eastAsia="Arial Unicode MS"/>
        </w:rPr>
        <w:t xml:space="preserve">Campbell, K. (1988). Is it time to put the “F” word in women in management research and teaching?” Conference Proceedings. From author’s conference paper archive.   </w:t>
      </w:r>
    </w:p>
    <w:p w14:paraId="0981C3AA" w14:textId="77777777" w:rsidR="00EE18FD" w:rsidRPr="00993D17" w:rsidRDefault="00EE18FD" w:rsidP="00EE18FD">
      <w:pPr>
        <w:spacing w:after="60"/>
        <w:ind w:hanging="720"/>
        <w:rPr>
          <w:rFonts w:eastAsia="Arial Unicode MS"/>
        </w:rPr>
      </w:pPr>
      <w:r w:rsidRPr="00993D17">
        <w:rPr>
          <w:rFonts w:eastAsia="Arial Unicode MS"/>
        </w:rPr>
        <w:t xml:space="preserve">Canadian Women’s Chamber of Commerce (CAN WCC). (2020). </w:t>
      </w:r>
      <w:r w:rsidRPr="00993D17">
        <w:rPr>
          <w:rFonts w:eastAsia="Arial Unicode MS"/>
          <w:iCs/>
        </w:rPr>
        <w:t xml:space="preserve">Falling through the cracks: COVID-19 survey of underrepresented founders. </w:t>
      </w:r>
      <w:r w:rsidRPr="00993D17">
        <w:rPr>
          <w:rFonts w:eastAsia="Arial Unicode MS"/>
        </w:rPr>
        <w:t>https://canwcc.ca/covid-survey/</w:t>
      </w:r>
    </w:p>
    <w:p w14:paraId="523C05E2" w14:textId="77777777" w:rsidR="00EE18FD" w:rsidRPr="00993D17" w:rsidRDefault="00EE18FD" w:rsidP="00EE18FD">
      <w:pPr>
        <w:spacing w:after="60"/>
        <w:ind w:hanging="720"/>
        <w:outlineLvl w:val="0"/>
        <w:rPr>
          <w:kern w:val="36"/>
        </w:rPr>
      </w:pPr>
      <w:r w:rsidRPr="00993D17">
        <w:rPr>
          <w:kern w:val="36"/>
        </w:rPr>
        <w:t>CBC.ca (2020, September 9), Trudeau announces new loan program for Black entrepreneurs as Singh calls for action against systemic racism. https://www.cbc.ca/news/politics/trudeau-black-entrepreneurs-1.5717297</w:t>
      </w:r>
    </w:p>
    <w:p w14:paraId="63BA809F" w14:textId="77777777" w:rsidR="00EE18FD" w:rsidRPr="00993D17" w:rsidRDefault="00EE18FD" w:rsidP="00EE18FD">
      <w:pPr>
        <w:spacing w:after="60"/>
        <w:ind w:hanging="720"/>
        <w:rPr>
          <w:rFonts w:eastAsia="Arial Unicode MS"/>
        </w:rPr>
      </w:pPr>
      <w:proofErr w:type="spellStart"/>
      <w:r w:rsidRPr="00993D17">
        <w:rPr>
          <w:rFonts w:eastAsia="Arial Unicode MS"/>
        </w:rPr>
        <w:t>Cerna</w:t>
      </w:r>
      <w:proofErr w:type="spellEnd"/>
      <w:r w:rsidRPr="00993D17">
        <w:rPr>
          <w:rFonts w:eastAsia="Arial Unicode MS"/>
        </w:rPr>
        <w:t xml:space="preserve">, L. (2020). </w:t>
      </w:r>
      <w:r w:rsidRPr="00993D17">
        <w:rPr>
          <w:rFonts w:eastAsia="Arial Unicode MS"/>
          <w:i/>
        </w:rPr>
        <w:t>Strength through diversity: Framework and approach to intersectionality</w:t>
      </w:r>
      <w:r w:rsidRPr="00993D17">
        <w:rPr>
          <w:rFonts w:eastAsia="Arial Unicode MS"/>
        </w:rPr>
        <w:t xml:space="preserve">. OECD, Project leader, policy advice and implementation division directorate for education and skills, 7th policy forum, 2020 March 2, Paris. http://www.oecd.org/education/strength-through- </w:t>
      </w:r>
    </w:p>
    <w:p w14:paraId="04E54595" w14:textId="77777777" w:rsidR="00EE18FD" w:rsidRPr="00993D17" w:rsidRDefault="00EE18FD" w:rsidP="00EE18FD">
      <w:pPr>
        <w:spacing w:after="60"/>
        <w:ind w:hanging="720"/>
      </w:pPr>
      <w:proofErr w:type="spellStart"/>
      <w:r w:rsidRPr="00993D17">
        <w:t>Chreim</w:t>
      </w:r>
      <w:proofErr w:type="spellEnd"/>
      <w:r w:rsidRPr="00993D17">
        <w:t xml:space="preserve">, S., Spence, M., Crick, D., </w:t>
      </w:r>
      <w:r w:rsidRPr="00993D17">
        <w:rPr>
          <w:rFonts w:eastAsia="Arial Unicode MS"/>
        </w:rPr>
        <w:t>&amp;</w:t>
      </w:r>
      <w:r w:rsidRPr="00993D17">
        <w:t xml:space="preserve"> Liao, X. (2018). Review of female immigrant entrepreneurship research: Past findings, gaps and ways forward. </w:t>
      </w:r>
      <w:r w:rsidRPr="00993D17">
        <w:rPr>
          <w:i/>
        </w:rPr>
        <w:t>European Management Journal</w:t>
      </w:r>
      <w:r w:rsidRPr="00993D17">
        <w:t>. 36(2), 210–222. https://doi.org/10.1016/j.emj.2018.02.001</w:t>
      </w:r>
      <w:r w:rsidRPr="00993D17">
        <w:rPr>
          <w:rFonts w:eastAsia="Arial Unicode MS"/>
        </w:rPr>
        <w:t xml:space="preserve"> </w:t>
      </w:r>
    </w:p>
    <w:p w14:paraId="6AAB153B" w14:textId="77777777" w:rsidR="00EE18FD" w:rsidRPr="00993D17" w:rsidRDefault="00EE18FD" w:rsidP="00EE18FD">
      <w:pPr>
        <w:spacing w:after="60"/>
        <w:ind w:hanging="720"/>
      </w:pPr>
      <w:proofErr w:type="spellStart"/>
      <w:r w:rsidRPr="00993D17">
        <w:t>Cirera</w:t>
      </w:r>
      <w:proofErr w:type="spellEnd"/>
      <w:r w:rsidRPr="00993D17">
        <w:t xml:space="preserve">, X., </w:t>
      </w:r>
      <w:r w:rsidRPr="00993D17">
        <w:rPr>
          <w:rFonts w:eastAsia="Arial Unicode MS"/>
        </w:rPr>
        <w:t>&amp;</w:t>
      </w:r>
      <w:r w:rsidRPr="00993D17">
        <w:t xml:space="preserve"> </w:t>
      </w:r>
      <w:proofErr w:type="spellStart"/>
      <w:r w:rsidRPr="00993D17">
        <w:t>Qasim</w:t>
      </w:r>
      <w:proofErr w:type="spellEnd"/>
      <w:r w:rsidRPr="00993D17">
        <w:t xml:space="preserve">, Q. (2014). </w:t>
      </w:r>
      <w:r w:rsidRPr="00993D17">
        <w:rPr>
          <w:i/>
        </w:rPr>
        <w:t>Technology, innovation and entrepreneurship policy note. Supporting growth-oriented women entrepreneurs: A review of the evidence and key challenges</w:t>
      </w:r>
      <w:r w:rsidRPr="00993D17">
        <w:t>. September 2014, No. 5. World Bank Group. http://documents1.worldbank.org/curated/en/301891468327585460/pdf/92210-REPLACEMENT-Supporting-Growth-Oriented-Women-Entrepreneurs-A-Review-of-the-Evidence-and-Key-Challenge.pdf</w:t>
      </w:r>
    </w:p>
    <w:p w14:paraId="405A69CD" w14:textId="77777777" w:rsidR="00EE18FD" w:rsidRPr="00993D17" w:rsidRDefault="00EE18FD" w:rsidP="00EE18FD">
      <w:pPr>
        <w:spacing w:after="60"/>
        <w:ind w:hanging="720"/>
        <w:rPr>
          <w:lang w:val="en-US"/>
        </w:rPr>
      </w:pPr>
      <w:r w:rsidRPr="00993D17">
        <w:rPr>
          <w:rFonts w:eastAsia="Arial Unicode MS"/>
        </w:rPr>
        <w:t xml:space="preserve">Coleman, S., Henry, C., </w:t>
      </w:r>
      <w:proofErr w:type="spellStart"/>
      <w:r w:rsidRPr="00993D17">
        <w:rPr>
          <w:rFonts w:eastAsia="Arial Unicode MS"/>
        </w:rPr>
        <w:t>Orser</w:t>
      </w:r>
      <w:proofErr w:type="spellEnd"/>
      <w:r w:rsidRPr="00993D17">
        <w:rPr>
          <w:rFonts w:eastAsia="Arial Unicode MS"/>
        </w:rPr>
        <w:t>, B., Foss, L., &amp; Welter, F. (2019). Policy support for women entrepreneurs’ access to financial capital: Evidence from Canada, Germany, Ireland, Norway, and the United States. </w:t>
      </w:r>
      <w:r w:rsidRPr="00993D17">
        <w:rPr>
          <w:rFonts w:eastAsia="Arial Unicode MS"/>
          <w:i/>
        </w:rPr>
        <w:t>Journal of Small Business Management</w:t>
      </w:r>
      <w:r w:rsidRPr="00993D17">
        <w:rPr>
          <w:rFonts w:eastAsia="Arial Unicode MS"/>
        </w:rPr>
        <w:t xml:space="preserve">, 57(2), 296–322. </w:t>
      </w:r>
      <w:hyperlink r:id="rId8" w:history="1">
        <w:r w:rsidRPr="00993D17">
          <w:rPr>
            <w:rStyle w:val="Hyperlink"/>
          </w:rPr>
          <w:t>https://doi.org/10.1111/jsbm.12473</w:t>
        </w:r>
      </w:hyperlink>
    </w:p>
    <w:p w14:paraId="6799B07E" w14:textId="77777777" w:rsidR="00EE18FD" w:rsidRPr="00993D17" w:rsidRDefault="00EE18FD" w:rsidP="00EE18FD">
      <w:pPr>
        <w:spacing w:after="60"/>
        <w:ind w:hanging="720"/>
        <w:rPr>
          <w:rFonts w:eastAsia="Arial Unicode MS"/>
        </w:rPr>
      </w:pPr>
      <w:r w:rsidRPr="00993D17">
        <w:rPr>
          <w:rFonts w:eastAsia="Arial Unicode MS"/>
        </w:rPr>
        <w:lastRenderedPageBreak/>
        <w:t xml:space="preserve">Crenshaw, K. (2016). </w:t>
      </w:r>
      <w:r w:rsidRPr="00993D17">
        <w:rPr>
          <w:rFonts w:eastAsia="Arial Unicode MS"/>
          <w:i/>
        </w:rPr>
        <w:t>On Intersectionality</w:t>
      </w:r>
      <w:r w:rsidRPr="00993D17">
        <w:rPr>
          <w:rFonts w:eastAsia="Arial Unicode MS"/>
        </w:rPr>
        <w:t xml:space="preserve">, WOW, Women of the World Festival 2016. </w:t>
      </w:r>
      <w:hyperlink r:id="rId9" w:history="1">
        <w:r w:rsidRPr="00993D17">
          <w:rPr>
            <w:rStyle w:val="Hyperlink"/>
            <w:rFonts w:eastAsia="Arial Unicode MS"/>
          </w:rPr>
          <w:t>https://www.youtube.com/watch?v=-DW4HLgYPlA</w:t>
        </w:r>
      </w:hyperlink>
    </w:p>
    <w:p w14:paraId="0E14B582" w14:textId="77777777" w:rsidR="00EE18FD" w:rsidRPr="00993D17" w:rsidRDefault="00EE18FD" w:rsidP="00EE18FD">
      <w:pPr>
        <w:spacing w:after="60"/>
        <w:ind w:hanging="720"/>
        <w:rPr>
          <w:rFonts w:eastAsia="Arial Unicode MS"/>
        </w:rPr>
      </w:pPr>
      <w:r w:rsidRPr="00993D17">
        <w:rPr>
          <w:rFonts w:eastAsia="Arial Unicode MS"/>
        </w:rPr>
        <w:t xml:space="preserve">Dalziel, M., Cumming, D., &amp; Wolfe, D. (2014). </w:t>
      </w:r>
      <w:r w:rsidRPr="00993D17">
        <w:rPr>
          <w:rFonts w:eastAsia="Arial Unicode MS"/>
          <w:i/>
        </w:rPr>
        <w:t>Report of the Expert Panel Examining Ontario’s Business Support Programs</w:t>
      </w:r>
      <w:r w:rsidRPr="00993D17">
        <w:rPr>
          <w:rFonts w:eastAsia="Arial Unicode MS"/>
        </w:rPr>
        <w:t>. Report presented to the Ontario Minister of Finance and the Ontario Minister of Economic Development, Employment and Infrastructure.</w:t>
      </w:r>
    </w:p>
    <w:p w14:paraId="4B83E6A3" w14:textId="77777777" w:rsidR="00EE18FD" w:rsidRPr="00993D17" w:rsidRDefault="00EE18FD" w:rsidP="00EE18FD">
      <w:pPr>
        <w:spacing w:after="60"/>
        <w:ind w:hanging="720"/>
        <w:rPr>
          <w:rFonts w:eastAsia="Arial Unicode MS"/>
        </w:rPr>
      </w:pPr>
      <w:r w:rsidRPr="00993D17">
        <w:rPr>
          <w:rFonts w:eastAsia="Arial Unicode MS"/>
        </w:rPr>
        <w:t xml:space="preserve">Davidson, A., &amp; Hume, V. (2020). </w:t>
      </w:r>
      <w:r w:rsidRPr="00993D17">
        <w:rPr>
          <w:rFonts w:eastAsia="Arial Unicode MS"/>
          <w:i/>
        </w:rPr>
        <w:t xml:space="preserve">Accelerating women-led </w:t>
      </w:r>
      <w:proofErr w:type="spellStart"/>
      <w:r w:rsidRPr="00993D17">
        <w:rPr>
          <w:rFonts w:eastAsia="Arial Unicode MS"/>
          <w:i/>
        </w:rPr>
        <w:t>startups</w:t>
      </w:r>
      <w:proofErr w:type="spellEnd"/>
      <w:r w:rsidRPr="00993D17">
        <w:rPr>
          <w:rFonts w:eastAsia="Arial Unicode MS"/>
          <w:i/>
        </w:rPr>
        <w:t>. A knowledge brief.</w:t>
      </w:r>
      <w:r w:rsidRPr="00993D17">
        <w:rPr>
          <w:rFonts w:eastAsia="Arial Unicode MS"/>
        </w:rPr>
        <w:t xml:space="preserve"> March 2020. Global Accelerator Learning Initiative.</w:t>
      </w:r>
      <w:r w:rsidRPr="00993D17" w:rsidDel="00AF5E38">
        <w:rPr>
          <w:rFonts w:eastAsia="Arial Unicode MS"/>
        </w:rPr>
        <w:t xml:space="preserve"> </w:t>
      </w:r>
      <w:r w:rsidRPr="00993D17">
        <w:rPr>
          <w:rFonts w:eastAsia="Arial Unicode MS"/>
        </w:rPr>
        <w:t>https://www.galidata.org/publications/accelerating-women-led-startups/</w:t>
      </w:r>
    </w:p>
    <w:p w14:paraId="4467986F" w14:textId="573E9BAD" w:rsidR="00EE18FD" w:rsidRPr="00993D17" w:rsidRDefault="00EE18FD" w:rsidP="00745795">
      <w:pPr>
        <w:spacing w:after="60"/>
        <w:ind w:hanging="720"/>
      </w:pPr>
      <w:r w:rsidRPr="00993D17">
        <w:rPr>
          <w:rFonts w:eastAsiaTheme="minorEastAsia"/>
          <w:lang w:eastAsia="ja-JP"/>
        </w:rPr>
        <w:t xml:space="preserve">Down, S., </w:t>
      </w:r>
      <w:r w:rsidRPr="00993D17">
        <w:rPr>
          <w:rFonts w:eastAsia="Arial Unicode MS"/>
        </w:rPr>
        <w:t>&amp;</w:t>
      </w:r>
      <w:r w:rsidRPr="00993D17">
        <w:rPr>
          <w:rFonts w:eastAsiaTheme="minorEastAsia"/>
          <w:lang w:eastAsia="ja-JP"/>
        </w:rPr>
        <w:t xml:space="preserve"> Warren, L. (2008). Constructing narratives of enterprise: Clichés and entrepreneurial self-identity. </w:t>
      </w:r>
      <w:r w:rsidRPr="00993D17">
        <w:rPr>
          <w:rFonts w:eastAsiaTheme="minorEastAsia"/>
          <w:i/>
          <w:iCs/>
          <w:lang w:eastAsia="ja-JP"/>
        </w:rPr>
        <w:t>International Journal of Entrepreneurial Behaviour and Research</w:t>
      </w:r>
      <w:r w:rsidRPr="00993D17">
        <w:rPr>
          <w:rFonts w:eastAsiaTheme="minorEastAsia"/>
          <w:lang w:eastAsia="ja-JP"/>
        </w:rPr>
        <w:t>. 14 (1), 4–23.</w:t>
      </w:r>
      <w:r w:rsidRPr="00993D17">
        <w:rPr>
          <w:rFonts w:eastAsia="Arial Unicode MS"/>
        </w:rPr>
        <w:t xml:space="preserve"> </w:t>
      </w:r>
      <w:r w:rsidRPr="00993D17">
        <w:t xml:space="preserve">Available at SSRN: https://ssrn.com/abstract=2478738 </w:t>
      </w:r>
    </w:p>
    <w:p w14:paraId="554FA194" w14:textId="77777777" w:rsidR="00EE18FD" w:rsidRPr="00993D17" w:rsidRDefault="00EE18FD" w:rsidP="00EE18FD">
      <w:pPr>
        <w:spacing w:after="60"/>
        <w:ind w:hanging="720"/>
        <w:rPr>
          <w:rFonts w:eastAsia="Arial Unicode MS"/>
        </w:rPr>
      </w:pPr>
      <w:r w:rsidRPr="00993D17">
        <w:rPr>
          <w:rFonts w:eastAsia="Arial Unicode MS"/>
        </w:rPr>
        <w:t xml:space="preserve">Elam, A. B., Brush, C. G., Greene, P. G., </w:t>
      </w:r>
      <w:proofErr w:type="spellStart"/>
      <w:r w:rsidRPr="00993D17">
        <w:rPr>
          <w:rFonts w:eastAsia="Arial Unicode MS"/>
        </w:rPr>
        <w:t>Baumer</w:t>
      </w:r>
      <w:proofErr w:type="spellEnd"/>
      <w:r w:rsidRPr="00993D17">
        <w:rPr>
          <w:rFonts w:eastAsia="Arial Unicode MS"/>
        </w:rPr>
        <w:t xml:space="preserve">, B., Dean, M., &amp; </w:t>
      </w:r>
      <w:proofErr w:type="spellStart"/>
      <w:r w:rsidRPr="00993D17">
        <w:rPr>
          <w:rFonts w:eastAsia="Arial Unicode MS"/>
        </w:rPr>
        <w:t>Heavlow</w:t>
      </w:r>
      <w:proofErr w:type="spellEnd"/>
      <w:r w:rsidRPr="00993D17">
        <w:rPr>
          <w:rFonts w:eastAsia="Arial Unicode MS"/>
        </w:rPr>
        <w:t xml:space="preserve">, R. (2019). </w:t>
      </w:r>
      <w:r w:rsidRPr="00993D17">
        <w:rPr>
          <w:rFonts w:eastAsia="Arial Unicode MS"/>
          <w:i/>
        </w:rPr>
        <w:t xml:space="preserve">GEM 2018/2019 Women’s entrepreneurship report. </w:t>
      </w:r>
      <w:r w:rsidRPr="00993D17">
        <w:rPr>
          <w:rFonts w:eastAsia="Arial Unicode MS"/>
        </w:rPr>
        <w:t xml:space="preserve">Global Entrepreneurship Monitor. https://www.gemconsortium.org/report/gem-20182019-womens-entrepreneurship-report </w:t>
      </w:r>
      <w:r w:rsidRPr="00993D17">
        <w:rPr>
          <w:rFonts w:eastAsia="Arial Unicode MS"/>
          <w:i/>
        </w:rPr>
        <w:t xml:space="preserve"> </w:t>
      </w:r>
    </w:p>
    <w:p w14:paraId="6AF6A100" w14:textId="16D46B59" w:rsidR="00EE18FD" w:rsidRPr="00993D17" w:rsidRDefault="00EE18FD" w:rsidP="00EE18FD">
      <w:pPr>
        <w:widowControl w:val="0"/>
        <w:autoSpaceDE w:val="0"/>
        <w:autoSpaceDN w:val="0"/>
        <w:adjustRightInd w:val="0"/>
        <w:spacing w:after="60"/>
        <w:ind w:hanging="720"/>
        <w:rPr>
          <w:rFonts w:eastAsiaTheme="minorEastAsia"/>
          <w:b/>
          <w:bCs/>
          <w:lang w:eastAsia="ja-JP"/>
        </w:rPr>
      </w:pPr>
      <w:r w:rsidRPr="00993D17">
        <w:rPr>
          <w:rFonts w:eastAsiaTheme="minorEastAsia"/>
          <w:lang w:eastAsia="ja-JP"/>
        </w:rPr>
        <w:t xml:space="preserve">Elliott, C., </w:t>
      </w:r>
      <w:r w:rsidRPr="00993D17">
        <w:rPr>
          <w:rFonts w:eastAsia="Arial Unicode MS"/>
        </w:rPr>
        <w:t>&amp;</w:t>
      </w:r>
      <w:r w:rsidRPr="00993D17">
        <w:rPr>
          <w:rFonts w:eastAsiaTheme="minorEastAsia"/>
          <w:lang w:eastAsia="ja-JP"/>
        </w:rPr>
        <w:t xml:space="preserve"> </w:t>
      </w:r>
      <w:proofErr w:type="spellStart"/>
      <w:r w:rsidRPr="00993D17">
        <w:rPr>
          <w:rFonts w:eastAsiaTheme="minorEastAsia"/>
          <w:lang w:eastAsia="ja-JP"/>
        </w:rPr>
        <w:t>Orser</w:t>
      </w:r>
      <w:proofErr w:type="spellEnd"/>
      <w:r w:rsidRPr="00993D17">
        <w:rPr>
          <w:rFonts w:eastAsiaTheme="minorEastAsia"/>
          <w:lang w:eastAsia="ja-JP"/>
        </w:rPr>
        <w:t xml:space="preserve">, B. (2018). Feminist entrepreneurial identity: Reproducing gender through founder decision-making. </w:t>
      </w:r>
      <w:r w:rsidR="00F05206">
        <w:rPr>
          <w:rFonts w:eastAsiaTheme="minorEastAsia"/>
          <w:lang w:eastAsia="ja-JP"/>
        </w:rPr>
        <w:t xml:space="preserve">In </w:t>
      </w:r>
      <w:r w:rsidRPr="00993D17">
        <w:rPr>
          <w:rFonts w:eastAsiaTheme="minorEastAsia"/>
          <w:lang w:eastAsia="ja-JP"/>
        </w:rPr>
        <w:t xml:space="preserve">P. Greene &amp; C. Brush (Eds.), </w:t>
      </w:r>
      <w:r w:rsidRPr="00993D17">
        <w:rPr>
          <w:rFonts w:eastAsiaTheme="minorEastAsia"/>
          <w:i/>
          <w:lang w:eastAsia="ja-JP"/>
        </w:rPr>
        <w:t>A research agenda for women and entrepreneurship: Identity through aspirations, behaviors and confidence</w:t>
      </w:r>
      <w:r w:rsidR="00F05206">
        <w:rPr>
          <w:rFonts w:eastAsiaTheme="minorEastAsia"/>
          <w:i/>
          <w:lang w:eastAsia="ja-JP"/>
        </w:rPr>
        <w:t xml:space="preserve"> </w:t>
      </w:r>
      <w:r w:rsidRPr="00993D17">
        <w:rPr>
          <w:rFonts w:eastAsiaTheme="minorEastAsia"/>
          <w:lang w:eastAsia="ja-JP"/>
        </w:rPr>
        <w:t>114–136. Edward Elgar.</w:t>
      </w:r>
    </w:p>
    <w:p w14:paraId="128B6EF8" w14:textId="77777777" w:rsidR="00EE18FD" w:rsidRPr="00993D17" w:rsidRDefault="00EE18FD" w:rsidP="00EE18FD">
      <w:pPr>
        <w:spacing w:after="60"/>
        <w:ind w:hanging="720"/>
      </w:pPr>
      <w:r w:rsidRPr="00993D17">
        <w:t xml:space="preserve">Feminists Deliver. (2020). </w:t>
      </w:r>
      <w:r w:rsidRPr="00993D17">
        <w:rPr>
          <w:i/>
        </w:rPr>
        <w:t>This economic labour hurts the arch of our backs. A feminist economic recovery plan for COVID 19</w:t>
      </w:r>
      <w:r w:rsidRPr="00993D17">
        <w:t>. https://feministsdeliver.com/feminist-economic-recovery/</w:t>
      </w:r>
    </w:p>
    <w:p w14:paraId="0A2CDE37" w14:textId="77777777" w:rsidR="00EE18FD" w:rsidRPr="00993D17" w:rsidRDefault="00EE18FD" w:rsidP="00EE18FD">
      <w:pPr>
        <w:spacing w:after="60"/>
        <w:ind w:hanging="720"/>
        <w:rPr>
          <w:rFonts w:eastAsia="Arial Unicode MS"/>
          <w:b/>
          <w:bCs/>
        </w:rPr>
      </w:pPr>
      <w:r w:rsidRPr="00993D17">
        <w:rPr>
          <w:rFonts w:eastAsia="Arial Unicode MS"/>
        </w:rPr>
        <w:t xml:space="preserve">Fischer, E., </w:t>
      </w:r>
      <w:proofErr w:type="spellStart"/>
      <w:r w:rsidRPr="00993D17">
        <w:rPr>
          <w:rFonts w:eastAsia="Arial Unicode MS"/>
        </w:rPr>
        <w:t>Reuber</w:t>
      </w:r>
      <w:proofErr w:type="spellEnd"/>
      <w:r w:rsidRPr="00993D17">
        <w:rPr>
          <w:rFonts w:eastAsia="Arial Unicode MS"/>
        </w:rPr>
        <w:t xml:space="preserve">, A. R., &amp; Dyke, K. (1993). A theoretical overview and extension of research on sex, gender, and entrepreneurship. </w:t>
      </w:r>
      <w:r w:rsidRPr="00993D17">
        <w:rPr>
          <w:rFonts w:eastAsia="Arial Unicode MS"/>
          <w:i/>
          <w:iCs/>
        </w:rPr>
        <w:t>Journal of Business Venturing</w:t>
      </w:r>
      <w:r w:rsidRPr="00993D17">
        <w:rPr>
          <w:rFonts w:eastAsia="Arial Unicode MS"/>
        </w:rPr>
        <w:t xml:space="preserve">. 8(2), 151–168. </w:t>
      </w:r>
      <w:r w:rsidRPr="00993D17">
        <w:t>https://EconPapers.repec.org/RePEc:eee:jbvent:v:8:y:1993:i:2:p:151-168</w:t>
      </w:r>
    </w:p>
    <w:p w14:paraId="76558758" w14:textId="77777777" w:rsidR="00EE18FD" w:rsidRPr="00993D17" w:rsidRDefault="00EE18FD" w:rsidP="00EE18FD">
      <w:pPr>
        <w:spacing w:after="60"/>
        <w:ind w:hanging="720"/>
        <w:rPr>
          <w:rFonts w:eastAsia="Arial Unicode MS"/>
        </w:rPr>
      </w:pPr>
      <w:r w:rsidRPr="00993D17">
        <w:rPr>
          <w:rFonts w:eastAsia="Arial Unicode MS"/>
        </w:rPr>
        <w:t>Flores, R. J., Crosby-Currie, C., &amp; Zimmerman, C. (2007). Engaged pedagogies, civic development, and student well-being within a liberal learning context.</w:t>
      </w:r>
      <w:r w:rsidRPr="00993D17">
        <w:rPr>
          <w:rFonts w:eastAsia="Arial Unicode MS"/>
          <w:i/>
          <w:iCs/>
        </w:rPr>
        <w:t xml:space="preserve"> Peer Review</w:t>
      </w:r>
      <w:r w:rsidRPr="00993D17">
        <w:rPr>
          <w:rFonts w:eastAsia="Arial Unicode MS"/>
        </w:rPr>
        <w:t xml:space="preserve">, 9(3), 11–13. </w:t>
      </w:r>
    </w:p>
    <w:p w14:paraId="4A3630FB" w14:textId="77777777" w:rsidR="00EE18FD" w:rsidRPr="00993D17" w:rsidRDefault="00EE18FD" w:rsidP="00EE18FD">
      <w:pPr>
        <w:spacing w:after="60"/>
        <w:ind w:hanging="720"/>
        <w:rPr>
          <w:rFonts w:eastAsia="Arial Unicode MS"/>
        </w:rPr>
      </w:pPr>
      <w:proofErr w:type="spellStart"/>
      <w:r w:rsidRPr="00993D17">
        <w:rPr>
          <w:rFonts w:eastAsia="Arial Unicode MS"/>
        </w:rPr>
        <w:t>Forson</w:t>
      </w:r>
      <w:proofErr w:type="spellEnd"/>
      <w:r w:rsidRPr="00993D17">
        <w:rPr>
          <w:rFonts w:eastAsia="Arial Unicode MS"/>
        </w:rPr>
        <w:t xml:space="preserve">, C. (2006). The strategic framework for women’s enterprise: BME women at the margins. </w:t>
      </w:r>
      <w:r w:rsidRPr="00993D17">
        <w:rPr>
          <w:rFonts w:eastAsia="Arial Unicode MS"/>
          <w:i/>
        </w:rPr>
        <w:t>Equal Opportunities International</w:t>
      </w:r>
      <w:r w:rsidRPr="00993D17">
        <w:rPr>
          <w:rFonts w:eastAsia="Arial Unicode MS"/>
        </w:rPr>
        <w:t xml:space="preserve"> (2006). https://uhra.herts.ac.uk/bitstream/handle/2299/1061/901136.pdf?sequence=1</w:t>
      </w:r>
    </w:p>
    <w:p w14:paraId="1C01EA52" w14:textId="77777777" w:rsidR="00EE18FD" w:rsidRPr="00993D17" w:rsidRDefault="00EE18FD" w:rsidP="00EE18FD">
      <w:pPr>
        <w:spacing w:after="60"/>
        <w:ind w:hanging="720"/>
        <w:rPr>
          <w:rFonts w:eastAsia="Arial Unicode MS"/>
        </w:rPr>
      </w:pPr>
      <w:proofErr w:type="spellStart"/>
      <w:r w:rsidRPr="00993D17">
        <w:rPr>
          <w:rFonts w:eastAsia="Arial Unicode MS"/>
        </w:rPr>
        <w:t>Forson</w:t>
      </w:r>
      <w:proofErr w:type="spellEnd"/>
      <w:r w:rsidRPr="00993D17">
        <w:rPr>
          <w:rFonts w:eastAsia="Arial Unicode MS"/>
        </w:rPr>
        <w:t xml:space="preserve">, C. (2007). Intersectionality, context and ‘Choice’: The career choice influences of self-employed black women. In M. </w:t>
      </w:r>
      <w:proofErr w:type="spellStart"/>
      <w:r w:rsidRPr="00993D17">
        <w:rPr>
          <w:rFonts w:eastAsia="Arial Unicode MS"/>
        </w:rPr>
        <w:t>Ozbilgin</w:t>
      </w:r>
      <w:proofErr w:type="spellEnd"/>
      <w:r w:rsidRPr="00993D17">
        <w:rPr>
          <w:rFonts w:eastAsia="Arial Unicode MS"/>
        </w:rPr>
        <w:t xml:space="preserve"> &amp; A. </w:t>
      </w:r>
      <w:proofErr w:type="spellStart"/>
      <w:r w:rsidRPr="00993D17">
        <w:rPr>
          <w:rFonts w:eastAsia="Arial Unicode MS"/>
        </w:rPr>
        <w:t>Malach</w:t>
      </w:r>
      <w:proofErr w:type="spellEnd"/>
      <w:r w:rsidRPr="00993D17">
        <w:rPr>
          <w:rFonts w:eastAsia="Arial Unicode MS"/>
        </w:rPr>
        <w:t>-Pines (Eds.), </w:t>
      </w:r>
      <w:r w:rsidRPr="00993D17">
        <w:rPr>
          <w:rFonts w:eastAsia="Arial Unicode MS"/>
          <w:i/>
        </w:rPr>
        <w:t>Career management and entrepreneurship: A research companion</w:t>
      </w:r>
      <w:r w:rsidRPr="00993D17">
        <w:rPr>
          <w:rFonts w:eastAsia="Arial Unicode MS"/>
        </w:rPr>
        <w:t xml:space="preserve"> (pp. 548–580). Edward Elgar.</w:t>
      </w:r>
    </w:p>
    <w:p w14:paraId="10871D2A" w14:textId="77777777" w:rsidR="00EE18FD" w:rsidRPr="00993D17" w:rsidRDefault="00EE18FD" w:rsidP="00EE18FD">
      <w:pPr>
        <w:spacing w:after="60"/>
        <w:ind w:hanging="720"/>
      </w:pPr>
      <w:r w:rsidRPr="00993D17">
        <w:rPr>
          <w:rFonts w:eastAsia="Arial Unicode MS"/>
        </w:rPr>
        <w:t xml:space="preserve">Foss, L., Henry, C., </w:t>
      </w:r>
      <w:proofErr w:type="spellStart"/>
      <w:r w:rsidRPr="00993D17">
        <w:rPr>
          <w:rFonts w:eastAsia="Arial Unicode MS"/>
        </w:rPr>
        <w:t>Ahl</w:t>
      </w:r>
      <w:proofErr w:type="spellEnd"/>
      <w:r w:rsidRPr="00993D17">
        <w:rPr>
          <w:rFonts w:eastAsia="Arial Unicode MS"/>
        </w:rPr>
        <w:t xml:space="preserve">, H., &amp; </w:t>
      </w:r>
      <w:proofErr w:type="spellStart"/>
      <w:r w:rsidRPr="00993D17">
        <w:rPr>
          <w:rFonts w:eastAsia="Arial Unicode MS"/>
        </w:rPr>
        <w:t>Mikalsen</w:t>
      </w:r>
      <w:proofErr w:type="spellEnd"/>
      <w:r w:rsidRPr="00993D17">
        <w:rPr>
          <w:rFonts w:eastAsia="Arial Unicode MS"/>
        </w:rPr>
        <w:t xml:space="preserve">, G. H. (2019). Women’s entrepreneurship policy research: A 30-year review of the evidence. </w:t>
      </w:r>
      <w:r w:rsidRPr="00993D17">
        <w:rPr>
          <w:rFonts w:eastAsia="Arial Unicode MS"/>
          <w:i/>
        </w:rPr>
        <w:t>Small Business Economics</w:t>
      </w:r>
      <w:r w:rsidRPr="00993D17">
        <w:rPr>
          <w:rFonts w:eastAsia="Arial Unicode MS"/>
        </w:rPr>
        <w:t xml:space="preserve">, 53(2), 409–429. </w:t>
      </w:r>
      <w:r w:rsidRPr="00993D17">
        <w:t>DOI: 10.1007/s11187-018-9993-8</w:t>
      </w:r>
    </w:p>
    <w:p w14:paraId="2A7691C7" w14:textId="77777777" w:rsidR="00EE18FD" w:rsidRPr="00993D17" w:rsidRDefault="00EE18FD" w:rsidP="00EE18FD">
      <w:pPr>
        <w:spacing w:after="60"/>
        <w:ind w:hanging="720"/>
      </w:pPr>
      <w:r w:rsidRPr="00993D17">
        <w:t xml:space="preserve">Georgieva, K., Fabrizio, S., </w:t>
      </w:r>
      <w:proofErr w:type="spellStart"/>
      <w:r w:rsidRPr="00993D17">
        <w:t>Hoon</w:t>
      </w:r>
      <w:proofErr w:type="spellEnd"/>
      <w:r w:rsidRPr="00993D17">
        <w:t xml:space="preserve"> Lim, C., &amp; Tavares, M. (2020). </w:t>
      </w:r>
      <w:r w:rsidRPr="00993D17">
        <w:rPr>
          <w:i/>
        </w:rPr>
        <w:t>The COVID-19 gender gap</w:t>
      </w:r>
      <w:r w:rsidRPr="00993D17">
        <w:t xml:space="preserve">. International Monetary Fund (IMF). July 21, 2020. https://blogs.imf.org/2020/07/21/the-covid-19-gender-gap/ </w:t>
      </w:r>
    </w:p>
    <w:p w14:paraId="21C337A4" w14:textId="77777777" w:rsidR="00EE18FD" w:rsidRPr="00993D17" w:rsidRDefault="00EE18FD" w:rsidP="00EE18FD">
      <w:pPr>
        <w:spacing w:after="60"/>
        <w:ind w:hanging="720"/>
        <w:rPr>
          <w:rFonts w:eastAsia="Arial Unicode MS"/>
        </w:rPr>
      </w:pPr>
      <w:proofErr w:type="spellStart"/>
      <w:r w:rsidRPr="00993D17">
        <w:rPr>
          <w:rFonts w:eastAsia="Arial Unicode MS"/>
        </w:rPr>
        <w:t>Gicheva</w:t>
      </w:r>
      <w:proofErr w:type="spellEnd"/>
      <w:r w:rsidRPr="00993D17">
        <w:rPr>
          <w:rFonts w:eastAsia="Arial Unicode MS"/>
        </w:rPr>
        <w:t xml:space="preserve">, D., &amp; Link, A. N. (2015). The gender gap in federal and private support for entrepreneurship. </w:t>
      </w:r>
      <w:r w:rsidRPr="00993D17">
        <w:rPr>
          <w:rFonts w:eastAsia="Arial Unicode MS"/>
          <w:i/>
        </w:rPr>
        <w:t>Small Business Economics</w:t>
      </w:r>
      <w:r w:rsidRPr="00993D17">
        <w:rPr>
          <w:rFonts w:eastAsia="Arial Unicode MS"/>
        </w:rPr>
        <w:t xml:space="preserve">, 45(4), 729–733. </w:t>
      </w:r>
      <w:r w:rsidRPr="00993D17">
        <w:rPr>
          <w:rStyle w:val="c-bibliographic-informationvalue"/>
          <w:rFonts w:eastAsia="Calibri"/>
        </w:rPr>
        <w:t>https://doi.org/10.1007/s11187-015-9664-y</w:t>
      </w:r>
    </w:p>
    <w:p w14:paraId="593A58D5" w14:textId="77777777" w:rsidR="00EE18FD" w:rsidRPr="00993D17" w:rsidRDefault="00EE18FD" w:rsidP="00EE18FD">
      <w:pPr>
        <w:spacing w:after="60"/>
        <w:ind w:hanging="720"/>
        <w:rPr>
          <w:rFonts w:eastAsia="Arial Unicode MS"/>
        </w:rPr>
      </w:pPr>
      <w:r w:rsidRPr="00993D17">
        <w:rPr>
          <w:rFonts w:eastAsia="Arial Unicode MS"/>
        </w:rPr>
        <w:lastRenderedPageBreak/>
        <w:t xml:space="preserve">Global Affairs Canada (GAC). (2017, June 9). </w:t>
      </w:r>
      <w:r w:rsidRPr="00993D17">
        <w:rPr>
          <w:rFonts w:eastAsia="Arial Unicode MS"/>
          <w:i/>
        </w:rPr>
        <w:t>Canada launches new feminist International Assistance Policy</w:t>
      </w:r>
      <w:r w:rsidRPr="00993D17">
        <w:rPr>
          <w:rFonts w:eastAsia="Arial Unicode MS"/>
        </w:rPr>
        <w:t>. Global Affairs Canada. [Press release].  https://www.canada.ca/en/global-affairs/news/2017/06/ canada_launches_newfeministinternationalassistancepolicy.html</w:t>
      </w:r>
    </w:p>
    <w:p w14:paraId="2E6EBD72" w14:textId="77777777" w:rsidR="00EE18FD" w:rsidRPr="00993D17" w:rsidRDefault="00EE18FD" w:rsidP="00EE18FD">
      <w:pPr>
        <w:spacing w:after="60"/>
        <w:ind w:hanging="720"/>
        <w:rPr>
          <w:rFonts w:eastAsia="Arial Unicode MS"/>
        </w:rPr>
      </w:pPr>
      <w:r w:rsidRPr="00993D17">
        <w:rPr>
          <w:rFonts w:eastAsia="Arial Unicode MS"/>
        </w:rPr>
        <w:t xml:space="preserve">Government of Canada. (2018). </w:t>
      </w:r>
      <w:r w:rsidRPr="00993D17">
        <w:rPr>
          <w:rFonts w:eastAsia="Arial Unicode MS"/>
          <w:i/>
        </w:rPr>
        <w:t>Women entrepreneurship strategy</w:t>
      </w:r>
      <w:r w:rsidRPr="00993D17">
        <w:rPr>
          <w:rFonts w:eastAsia="Arial Unicode MS"/>
        </w:rPr>
        <w:t>. https://www.ic.gc.ca/eic/site/107.nsf/eng/home</w:t>
      </w:r>
    </w:p>
    <w:p w14:paraId="69667EA0" w14:textId="77777777" w:rsidR="00EE18FD" w:rsidRPr="00993D17" w:rsidRDefault="00EE18FD" w:rsidP="00EE18FD">
      <w:pPr>
        <w:spacing w:after="60"/>
        <w:ind w:hanging="720"/>
        <w:rPr>
          <w:rFonts w:eastAsia="Arial Unicode MS"/>
        </w:rPr>
      </w:pPr>
      <w:r w:rsidRPr="00993D17">
        <w:rPr>
          <w:rFonts w:eastAsia="Arial Unicode MS"/>
        </w:rPr>
        <w:t xml:space="preserve">Government of Canada. (2020). </w:t>
      </w:r>
      <w:r w:rsidRPr="00993D17">
        <w:rPr>
          <w:rFonts w:eastAsia="Arial Unicode MS"/>
          <w:i/>
        </w:rPr>
        <w:t>Regional relief and recovery Fund—Women’s enterprise initiative stream</w:t>
      </w:r>
      <w:r w:rsidRPr="00993D17">
        <w:rPr>
          <w:rFonts w:eastAsia="Arial Unicode MS"/>
        </w:rPr>
        <w:t>. https://www.wd-deo.gc.ca/eng/20077.asp</w:t>
      </w:r>
    </w:p>
    <w:p w14:paraId="1C14B384" w14:textId="77777777" w:rsidR="00EE18FD" w:rsidRPr="00993D17" w:rsidRDefault="00EE18FD" w:rsidP="00EE18FD">
      <w:pPr>
        <w:spacing w:after="60"/>
        <w:ind w:hanging="720"/>
        <w:rPr>
          <w:rFonts w:eastAsia="Arial Unicode MS"/>
        </w:rPr>
      </w:pPr>
      <w:r w:rsidRPr="00993D17">
        <w:rPr>
          <w:rFonts w:eastAsia="Arial Unicode MS"/>
        </w:rPr>
        <w:t xml:space="preserve">Harcourt, W. (2016). Introduction: Dilemmas, dialogues, debates. In W. Harcourt (Ed.), </w:t>
      </w:r>
      <w:r w:rsidRPr="00993D17">
        <w:rPr>
          <w:rFonts w:eastAsia="Arial Unicode MS"/>
          <w:i/>
        </w:rPr>
        <w:t>The Palgrave handbook of gender and development. Critical engagements in feminist theory and practic</w:t>
      </w:r>
      <w:r w:rsidRPr="00993D17">
        <w:rPr>
          <w:rFonts w:eastAsia="Arial Unicode MS"/>
        </w:rPr>
        <w:t xml:space="preserve">e (pp. 1–10). Palgrave Macmillan.  </w:t>
      </w:r>
    </w:p>
    <w:p w14:paraId="61379E4D" w14:textId="77777777" w:rsidR="00EE18FD" w:rsidRDefault="00EE18FD" w:rsidP="00EE18FD">
      <w:pPr>
        <w:spacing w:after="60"/>
        <w:ind w:hanging="720"/>
        <w:rPr>
          <w:rFonts w:eastAsia="Arial Unicode MS"/>
        </w:rPr>
      </w:pPr>
      <w:r w:rsidRPr="00C355E0">
        <w:rPr>
          <w:rFonts w:eastAsia="Arial Unicode MS"/>
        </w:rPr>
        <w:t xml:space="preserve">Harding, T., &amp; Whitehead, D. (2013). </w:t>
      </w:r>
      <w:r w:rsidRPr="00C355E0">
        <w:rPr>
          <w:rFonts w:eastAsia="Arial Unicode MS"/>
          <w:i/>
        </w:rPr>
        <w:t>Analysing data in qualitative research</w:t>
      </w:r>
      <w:r w:rsidRPr="00C355E0">
        <w:rPr>
          <w:rFonts w:eastAsia="Arial Unicode MS"/>
        </w:rPr>
        <w:t xml:space="preserve"> (pp. 141-160). Elsevier-Mosby, </w:t>
      </w:r>
      <w:proofErr w:type="spellStart"/>
      <w:r w:rsidRPr="00C355E0">
        <w:rPr>
          <w:rFonts w:eastAsia="Arial Unicode MS"/>
        </w:rPr>
        <w:t>Marrickville</w:t>
      </w:r>
      <w:proofErr w:type="spellEnd"/>
      <w:r w:rsidRPr="00C355E0">
        <w:rPr>
          <w:rFonts w:eastAsia="Arial Unicode MS"/>
        </w:rPr>
        <w:t>, Sydney.</w:t>
      </w:r>
    </w:p>
    <w:p w14:paraId="2DC0D786" w14:textId="2DBF76B0" w:rsidR="00EE18FD" w:rsidRDefault="00EE18FD" w:rsidP="00EE18FD">
      <w:pPr>
        <w:spacing w:after="60"/>
        <w:ind w:hanging="720"/>
        <w:rPr>
          <w:rFonts w:eastAsia="Arial Unicode MS"/>
        </w:rPr>
      </w:pPr>
      <w:proofErr w:type="spellStart"/>
      <w:r w:rsidRPr="00993D17">
        <w:rPr>
          <w:rFonts w:eastAsia="Arial Unicode MS"/>
        </w:rPr>
        <w:t>Harquail</w:t>
      </w:r>
      <w:proofErr w:type="spellEnd"/>
      <w:r w:rsidRPr="00993D17">
        <w:rPr>
          <w:rFonts w:eastAsia="Arial Unicode MS"/>
        </w:rPr>
        <w:t>, C. V. (2019). </w:t>
      </w:r>
      <w:r w:rsidRPr="00993D17">
        <w:rPr>
          <w:rFonts w:eastAsia="Arial Unicode MS"/>
          <w:i/>
        </w:rPr>
        <w:t xml:space="preserve">Feminism: A key idea for </w:t>
      </w:r>
      <w:r w:rsidRPr="00993D17">
        <w:rPr>
          <w:rFonts w:eastAsia="Arial Unicode MS"/>
        </w:rPr>
        <w:t>business and society. Routledge.</w:t>
      </w:r>
    </w:p>
    <w:p w14:paraId="25390A71" w14:textId="23B2FDAC" w:rsidR="00F05206" w:rsidRPr="00993D17" w:rsidRDefault="00F05206" w:rsidP="00EE18FD">
      <w:pPr>
        <w:spacing w:after="60"/>
        <w:ind w:hanging="720"/>
        <w:rPr>
          <w:rFonts w:eastAsia="Arial Unicode MS"/>
        </w:rPr>
      </w:pPr>
      <w:r>
        <w:rPr>
          <w:rFonts w:eastAsia="Arial Unicode MS"/>
        </w:rPr>
        <w:t xml:space="preserve">Henry, C., </w:t>
      </w:r>
      <w:proofErr w:type="spellStart"/>
      <w:r>
        <w:rPr>
          <w:rFonts w:eastAsia="Arial Unicode MS"/>
        </w:rPr>
        <w:t xml:space="preserve">Orser, B., </w:t>
      </w:r>
      <w:r w:rsidRPr="00F05206">
        <w:rPr>
          <w:rFonts w:eastAsia="Arial Unicode MS"/>
        </w:rPr>
        <w:t>Coleman</w:t>
      </w:r>
      <w:proofErr w:type="spellEnd"/>
      <w:r w:rsidRPr="00F05206">
        <w:rPr>
          <w:rFonts w:eastAsia="Arial Unicode MS"/>
        </w:rPr>
        <w:t xml:space="preserve">, S, Foss, L, Welter, F and Yousafzai, </w:t>
      </w:r>
      <w:proofErr w:type="spellStart"/>
      <w:r w:rsidRPr="00F05206">
        <w:rPr>
          <w:rFonts w:eastAsia="Arial Unicode MS"/>
        </w:rPr>
        <w:t>Shumaila</w:t>
      </w:r>
      <w:proofErr w:type="spellEnd"/>
      <w:r w:rsidRPr="00F05206">
        <w:rPr>
          <w:rFonts w:eastAsia="Arial Unicode MS"/>
        </w:rPr>
        <w:t xml:space="preserve"> (2017). Women's entrepreneurship policy: a 13 nation cross-country study. In: </w:t>
      </w:r>
      <w:proofErr w:type="spellStart"/>
      <w:r w:rsidRPr="00F05206">
        <w:rPr>
          <w:rFonts w:eastAsia="Arial Unicode MS"/>
        </w:rPr>
        <w:t>Manolova</w:t>
      </w:r>
      <w:proofErr w:type="spellEnd"/>
      <w:r w:rsidRPr="00F05206">
        <w:rPr>
          <w:rFonts w:eastAsia="Arial Unicode MS"/>
        </w:rPr>
        <w:t xml:space="preserve">, Tatiana S., Brush, Candida G., Edelman, Linda F., Robb, Alicia M. and Welter, </w:t>
      </w:r>
      <w:proofErr w:type="spellStart"/>
      <w:r w:rsidRPr="00F05206">
        <w:rPr>
          <w:rFonts w:eastAsia="Arial Unicode MS"/>
        </w:rPr>
        <w:t>Friederike</w:t>
      </w:r>
      <w:proofErr w:type="spellEnd"/>
      <w:r w:rsidRPr="00F05206">
        <w:rPr>
          <w:rFonts w:eastAsia="Arial Unicode MS"/>
        </w:rPr>
        <w:t xml:space="preserve"> eds. </w:t>
      </w:r>
      <w:r w:rsidRPr="00F05206">
        <w:rPr>
          <w:rFonts w:eastAsia="Arial Unicode MS"/>
          <w:i/>
        </w:rPr>
        <w:t>Entrepreneurial ecosystems and growth of women's entrepreneurship: A comparative analysis</w:t>
      </w:r>
      <w:r w:rsidRPr="00F05206">
        <w:rPr>
          <w:rFonts w:eastAsia="Arial Unicode MS"/>
        </w:rPr>
        <w:t>, Cheltenham: Edward Elgar, pp. 244-278</w:t>
      </w:r>
    </w:p>
    <w:p w14:paraId="4A9901C5" w14:textId="77777777" w:rsidR="00EE18FD" w:rsidRPr="00993D17" w:rsidRDefault="00EE18FD" w:rsidP="00EE18FD">
      <w:pPr>
        <w:spacing w:after="60"/>
        <w:ind w:hanging="720"/>
      </w:pPr>
      <w:r w:rsidRPr="00993D17">
        <w:t xml:space="preserve">Herbert, C. P. (2017). </w:t>
      </w:r>
      <w:r w:rsidRPr="00993D17">
        <w:rPr>
          <w:i/>
        </w:rPr>
        <w:t>Nothing about us without us: Taking action on Indigenous health</w:t>
      </w:r>
      <w:r w:rsidRPr="00993D17">
        <w:t>. Essays—Open Letters, Longwoods.com. January 2017.</w:t>
      </w:r>
      <w:r w:rsidRPr="00993D17">
        <w:rPr>
          <w:rFonts w:eastAsia="Arial Unicode MS"/>
        </w:rPr>
        <w:t xml:space="preserve"> </w:t>
      </w:r>
      <w:hyperlink w:history="1"/>
      <w:r w:rsidRPr="00993D17">
        <w:t xml:space="preserve">https://www.longwoods.com/content/24947 </w:t>
      </w:r>
    </w:p>
    <w:p w14:paraId="6AE5B609" w14:textId="77777777" w:rsidR="00EE18FD" w:rsidRPr="00993D17" w:rsidRDefault="00EE18FD" w:rsidP="00EE18FD">
      <w:pPr>
        <w:spacing w:after="60"/>
        <w:ind w:hanging="720"/>
      </w:pPr>
      <w:r w:rsidRPr="00993D17">
        <w:t>Holmquist, C., &amp; Carter, S. (2009). The Diana Project: Pioneering women studying pioneering women. </w:t>
      </w:r>
      <w:r w:rsidRPr="00993D17">
        <w:rPr>
          <w:i/>
        </w:rPr>
        <w:t>Small Business Economics</w:t>
      </w:r>
      <w:r w:rsidRPr="00993D17">
        <w:t>. 32(2), 121–128. https://www.jstor.org/stable/40344538</w:t>
      </w:r>
    </w:p>
    <w:p w14:paraId="09855E73" w14:textId="77777777" w:rsidR="00EE18FD" w:rsidRPr="00993D17" w:rsidRDefault="00EE18FD" w:rsidP="00EE18FD">
      <w:pPr>
        <w:spacing w:after="60"/>
        <w:ind w:hanging="720"/>
        <w:rPr>
          <w:rFonts w:eastAsia="Arial Unicode MS"/>
          <w:b/>
          <w:bCs/>
        </w:rPr>
      </w:pPr>
      <w:r w:rsidRPr="00993D17">
        <w:rPr>
          <w:rFonts w:eastAsia="Arial Unicode MS"/>
        </w:rPr>
        <w:t xml:space="preserve">Hughes, K., Jennings, J., Brush, C., Carter, S., and Welter, F. (2012) Extending women’s entrepreneurship research in new directions. </w:t>
      </w:r>
      <w:r w:rsidRPr="00993D17">
        <w:rPr>
          <w:rFonts w:eastAsia="Arial Unicode MS"/>
          <w:i/>
        </w:rPr>
        <w:t>Entrepreneurship Theory and Practice</w:t>
      </w:r>
      <w:r w:rsidRPr="00993D17">
        <w:rPr>
          <w:rFonts w:eastAsia="Arial Unicode MS"/>
        </w:rPr>
        <w:t xml:space="preserve">. 36(3), 429–442. </w:t>
      </w:r>
      <w:r w:rsidRPr="00993D17">
        <w:t>10.1111/j.1540-6520.2012.00504.x</w:t>
      </w:r>
    </w:p>
    <w:p w14:paraId="5C8519E6" w14:textId="77777777" w:rsidR="00EE18FD" w:rsidRPr="00993D17" w:rsidRDefault="00EE18FD" w:rsidP="00EE18FD">
      <w:pPr>
        <w:spacing w:after="60"/>
        <w:ind w:hanging="720"/>
        <w:rPr>
          <w:rFonts w:eastAsia="Arial Unicode MS"/>
        </w:rPr>
      </w:pPr>
      <w:r w:rsidRPr="00993D17">
        <w:rPr>
          <w:rFonts w:eastAsia="Arial Unicode MS"/>
        </w:rPr>
        <w:t xml:space="preserve">International Finance Corporation (IFC). (2020). </w:t>
      </w:r>
      <w:r w:rsidRPr="00993D17">
        <w:rPr>
          <w:rFonts w:eastAsia="Arial Unicode MS"/>
          <w:i/>
        </w:rPr>
        <w:t>Venture capital and the gender financing gap: The role of accelerators. Research snapshot</w:t>
      </w:r>
      <w:r w:rsidRPr="00993D17">
        <w:rPr>
          <w:rFonts w:eastAsia="Arial Unicode MS"/>
        </w:rPr>
        <w:t>. February 2020. https://www.ifc.org/wps/wcm/connect/topics_ext_content/ifc_external_corporate_site/venture+capital/vc-resources/vc-gender-financing</w:t>
      </w:r>
    </w:p>
    <w:p w14:paraId="793F6844" w14:textId="77777777" w:rsidR="00EE18FD" w:rsidRPr="00993D17" w:rsidRDefault="00EE18FD" w:rsidP="00EE18FD">
      <w:pPr>
        <w:spacing w:after="60"/>
        <w:ind w:hanging="720"/>
      </w:pPr>
      <w:r w:rsidRPr="00993D17">
        <w:t xml:space="preserve">Institute for Competitiveness and Prosperity. (2019). </w:t>
      </w:r>
      <w:r w:rsidRPr="00993D17">
        <w:rPr>
          <w:i/>
        </w:rPr>
        <w:t>Gender equality, diversity and inclusion in innovation: Roundtable summary report</w:t>
      </w:r>
      <w:r w:rsidRPr="00993D17">
        <w:t>. White paper in collaboration with WE EMPOWER Programme of UN Women, European Union and International Labour Organization. March 2019. https://www.competeprosper.ca/uploads/2019_White_paper_UN_Women_FINAL _%28Mar_7%29.pdf</w:t>
      </w:r>
    </w:p>
    <w:p w14:paraId="108FDF22" w14:textId="77777777" w:rsidR="00EE18FD" w:rsidRPr="00993D17" w:rsidRDefault="00EE18FD" w:rsidP="00EE18FD">
      <w:pPr>
        <w:spacing w:after="60"/>
        <w:ind w:hanging="720"/>
        <w:rPr>
          <w:rFonts w:eastAsia="Arial Unicode MS"/>
        </w:rPr>
      </w:pPr>
      <w:r w:rsidRPr="00993D17">
        <w:rPr>
          <w:rFonts w:eastAsia="Arial Unicode MS"/>
        </w:rPr>
        <w:t xml:space="preserve">J.P. Morgan Chase &amp; Co. (2016). </w:t>
      </w:r>
      <w:r w:rsidRPr="00993D17">
        <w:rPr>
          <w:rFonts w:eastAsia="Arial Unicode MS"/>
          <w:i/>
        </w:rPr>
        <w:t>Creating inclusive high-tech incubators and accelerators. Strategies to increase participation rates of women and minority entrepreneurs</w:t>
      </w:r>
      <w:r w:rsidRPr="00993D17">
        <w:rPr>
          <w:rFonts w:eastAsia="Arial Unicode MS"/>
        </w:rPr>
        <w:t>. Initiative for a competitive inner city (ICIC). https://icic.org/wp-content/uploads/2016/05/ICIC_JPMC_Incubators_post.pdf</w:t>
      </w:r>
    </w:p>
    <w:p w14:paraId="7A6FDA83" w14:textId="77777777" w:rsidR="00EE18FD" w:rsidRPr="00993D17" w:rsidRDefault="00EE18FD" w:rsidP="00EE18FD">
      <w:pPr>
        <w:spacing w:after="60"/>
        <w:ind w:hanging="720"/>
      </w:pPr>
      <w:r w:rsidRPr="00993D17">
        <w:t xml:space="preserve">Kelley, D., Brush, C., Greene, P., Herrington, M., Ali, A., </w:t>
      </w:r>
      <w:r w:rsidRPr="00993D17">
        <w:rPr>
          <w:rFonts w:eastAsia="Arial Unicode MS"/>
        </w:rPr>
        <w:t xml:space="preserve">&amp; </w:t>
      </w:r>
      <w:r w:rsidRPr="00993D17">
        <w:t xml:space="preserve">Kew, P. (2015) </w:t>
      </w:r>
      <w:r w:rsidRPr="00993D17">
        <w:rPr>
          <w:i/>
        </w:rPr>
        <w:t>Special report: Women’s entrepreneurship</w:t>
      </w:r>
      <w:r w:rsidRPr="00993D17">
        <w:t xml:space="preserve"> </w:t>
      </w:r>
      <w:r w:rsidRPr="00993D17">
        <w:rPr>
          <w:i/>
        </w:rPr>
        <w:t>2015</w:t>
      </w:r>
      <w:r w:rsidRPr="00993D17">
        <w:t xml:space="preserve">, </w:t>
      </w:r>
      <w:r w:rsidRPr="00993D17">
        <w:rPr>
          <w:i/>
        </w:rPr>
        <w:t xml:space="preserve">Global Entrepreneurship Monitor. </w:t>
      </w:r>
      <w:r w:rsidRPr="00993D17">
        <w:t xml:space="preserve">http://gemconsortium.org/report/49281 </w:t>
      </w:r>
    </w:p>
    <w:p w14:paraId="301ED884" w14:textId="77777777" w:rsidR="00EE18FD" w:rsidRPr="00993D17" w:rsidRDefault="00EE18FD" w:rsidP="00EE18FD">
      <w:pPr>
        <w:spacing w:after="60"/>
        <w:ind w:hanging="720"/>
        <w:rPr>
          <w:rFonts w:eastAsia="Arial Unicode MS"/>
        </w:rPr>
      </w:pPr>
      <w:proofErr w:type="spellStart"/>
      <w:r w:rsidRPr="00993D17">
        <w:rPr>
          <w:rFonts w:eastAsia="Arial Unicode MS"/>
        </w:rPr>
        <w:lastRenderedPageBreak/>
        <w:t>Kilty</w:t>
      </w:r>
      <w:proofErr w:type="spellEnd"/>
      <w:r w:rsidRPr="00993D17">
        <w:rPr>
          <w:rFonts w:eastAsia="Arial Unicode MS"/>
        </w:rPr>
        <w:t xml:space="preserve">, J. (2014). The evolution of feminist research in the criminological enterprise the Canadian experience. In J. </w:t>
      </w:r>
      <w:proofErr w:type="spellStart"/>
      <w:r w:rsidRPr="00993D17">
        <w:rPr>
          <w:rFonts w:eastAsia="Arial Unicode MS"/>
        </w:rPr>
        <w:t>Kilty</w:t>
      </w:r>
      <w:proofErr w:type="spellEnd"/>
      <w:r w:rsidRPr="00993D17">
        <w:rPr>
          <w:rFonts w:eastAsia="Arial Unicode MS"/>
        </w:rPr>
        <w:t xml:space="preserve">, M. </w:t>
      </w:r>
      <w:proofErr w:type="spellStart"/>
      <w:r w:rsidRPr="00993D17">
        <w:rPr>
          <w:rFonts w:eastAsia="Arial Unicode MS"/>
        </w:rPr>
        <w:t>Felices</w:t>
      </w:r>
      <w:proofErr w:type="spellEnd"/>
      <w:r w:rsidRPr="00993D17">
        <w:rPr>
          <w:rFonts w:eastAsia="Arial Unicode MS"/>
        </w:rPr>
        <w:t xml:space="preserve">-Luna, &amp; S. C. Fabian (Eds.),  </w:t>
      </w:r>
      <w:r w:rsidRPr="00993D17">
        <w:rPr>
          <w:rFonts w:eastAsia="Arial Unicode MS"/>
          <w:i/>
        </w:rPr>
        <w:t xml:space="preserve">Demarginalizing voices: Commitment, emotion and action in qualitative research </w:t>
      </w:r>
      <w:r w:rsidRPr="00993D17">
        <w:rPr>
          <w:rFonts w:eastAsia="Arial Unicode MS"/>
          <w:iCs/>
        </w:rPr>
        <w:t>(pp. 125–144)</w:t>
      </w:r>
      <w:r w:rsidRPr="00993D17">
        <w:rPr>
          <w:rFonts w:eastAsia="Arial Unicode MS"/>
        </w:rPr>
        <w:t xml:space="preserve">. UBC Press. </w:t>
      </w:r>
    </w:p>
    <w:p w14:paraId="2A64FC6C" w14:textId="77777777" w:rsidR="00EE18FD" w:rsidRPr="00993D17" w:rsidRDefault="00EE18FD" w:rsidP="00EE18FD">
      <w:pPr>
        <w:spacing w:after="60"/>
        <w:ind w:hanging="720"/>
        <w:rPr>
          <w:lang w:val="en-US"/>
        </w:rPr>
      </w:pPr>
      <w:proofErr w:type="spellStart"/>
      <w:r w:rsidRPr="00993D17">
        <w:rPr>
          <w:rFonts w:eastAsia="Arial Unicode MS"/>
        </w:rPr>
        <w:t>Kilty</w:t>
      </w:r>
      <w:proofErr w:type="spellEnd"/>
      <w:r w:rsidRPr="00993D17">
        <w:rPr>
          <w:rFonts w:eastAsia="Arial Unicode MS"/>
        </w:rPr>
        <w:t xml:space="preserve">, J. M., &amp; </w:t>
      </w:r>
      <w:proofErr w:type="spellStart"/>
      <w:r w:rsidRPr="00993D17">
        <w:rPr>
          <w:rFonts w:eastAsia="Arial Unicode MS"/>
        </w:rPr>
        <w:t>Crépault</w:t>
      </w:r>
      <w:proofErr w:type="spellEnd"/>
      <w:r w:rsidRPr="00993D17">
        <w:rPr>
          <w:rFonts w:eastAsia="Arial Unicode MS"/>
        </w:rPr>
        <w:t>, C. (2016). Institutionalizing public scholarship: Lessons from feminism and symbolic interactionism. </w:t>
      </w:r>
      <w:r w:rsidRPr="00993D17">
        <w:rPr>
          <w:rFonts w:eastAsia="Arial Unicode MS"/>
          <w:i/>
        </w:rPr>
        <w:t>Symbolic Interaction</w:t>
      </w:r>
      <w:r w:rsidRPr="00993D17">
        <w:rPr>
          <w:rFonts w:eastAsia="Arial Unicode MS"/>
          <w:iCs/>
        </w:rPr>
        <w:t>.</w:t>
      </w:r>
      <w:r w:rsidRPr="00993D17">
        <w:rPr>
          <w:rFonts w:eastAsia="Arial Unicode MS"/>
        </w:rPr>
        <w:t xml:space="preserve"> 39(4), 615–633. </w:t>
      </w:r>
      <w:r w:rsidRPr="00993D17">
        <w:rPr>
          <w:rFonts w:eastAsia="Calibri"/>
        </w:rPr>
        <w:t>https://doi.org/10.1002/symb.253</w:t>
      </w:r>
    </w:p>
    <w:p w14:paraId="7F34851C" w14:textId="77777777" w:rsidR="00EE18FD" w:rsidRPr="00993D17" w:rsidRDefault="00EE18FD" w:rsidP="00EE18FD">
      <w:pPr>
        <w:spacing w:after="60"/>
        <w:ind w:hanging="720"/>
        <w:rPr>
          <w:rFonts w:eastAsia="Arial Unicode MS"/>
        </w:rPr>
      </w:pPr>
      <w:r w:rsidRPr="00993D17">
        <w:rPr>
          <w:rFonts w:eastAsia="Arial Unicode MS"/>
        </w:rPr>
        <w:t xml:space="preserve">Lamont, M., &amp; </w:t>
      </w:r>
      <w:proofErr w:type="spellStart"/>
      <w:r w:rsidRPr="00993D17">
        <w:rPr>
          <w:rFonts w:eastAsia="Arial Unicode MS"/>
        </w:rPr>
        <w:t>Molnár</w:t>
      </w:r>
      <w:proofErr w:type="spellEnd"/>
      <w:r w:rsidRPr="00993D17">
        <w:rPr>
          <w:rFonts w:eastAsia="Arial Unicode MS"/>
        </w:rPr>
        <w:t xml:space="preserve">, V. (2002). The study of boundaries in the Social Sciences. </w:t>
      </w:r>
      <w:r w:rsidRPr="00993D17">
        <w:rPr>
          <w:rFonts w:eastAsia="Arial Unicode MS"/>
          <w:i/>
        </w:rPr>
        <w:t>Annual Review of Sociology</w:t>
      </w:r>
      <w:r w:rsidRPr="00993D17">
        <w:rPr>
          <w:rFonts w:eastAsia="Arial Unicode MS"/>
          <w:iCs/>
        </w:rPr>
        <w:t>.</w:t>
      </w:r>
      <w:r w:rsidRPr="00993D17">
        <w:rPr>
          <w:rFonts w:eastAsia="Arial Unicode MS"/>
        </w:rPr>
        <w:t xml:space="preserve"> 2002. 28, 167–95. </w:t>
      </w:r>
      <w:proofErr w:type="spellStart"/>
      <w:r w:rsidRPr="00993D17">
        <w:rPr>
          <w:rFonts w:eastAsia="Arial Unicode MS"/>
        </w:rPr>
        <w:t>doi</w:t>
      </w:r>
      <w:proofErr w:type="spellEnd"/>
      <w:r w:rsidRPr="00993D17">
        <w:rPr>
          <w:rFonts w:eastAsia="Arial Unicode MS"/>
        </w:rPr>
        <w:t xml:space="preserve">: 10.1146/annurev.soc.28.110601.141107  </w:t>
      </w:r>
    </w:p>
    <w:p w14:paraId="1CE38720" w14:textId="77777777" w:rsidR="00EE18FD" w:rsidRPr="005E4F57" w:rsidRDefault="00EE18FD" w:rsidP="00EE18FD">
      <w:pPr>
        <w:spacing w:after="60"/>
        <w:ind w:hanging="720"/>
        <w:rPr>
          <w:rFonts w:eastAsia="Arial Unicode MS"/>
        </w:rPr>
      </w:pPr>
      <w:proofErr w:type="spellStart"/>
      <w:r w:rsidRPr="00993D17">
        <w:t>Madgavkar</w:t>
      </w:r>
      <w:proofErr w:type="spellEnd"/>
      <w:r w:rsidRPr="00993D17">
        <w:t xml:space="preserve">, A., White, O., Krishnan, M., Mahajan, D., </w:t>
      </w:r>
      <w:r w:rsidRPr="00993D17">
        <w:rPr>
          <w:rFonts w:eastAsia="Arial Unicode MS"/>
        </w:rPr>
        <w:t>&amp;</w:t>
      </w:r>
      <w:r w:rsidRPr="00993D17">
        <w:t xml:space="preserve"> </w:t>
      </w:r>
      <w:proofErr w:type="spellStart"/>
      <w:r w:rsidRPr="00993D17">
        <w:t>Azcue</w:t>
      </w:r>
      <w:proofErr w:type="spellEnd"/>
      <w:r w:rsidRPr="00993D17">
        <w:t xml:space="preserve">, X. </w:t>
      </w:r>
      <w:r w:rsidRPr="00993D17">
        <w:rPr>
          <w:rFonts w:eastAsia="Arial Unicode MS"/>
        </w:rPr>
        <w:t xml:space="preserve">(2020). </w:t>
      </w:r>
      <w:r w:rsidRPr="00993D17">
        <w:rPr>
          <w:rFonts w:eastAsia="Arial Unicode MS"/>
          <w:i/>
        </w:rPr>
        <w:t>COVID-19 and gender equality: Countering the regressive effects</w:t>
      </w:r>
      <w:r w:rsidRPr="00993D17">
        <w:rPr>
          <w:rFonts w:eastAsia="Arial Unicode MS"/>
        </w:rPr>
        <w:t>. McKinsey Global Institute. 2020 July 15. https://www.mckinsey.com/featured-insights/future-of-work/covid-19-and-gender-equality-countering-the-regressive-effects#</w:t>
      </w:r>
    </w:p>
    <w:p w14:paraId="5FC38527" w14:textId="77777777" w:rsidR="00EE18FD" w:rsidRDefault="00EE18FD" w:rsidP="00EE18FD">
      <w:pPr>
        <w:spacing w:after="60"/>
        <w:ind w:hanging="720"/>
        <w:rPr>
          <w:rFonts w:eastAsia="Arial Unicode MS"/>
        </w:rPr>
      </w:pPr>
      <w:proofErr w:type="spellStart"/>
      <w:r w:rsidRPr="005E4F57">
        <w:rPr>
          <w:rFonts w:eastAsia="Arial Unicode MS"/>
        </w:rPr>
        <w:t>Manolova</w:t>
      </w:r>
      <w:proofErr w:type="spellEnd"/>
      <w:r w:rsidRPr="005E4F57">
        <w:rPr>
          <w:rFonts w:eastAsia="Arial Unicode MS"/>
        </w:rPr>
        <w:t xml:space="preserve"> T</w:t>
      </w:r>
      <w:r>
        <w:rPr>
          <w:rFonts w:eastAsia="Arial Unicode MS"/>
        </w:rPr>
        <w:t>.</w:t>
      </w:r>
      <w:r w:rsidRPr="005E4F57">
        <w:rPr>
          <w:rFonts w:eastAsia="Arial Unicode MS"/>
        </w:rPr>
        <w:t>S</w:t>
      </w:r>
      <w:r>
        <w:rPr>
          <w:rFonts w:eastAsia="Arial Unicode MS"/>
        </w:rPr>
        <w:t>.</w:t>
      </w:r>
      <w:r w:rsidRPr="005E4F57">
        <w:rPr>
          <w:rFonts w:eastAsia="Arial Unicode MS"/>
        </w:rPr>
        <w:t>, Brush C</w:t>
      </w:r>
      <w:r>
        <w:rPr>
          <w:rFonts w:eastAsia="Arial Unicode MS"/>
        </w:rPr>
        <w:t>,</w:t>
      </w:r>
      <w:r w:rsidRPr="005E4F57">
        <w:rPr>
          <w:rFonts w:eastAsia="Arial Unicode MS"/>
        </w:rPr>
        <w:t xml:space="preserve"> Edelman L</w:t>
      </w:r>
      <w:r>
        <w:rPr>
          <w:rFonts w:eastAsia="Arial Unicode MS"/>
        </w:rPr>
        <w:t>,</w:t>
      </w:r>
      <w:r w:rsidRPr="005E4F57">
        <w:rPr>
          <w:rFonts w:eastAsia="Arial Unicode MS"/>
        </w:rPr>
        <w:t xml:space="preserve"> </w:t>
      </w:r>
      <w:r>
        <w:rPr>
          <w:rFonts w:eastAsia="Arial Unicode MS"/>
        </w:rPr>
        <w:t xml:space="preserve">&amp; </w:t>
      </w:r>
      <w:r w:rsidRPr="005E4F57">
        <w:rPr>
          <w:rFonts w:eastAsia="Arial Unicode MS"/>
        </w:rPr>
        <w:t>Elam</w:t>
      </w:r>
      <w:r>
        <w:rPr>
          <w:rFonts w:eastAsia="Arial Unicode MS"/>
        </w:rPr>
        <w:t>,</w:t>
      </w:r>
      <w:r w:rsidRPr="005E4F57">
        <w:rPr>
          <w:rFonts w:eastAsia="Arial Unicode MS"/>
        </w:rPr>
        <w:t xml:space="preserve"> A.</w:t>
      </w:r>
      <w:r>
        <w:rPr>
          <w:rFonts w:eastAsia="Arial Unicode MS"/>
        </w:rPr>
        <w:t xml:space="preserve"> (2020).</w:t>
      </w:r>
      <w:r w:rsidRPr="005E4F57">
        <w:rPr>
          <w:rFonts w:eastAsia="Arial Unicode MS"/>
        </w:rPr>
        <w:t xml:space="preserve"> Pivoting to stay the course: How women entrepreneurs take advantage of opportunities created by the COVID-19 pandemic. </w:t>
      </w:r>
      <w:r w:rsidRPr="005E4F57">
        <w:rPr>
          <w:rFonts w:eastAsia="Arial Unicode MS"/>
          <w:i/>
          <w:iCs/>
        </w:rPr>
        <w:t>International Small Business Journal</w:t>
      </w:r>
      <w:r>
        <w:rPr>
          <w:rFonts w:eastAsia="Arial Unicode MS"/>
        </w:rPr>
        <w:t xml:space="preserve">, </w:t>
      </w:r>
      <w:r w:rsidRPr="005E4F57">
        <w:rPr>
          <w:rFonts w:eastAsia="Arial Unicode MS"/>
        </w:rPr>
        <w:t>38(6):481-491. doi:</w:t>
      </w:r>
      <w:hyperlink r:id="rId10" w:history="1">
        <w:r w:rsidRPr="005E4F57">
          <w:rPr>
            <w:rStyle w:val="Hyperlink"/>
            <w:rFonts w:eastAsia="Arial Unicode MS"/>
          </w:rPr>
          <w:t>10.1177/0266242620949136</w:t>
        </w:r>
      </w:hyperlink>
    </w:p>
    <w:p w14:paraId="6AD821A6" w14:textId="77777777" w:rsidR="00EE18FD" w:rsidRPr="00993D17" w:rsidRDefault="00EE18FD" w:rsidP="00EE18FD">
      <w:pPr>
        <w:spacing w:after="60"/>
        <w:ind w:hanging="720"/>
        <w:rPr>
          <w:rFonts w:eastAsia="Arial Unicode MS"/>
        </w:rPr>
      </w:pPr>
      <w:r w:rsidRPr="00993D17">
        <w:rPr>
          <w:rFonts w:eastAsia="Arial Unicode MS"/>
        </w:rPr>
        <w:t>Metcalfe, J. S. (2010). University and business relations: Connecting the knowledge economy. </w:t>
      </w:r>
      <w:r w:rsidRPr="00993D17">
        <w:rPr>
          <w:rFonts w:eastAsia="Arial Unicode MS"/>
          <w:i/>
        </w:rPr>
        <w:t>Minerva</w:t>
      </w:r>
      <w:r w:rsidRPr="00993D17">
        <w:rPr>
          <w:rFonts w:eastAsia="Arial Unicode MS"/>
        </w:rPr>
        <w:t xml:space="preserve">. 48(1), 5–33. </w:t>
      </w:r>
      <w:r w:rsidRPr="00993D17">
        <w:t>https://www.jstor.org/stable/41821512</w:t>
      </w:r>
    </w:p>
    <w:p w14:paraId="008FE082" w14:textId="77777777" w:rsidR="00EE18FD" w:rsidRPr="00993D17" w:rsidRDefault="00EE18FD" w:rsidP="00EE18FD">
      <w:pPr>
        <w:spacing w:after="60"/>
        <w:ind w:hanging="720"/>
      </w:pPr>
      <w:r w:rsidRPr="00993D17">
        <w:rPr>
          <w:rFonts w:eastAsia="Arial Unicode MS"/>
        </w:rPr>
        <w:t xml:space="preserve">Marlow, S., Carter, S., &amp; Shaw, E. (2008). Constructing female entrepreneurship policy in the UK: Is the US a relevant benchmark? </w:t>
      </w:r>
      <w:r w:rsidRPr="00993D17">
        <w:rPr>
          <w:rFonts w:eastAsia="Arial Unicode MS"/>
          <w:i/>
        </w:rPr>
        <w:t>Environment and Planning C: Government and Policy</w:t>
      </w:r>
      <w:r w:rsidRPr="00993D17">
        <w:rPr>
          <w:rFonts w:eastAsia="Arial Unicode MS"/>
        </w:rPr>
        <w:t xml:space="preserve">. 26(2), 335–351. </w:t>
      </w:r>
      <w:r w:rsidRPr="00993D17">
        <w:t>https://doi.org/10.1068/c0732r</w:t>
      </w:r>
    </w:p>
    <w:p w14:paraId="2AA490CD" w14:textId="77777777" w:rsidR="00EE18FD" w:rsidRPr="00993D17" w:rsidRDefault="00EE18FD" w:rsidP="00EE18FD">
      <w:pPr>
        <w:spacing w:after="60"/>
        <w:ind w:hanging="720"/>
        <w:rPr>
          <w:rFonts w:eastAsia="Arial Unicode MS"/>
        </w:rPr>
      </w:pPr>
      <w:r w:rsidRPr="00993D17">
        <w:rPr>
          <w:rFonts w:eastAsia="Arial Unicode MS"/>
        </w:rPr>
        <w:t xml:space="preserve">Marlow, S. (2014). Exploring future research agendas in the field of gender and entrepreneurship. </w:t>
      </w:r>
      <w:r w:rsidRPr="00993D17">
        <w:rPr>
          <w:rFonts w:eastAsia="Arial Unicode MS"/>
          <w:i/>
        </w:rPr>
        <w:t>International Journal of Gender and Entrepreneurship</w:t>
      </w:r>
      <w:r w:rsidRPr="00993D17">
        <w:rPr>
          <w:rFonts w:eastAsia="Arial Unicode MS"/>
        </w:rPr>
        <w:t xml:space="preserve">. 6(2),102–120. </w:t>
      </w:r>
      <w:r w:rsidRPr="00993D17">
        <w:t>DOI: 10.1108/IJGE-01-2013-0003</w:t>
      </w:r>
    </w:p>
    <w:p w14:paraId="0653DD72" w14:textId="77777777" w:rsidR="00EE18FD" w:rsidRPr="00993D17" w:rsidRDefault="00EE18FD" w:rsidP="00EE18FD">
      <w:pPr>
        <w:spacing w:after="60"/>
        <w:ind w:hanging="720"/>
        <w:rPr>
          <w:rFonts w:eastAsia="Arial Unicode MS"/>
        </w:rPr>
      </w:pPr>
      <w:proofErr w:type="spellStart"/>
      <w:r w:rsidRPr="00993D17">
        <w:rPr>
          <w:rFonts w:eastAsia="Arial Unicode MS"/>
        </w:rPr>
        <w:t>Mayoux</w:t>
      </w:r>
      <w:proofErr w:type="spellEnd"/>
      <w:r w:rsidRPr="00993D17">
        <w:rPr>
          <w:rFonts w:eastAsia="Arial Unicode MS"/>
        </w:rPr>
        <w:t xml:space="preserve">, L. (2000). </w:t>
      </w:r>
      <w:r w:rsidRPr="00993D17">
        <w:rPr>
          <w:rFonts w:eastAsia="Arial Unicode MS"/>
          <w:i/>
        </w:rPr>
        <w:t>Micro-finance and the empowerment of women: A review of the key issues</w:t>
      </w:r>
      <w:r w:rsidRPr="00993D17">
        <w:rPr>
          <w:rFonts w:eastAsia="Arial Unicode MS"/>
          <w:iCs/>
        </w:rPr>
        <w:t xml:space="preserve">. </w:t>
      </w:r>
      <w:r w:rsidRPr="00993D17">
        <w:rPr>
          <w:rFonts w:eastAsia="Arial Unicode MS"/>
        </w:rPr>
        <w:t xml:space="preserve"> ILO Working Papers. International Labour Organization. https://www.ilo.org/public/libdoc/ilo/2000/100B09_285_engl.pdf </w:t>
      </w:r>
    </w:p>
    <w:p w14:paraId="5A631CA4" w14:textId="77777777" w:rsidR="00EE18FD" w:rsidRPr="00993D17" w:rsidRDefault="00EE18FD" w:rsidP="00EE18FD">
      <w:pPr>
        <w:spacing w:after="60"/>
        <w:ind w:hanging="720"/>
        <w:rPr>
          <w:rFonts w:eastAsia="Arial Unicode MS"/>
        </w:rPr>
      </w:pPr>
      <w:proofErr w:type="spellStart"/>
      <w:r w:rsidRPr="00993D17">
        <w:rPr>
          <w:rFonts w:eastAsia="Arial Unicode MS"/>
        </w:rPr>
        <w:t>Mirchandani</w:t>
      </w:r>
      <w:proofErr w:type="spellEnd"/>
      <w:r w:rsidRPr="00993D17">
        <w:rPr>
          <w:rFonts w:eastAsia="Arial Unicode MS"/>
        </w:rPr>
        <w:t xml:space="preserve">, K. (1999). Feminist insight on gendered work: New directions in research on women and entrepreneurship. </w:t>
      </w:r>
      <w:r w:rsidRPr="00993D17">
        <w:rPr>
          <w:rFonts w:eastAsia="Arial Unicode MS"/>
          <w:i/>
        </w:rPr>
        <w:t>Gender, Work and Organization</w:t>
      </w:r>
      <w:r w:rsidRPr="00993D17">
        <w:rPr>
          <w:rFonts w:eastAsia="Arial Unicode MS"/>
        </w:rPr>
        <w:t xml:space="preserve">, 6(4), 224–235. </w:t>
      </w:r>
    </w:p>
    <w:p w14:paraId="274EA6F2" w14:textId="77777777" w:rsidR="00EE18FD" w:rsidRPr="00993D17" w:rsidRDefault="00EE18FD" w:rsidP="00EE18FD">
      <w:pPr>
        <w:spacing w:after="60"/>
        <w:ind w:hanging="720"/>
        <w:rPr>
          <w:rFonts w:eastAsia="Arial Unicode MS"/>
        </w:rPr>
      </w:pPr>
      <w:r w:rsidRPr="00993D17">
        <w:rPr>
          <w:rFonts w:eastAsia="Arial Unicode MS"/>
        </w:rPr>
        <w:t>Mukhopadhyay, M. (2016). Mainstreaming gender or “Streaming” gender away: Feminists marooned in the development business.</w:t>
      </w:r>
      <w:r w:rsidRPr="00993D17">
        <w:rPr>
          <w:rFonts w:eastAsiaTheme="minorEastAsia"/>
          <w:color w:val="555555"/>
          <w:szCs w:val="20"/>
        </w:rPr>
        <w:t xml:space="preserve"> </w:t>
      </w:r>
      <w:r w:rsidRPr="00993D17">
        <w:rPr>
          <w:rFonts w:eastAsiaTheme="minorEastAsia"/>
          <w:szCs w:val="20"/>
        </w:rPr>
        <w:t xml:space="preserve">In W. Harcourt (Ed.), </w:t>
      </w:r>
      <w:r w:rsidRPr="00993D17">
        <w:rPr>
          <w:rFonts w:eastAsia="Arial Unicode MS"/>
          <w:i/>
        </w:rPr>
        <w:t>The Palgrave handbook of gender and development. critical engagements in Feminist theory and practic</w:t>
      </w:r>
      <w:r w:rsidRPr="00993D17">
        <w:rPr>
          <w:rFonts w:eastAsia="Arial Unicode MS"/>
        </w:rPr>
        <w:t xml:space="preserve">e (pp. 77–91). Palgrave Macmillan. </w:t>
      </w:r>
      <w:r w:rsidRPr="00993D17">
        <w:t xml:space="preserve"> </w:t>
      </w:r>
    </w:p>
    <w:p w14:paraId="0F67482A" w14:textId="77777777" w:rsidR="00EE18FD" w:rsidRPr="00993D17" w:rsidRDefault="00EE18FD" w:rsidP="00EE18FD">
      <w:pPr>
        <w:spacing w:after="60"/>
        <w:ind w:hanging="720"/>
      </w:pPr>
      <w:r w:rsidRPr="00993D17">
        <w:rPr>
          <w:rFonts w:eastAsia="Arial Unicode MS"/>
        </w:rPr>
        <w:t>Nelson, J. A. (1995). Feminism and economics. </w:t>
      </w:r>
      <w:r w:rsidRPr="00993D17">
        <w:rPr>
          <w:rFonts w:eastAsia="Arial Unicode MS"/>
          <w:i/>
        </w:rPr>
        <w:t>The Journal of Economic Perspectives</w:t>
      </w:r>
      <w:r w:rsidRPr="00993D17">
        <w:rPr>
          <w:rFonts w:eastAsia="Arial Unicode MS"/>
          <w:iCs/>
        </w:rPr>
        <w:t>.</w:t>
      </w:r>
      <w:r w:rsidRPr="00993D17">
        <w:rPr>
          <w:rFonts w:eastAsia="Arial Unicode MS"/>
        </w:rPr>
        <w:t xml:space="preserve"> 9(2), 131–148. </w:t>
      </w:r>
      <w:hyperlink r:id="rId11" w:history="1">
        <w:r w:rsidRPr="00993D17">
          <w:rPr>
            <w:rFonts w:eastAsia="Arial Unicode MS"/>
          </w:rPr>
          <w:t>http://www.jstor.org/stable/2138170</w:t>
        </w:r>
      </w:hyperlink>
      <w:r w:rsidRPr="00993D17">
        <w:rPr>
          <w:rFonts w:eastAsia="Arial Unicode MS"/>
        </w:rPr>
        <w:t xml:space="preserve"> </w:t>
      </w:r>
    </w:p>
    <w:p w14:paraId="08483A38" w14:textId="77777777" w:rsidR="00EE18FD" w:rsidRPr="00993D17" w:rsidRDefault="00EE18FD" w:rsidP="00EE18FD">
      <w:pPr>
        <w:spacing w:after="60"/>
        <w:ind w:hanging="720"/>
        <w:rPr>
          <w:rFonts w:eastAsia="Arial Unicode MS"/>
        </w:rPr>
      </w:pPr>
      <w:proofErr w:type="spellStart"/>
      <w:r w:rsidRPr="00993D17">
        <w:rPr>
          <w:rFonts w:eastAsia="Arial Unicode MS"/>
        </w:rPr>
        <w:t>Neergaard</w:t>
      </w:r>
      <w:proofErr w:type="spellEnd"/>
      <w:r w:rsidRPr="00993D17">
        <w:rPr>
          <w:rFonts w:eastAsia="Arial Unicode MS"/>
        </w:rPr>
        <w:t xml:space="preserve">, H., Frederiksen, S. H., &amp; Marlow, S. (2011). The Emperor’s new clothes: Rendering a feminist theory of entrepreneurship visible. </w:t>
      </w:r>
      <w:r w:rsidRPr="00993D17">
        <w:rPr>
          <w:rFonts w:eastAsia="Arial Unicode MS"/>
          <w:i/>
          <w:iCs/>
        </w:rPr>
        <w:t>ICSB World Conference Proceedings</w:t>
      </w:r>
      <w:r w:rsidRPr="00993D17">
        <w:rPr>
          <w:rFonts w:eastAsia="Arial Unicode MS"/>
        </w:rPr>
        <w:t xml:space="preserve">. International Council for Small Business (ICSB). 15 June 2011–18 June 2011, Stockholm, Sweden. </w:t>
      </w:r>
      <w:r w:rsidRPr="00993D17">
        <w:t xml:space="preserve">In </w:t>
      </w:r>
      <w:r w:rsidRPr="00993D17">
        <w:rPr>
          <w:i/>
          <w:iCs/>
        </w:rPr>
        <w:t>International Council for Small Business (ICSB). World Conference Proceedings: 1–36, Stockholm, 2011</w:t>
      </w:r>
      <w:r w:rsidRPr="00993D17">
        <w:t xml:space="preserve"> (pp. 1–36), ICSB.</w:t>
      </w:r>
    </w:p>
    <w:p w14:paraId="55EE2A58" w14:textId="77777777" w:rsidR="00EE18FD" w:rsidRPr="00993D17" w:rsidRDefault="00EE18FD" w:rsidP="00EE18FD">
      <w:pPr>
        <w:spacing w:after="60"/>
        <w:ind w:hanging="720"/>
        <w:rPr>
          <w:rFonts w:eastAsia="Arial Unicode MS"/>
        </w:rPr>
      </w:pPr>
      <w:r w:rsidRPr="00993D17">
        <w:rPr>
          <w:rFonts w:eastAsia="Arial Unicode MS"/>
        </w:rPr>
        <w:t xml:space="preserve">Organisation for Economic Co-operation and Development. (2020a). </w:t>
      </w:r>
      <w:r w:rsidRPr="00993D17">
        <w:rPr>
          <w:rFonts w:eastAsia="Arial Unicode MS"/>
          <w:i/>
        </w:rPr>
        <w:t xml:space="preserve">Summary of proceedings.  women enterprise policy and COVID-19: Towards a gender-sensitive response. OECD webinar  9 June </w:t>
      </w:r>
      <w:r w:rsidRPr="00993D17">
        <w:rPr>
          <w:rFonts w:eastAsia="Arial Unicode MS"/>
          <w:i/>
        </w:rPr>
        <w:lastRenderedPageBreak/>
        <w:t>2020</w:t>
      </w:r>
      <w:r w:rsidRPr="00993D17">
        <w:rPr>
          <w:rFonts w:eastAsia="Arial Unicode MS"/>
          <w:iCs/>
        </w:rPr>
        <w:t>.</w:t>
      </w:r>
      <w:r w:rsidRPr="00993D17">
        <w:rPr>
          <w:rFonts w:eastAsia="Arial Unicode MS"/>
          <w:i/>
        </w:rPr>
        <w:t xml:space="preserve"> </w:t>
      </w:r>
      <w:r w:rsidRPr="00993D17">
        <w:rPr>
          <w:rFonts w:eastAsia="Arial Unicode MS"/>
          <w:iCs/>
        </w:rPr>
        <w:t>https://sites.telfer.uottawa.ca/were/files/2020/06/OECD-Webinar-Women-Entrepreneurship-Policy-and-COVID-19_Summary-Report.pdf</w:t>
      </w:r>
    </w:p>
    <w:p w14:paraId="2CDB4E0F" w14:textId="77777777" w:rsidR="00EE18FD" w:rsidRPr="00993D17" w:rsidRDefault="00EE18FD" w:rsidP="00EE18FD">
      <w:pPr>
        <w:spacing w:after="60"/>
        <w:ind w:hanging="720"/>
        <w:rPr>
          <w:rFonts w:eastAsia="Arial Unicode MS"/>
        </w:rPr>
      </w:pPr>
      <w:r w:rsidRPr="00993D17">
        <w:rPr>
          <w:rFonts w:eastAsia="Arial Unicode MS"/>
        </w:rPr>
        <w:t xml:space="preserve">Organisation for Economic Co-operation and Development. (2020b). </w:t>
      </w:r>
      <w:r w:rsidRPr="00993D17">
        <w:rPr>
          <w:rFonts w:eastAsia="Arial Unicode MS"/>
          <w:i/>
        </w:rPr>
        <w:t>Policy responses to coronavirus (COVID-19): SME policy responses</w:t>
      </w:r>
      <w:r w:rsidRPr="00993D17">
        <w:rPr>
          <w:rFonts w:eastAsia="Arial Unicode MS"/>
        </w:rPr>
        <w:t>. http://www.oecd.org/coronavirus/policy-responses/coronavirus-covid-19-sme-policy-responses-04440101/</w:t>
      </w:r>
    </w:p>
    <w:p w14:paraId="744E51FD" w14:textId="77777777" w:rsidR="00EE18FD" w:rsidRPr="00993D17" w:rsidRDefault="00EE18FD" w:rsidP="00EE18FD">
      <w:pPr>
        <w:spacing w:after="60"/>
        <w:ind w:hanging="720"/>
        <w:rPr>
          <w:rFonts w:eastAsia="Arial Unicode MS"/>
        </w:rPr>
      </w:pPr>
      <w:r w:rsidRPr="00993D17">
        <w:rPr>
          <w:rFonts w:eastAsia="Arial Unicode MS"/>
        </w:rPr>
        <w:t xml:space="preserve">Organisation for Economic Co-operation and Development (OECD). (2013). </w:t>
      </w:r>
      <w:r w:rsidRPr="00993D17">
        <w:rPr>
          <w:rFonts w:eastAsia="Arial Unicode MS"/>
          <w:i/>
        </w:rPr>
        <w:t>Women entrepreneurs in the OECD: Key evidence and policy challenge</w:t>
      </w:r>
      <w:r w:rsidRPr="00993D17">
        <w:rPr>
          <w:rFonts w:eastAsia="Arial Unicode MS"/>
        </w:rPr>
        <w:t xml:space="preserve">. OECD social employment and migration. Working papers, No. 147, July 2013. OECD. </w:t>
      </w:r>
      <w:r w:rsidRPr="00993D17">
        <w:t xml:space="preserve">https://www.oecd-ilibrary.org/docserver/5k43bvtkmb8v-en.pdf?expires=1608514103&amp;id=id&amp;accname= </w:t>
      </w:r>
      <w:proofErr w:type="spellStart"/>
      <w:r w:rsidRPr="00993D17">
        <w:t>guest&amp;checksum</w:t>
      </w:r>
      <w:proofErr w:type="spellEnd"/>
      <w:r w:rsidRPr="00993D17">
        <w:t xml:space="preserve"> =3AE495867C26B7D0FF28A9DCA8FEA577</w:t>
      </w:r>
    </w:p>
    <w:p w14:paraId="7BAC4E1E" w14:textId="77777777" w:rsidR="00EE18FD" w:rsidRPr="00993D17" w:rsidRDefault="00EE18FD" w:rsidP="00EE18FD">
      <w:pPr>
        <w:spacing w:after="60"/>
        <w:ind w:hanging="720"/>
        <w:rPr>
          <w:rFonts w:eastAsia="Arial Unicode MS"/>
        </w:rPr>
      </w:pPr>
      <w:proofErr w:type="spellStart"/>
      <w:r w:rsidRPr="00993D17">
        <w:rPr>
          <w:rFonts w:eastAsia="Arial Unicode MS"/>
        </w:rPr>
        <w:t>Orser</w:t>
      </w:r>
      <w:proofErr w:type="spellEnd"/>
      <w:r w:rsidRPr="00993D17">
        <w:rPr>
          <w:rFonts w:eastAsia="Arial Unicode MS"/>
        </w:rPr>
        <w:t xml:space="preserve">, B. (2017). Strategies to redress entrepreneurship gender gap in Canada. In C. Henry, T. Nelson, K. Lewis (Eds.), </w:t>
      </w:r>
      <w:r w:rsidRPr="00993D17">
        <w:rPr>
          <w:rFonts w:eastAsia="Arial Unicode MS"/>
          <w:i/>
        </w:rPr>
        <w:t xml:space="preserve">Routledge companion to global female entrepreneurship, </w:t>
      </w:r>
      <w:r w:rsidRPr="00993D17">
        <w:t>95-115.</w:t>
      </w:r>
      <w:r w:rsidRPr="00993D17">
        <w:rPr>
          <w:rFonts w:eastAsia="Arial Unicode MS"/>
          <w:iCs/>
        </w:rPr>
        <w:t xml:space="preserve">  </w:t>
      </w:r>
    </w:p>
    <w:p w14:paraId="1C3DD4CE" w14:textId="77777777" w:rsidR="00EE18FD" w:rsidRPr="00993D17" w:rsidRDefault="00EE18FD" w:rsidP="00EE18FD">
      <w:pPr>
        <w:spacing w:after="60"/>
        <w:ind w:hanging="720"/>
        <w:rPr>
          <w:rFonts w:eastAsia="Arial Unicode MS"/>
        </w:rPr>
      </w:pPr>
      <w:proofErr w:type="spellStart"/>
      <w:r w:rsidRPr="00993D17">
        <w:rPr>
          <w:rFonts w:eastAsia="Arial Unicode MS"/>
        </w:rPr>
        <w:t>Orser</w:t>
      </w:r>
      <w:proofErr w:type="spellEnd"/>
      <w:r w:rsidRPr="00993D17">
        <w:rPr>
          <w:rFonts w:eastAsia="Arial Unicode MS"/>
        </w:rPr>
        <w:t xml:space="preserve">, B., Riding, A., &amp; Li, Y. (2019). </w:t>
      </w:r>
      <w:r w:rsidRPr="00993D17">
        <w:rPr>
          <w:rFonts w:eastAsia="Arial Unicode MS"/>
          <w:iCs/>
        </w:rPr>
        <w:t>Technology adoption and gender-inclusive entrepreneurship education and training. </w:t>
      </w:r>
      <w:r w:rsidRPr="00993D17">
        <w:rPr>
          <w:rFonts w:eastAsia="Arial Unicode MS"/>
          <w:i/>
          <w:iCs/>
        </w:rPr>
        <w:t>International Journal of Gender and Entrepreneurship</w:t>
      </w:r>
      <w:r w:rsidRPr="00993D17">
        <w:rPr>
          <w:rFonts w:eastAsia="Arial Unicode MS"/>
        </w:rPr>
        <w:t xml:space="preserve">. 11(3), 273–298. </w:t>
      </w:r>
      <w:r w:rsidRPr="00993D17">
        <w:t>DOI: 10.1108/IJGE-02-2019-0026</w:t>
      </w:r>
    </w:p>
    <w:p w14:paraId="0B1998B7" w14:textId="77777777" w:rsidR="00EE18FD" w:rsidRPr="00993D17" w:rsidRDefault="00EE18FD" w:rsidP="00EE18FD">
      <w:pPr>
        <w:spacing w:after="60"/>
        <w:ind w:hanging="720"/>
        <w:rPr>
          <w:rFonts w:eastAsia="Arial Unicode MS"/>
        </w:rPr>
      </w:pPr>
      <w:proofErr w:type="spellStart"/>
      <w:r w:rsidRPr="00993D17">
        <w:rPr>
          <w:rFonts w:eastAsia="Arial Unicode MS"/>
        </w:rPr>
        <w:t>Orser</w:t>
      </w:r>
      <w:proofErr w:type="spellEnd"/>
      <w:r w:rsidRPr="00993D17">
        <w:rPr>
          <w:rFonts w:eastAsia="Arial Unicode MS"/>
        </w:rPr>
        <w:t xml:space="preserve">, B., &amp; Elliott, C. (2015). </w:t>
      </w:r>
      <w:r w:rsidRPr="00993D17">
        <w:rPr>
          <w:rFonts w:eastAsia="Arial Unicode MS"/>
          <w:i/>
        </w:rPr>
        <w:t>Feminine capital. Unlocking the power of women entrepreneurs</w:t>
      </w:r>
      <w:r w:rsidRPr="00993D17">
        <w:rPr>
          <w:rFonts w:eastAsia="Arial Unicode MS"/>
        </w:rPr>
        <w:t xml:space="preserve">. Stanford University Press. </w:t>
      </w:r>
      <w:r w:rsidRPr="00993D17">
        <w:t xml:space="preserve"> </w:t>
      </w:r>
    </w:p>
    <w:p w14:paraId="70044898" w14:textId="77777777" w:rsidR="00EE18FD" w:rsidRPr="00993D17" w:rsidRDefault="00EE18FD" w:rsidP="00EE18FD">
      <w:pPr>
        <w:spacing w:after="60"/>
        <w:ind w:hanging="720"/>
        <w:rPr>
          <w:rFonts w:eastAsia="Arial Unicode MS"/>
        </w:rPr>
      </w:pPr>
      <w:proofErr w:type="spellStart"/>
      <w:r w:rsidRPr="00993D17">
        <w:rPr>
          <w:rFonts w:eastAsia="Arial Unicode MS"/>
        </w:rPr>
        <w:t>Orser</w:t>
      </w:r>
      <w:proofErr w:type="spellEnd"/>
      <w:r w:rsidRPr="00993D17">
        <w:rPr>
          <w:rFonts w:eastAsia="Arial Unicode MS"/>
        </w:rPr>
        <w:t>,</w:t>
      </w:r>
      <w:r w:rsidRPr="00993D17" w:rsidDel="00D66F98">
        <w:rPr>
          <w:rFonts w:eastAsia="Arial Unicode MS"/>
        </w:rPr>
        <w:t xml:space="preserve"> </w:t>
      </w:r>
      <w:r w:rsidRPr="00993D17">
        <w:rPr>
          <w:rFonts w:eastAsia="Arial Unicode MS"/>
        </w:rPr>
        <w:t xml:space="preserve"> B., Elliott, C., &amp; </w:t>
      </w:r>
      <w:proofErr w:type="spellStart"/>
      <w:r w:rsidRPr="00993D17">
        <w:rPr>
          <w:rFonts w:eastAsia="Arial Unicode MS"/>
        </w:rPr>
        <w:t>Leck</w:t>
      </w:r>
      <w:proofErr w:type="spellEnd"/>
      <w:r w:rsidRPr="00993D17">
        <w:rPr>
          <w:rFonts w:eastAsia="Arial Unicode MS"/>
        </w:rPr>
        <w:t xml:space="preserve">, J. (2011). Feminist attributes and entrepreneurial identity. </w:t>
      </w:r>
      <w:r w:rsidRPr="00993D17">
        <w:rPr>
          <w:rFonts w:eastAsia="Arial Unicode MS"/>
          <w:i/>
        </w:rPr>
        <w:t>Gender in Management: An International Journal</w:t>
      </w:r>
      <w:r w:rsidRPr="00993D17">
        <w:rPr>
          <w:rFonts w:eastAsia="Arial Unicode MS"/>
        </w:rPr>
        <w:t xml:space="preserve">. 26(8), 561–589. </w:t>
      </w:r>
    </w:p>
    <w:p w14:paraId="6F61DE2F" w14:textId="77777777" w:rsidR="00EE18FD" w:rsidRPr="00993D17" w:rsidRDefault="00EE18FD" w:rsidP="00EE18FD">
      <w:pPr>
        <w:spacing w:after="60"/>
        <w:ind w:hanging="720"/>
        <w:rPr>
          <w:rFonts w:eastAsia="Arial Unicode MS"/>
        </w:rPr>
      </w:pPr>
      <w:proofErr w:type="spellStart"/>
      <w:r w:rsidRPr="00993D17">
        <w:rPr>
          <w:rFonts w:eastAsia="Arial Unicode MS"/>
        </w:rPr>
        <w:t>Pettersson</w:t>
      </w:r>
      <w:proofErr w:type="spellEnd"/>
      <w:r w:rsidRPr="00993D17">
        <w:rPr>
          <w:rFonts w:eastAsia="Arial Unicode MS"/>
        </w:rPr>
        <w:t xml:space="preserve">, K., </w:t>
      </w:r>
      <w:proofErr w:type="spellStart"/>
      <w:r w:rsidRPr="00993D17">
        <w:rPr>
          <w:rFonts w:eastAsia="Arial Unicode MS"/>
        </w:rPr>
        <w:t>Ahl</w:t>
      </w:r>
      <w:proofErr w:type="spellEnd"/>
      <w:r w:rsidRPr="00993D17">
        <w:rPr>
          <w:rFonts w:eastAsia="Arial Unicode MS"/>
        </w:rPr>
        <w:t xml:space="preserve">, H., Berglund, K., &amp; </w:t>
      </w:r>
      <w:proofErr w:type="spellStart"/>
      <w:r w:rsidRPr="00993D17">
        <w:rPr>
          <w:rFonts w:eastAsia="Arial Unicode MS"/>
        </w:rPr>
        <w:t>Tillmar</w:t>
      </w:r>
      <w:proofErr w:type="spellEnd"/>
      <w:r w:rsidRPr="00993D17">
        <w:rPr>
          <w:rFonts w:eastAsia="Arial Unicode MS"/>
        </w:rPr>
        <w:t xml:space="preserve">, M. (2017). In the name of women? Feminist readings of policies for women’s entrepreneurship in Scandinavia. </w:t>
      </w:r>
      <w:r w:rsidRPr="00993D17">
        <w:rPr>
          <w:rFonts w:eastAsia="Arial Unicode MS"/>
          <w:i/>
        </w:rPr>
        <w:t>Scandinavian Journal of Management</w:t>
      </w:r>
      <w:r w:rsidRPr="00993D17">
        <w:rPr>
          <w:rFonts w:eastAsia="Arial Unicode MS"/>
        </w:rPr>
        <w:t>. 33(1), 50–63. https://core.ac.uk/download/pdf/196586405.pdf</w:t>
      </w:r>
    </w:p>
    <w:p w14:paraId="1895B1BB" w14:textId="77777777" w:rsidR="00EE18FD" w:rsidRPr="00993D17" w:rsidRDefault="00EE18FD" w:rsidP="00EE18FD">
      <w:pPr>
        <w:spacing w:after="60"/>
        <w:ind w:hanging="720"/>
        <w:rPr>
          <w:rFonts w:eastAsia="Arial Unicode MS"/>
        </w:rPr>
      </w:pPr>
      <w:proofErr w:type="spellStart"/>
      <w:r w:rsidRPr="00993D17">
        <w:rPr>
          <w:rFonts w:eastAsia="Arial Unicode MS"/>
        </w:rPr>
        <w:t>Pettersson</w:t>
      </w:r>
      <w:proofErr w:type="spellEnd"/>
      <w:r w:rsidRPr="00993D17">
        <w:rPr>
          <w:rFonts w:eastAsia="Arial Unicode MS"/>
        </w:rPr>
        <w:t>, K. (2012). Support for women’s entrepreneurship: A Nordic spectrum. </w:t>
      </w:r>
      <w:r w:rsidRPr="00993D17">
        <w:rPr>
          <w:rFonts w:eastAsia="Arial Unicode MS"/>
          <w:i/>
        </w:rPr>
        <w:t>International Journal of Gender and Entrepreneurship</w:t>
      </w:r>
      <w:r w:rsidRPr="00993D17">
        <w:rPr>
          <w:rFonts w:eastAsia="Arial Unicode MS"/>
        </w:rPr>
        <w:t xml:space="preserve">. 4, 4–19. </w:t>
      </w:r>
      <w:r w:rsidRPr="00993D17">
        <w:rPr>
          <w:rStyle w:val="doilabel"/>
        </w:rPr>
        <w:t>DOI:</w:t>
      </w:r>
      <w:r w:rsidRPr="00993D17">
        <w:rPr>
          <w:rFonts w:eastAsia="Calibri"/>
        </w:rPr>
        <w:t>10.1108/17566261211202954</w:t>
      </w:r>
    </w:p>
    <w:p w14:paraId="41D001C4" w14:textId="77777777" w:rsidR="00EE18FD" w:rsidRPr="00993D17" w:rsidRDefault="00EE18FD" w:rsidP="00EE18FD">
      <w:pPr>
        <w:spacing w:after="60"/>
        <w:ind w:hanging="720"/>
        <w:rPr>
          <w:rFonts w:eastAsia="Arial Unicode MS"/>
        </w:rPr>
      </w:pPr>
      <w:proofErr w:type="spellStart"/>
      <w:r w:rsidRPr="00993D17">
        <w:rPr>
          <w:rFonts w:eastAsia="Arial Unicode MS"/>
        </w:rPr>
        <w:t>Perkmann</w:t>
      </w:r>
      <w:proofErr w:type="spellEnd"/>
      <w:r w:rsidRPr="00993D17">
        <w:rPr>
          <w:rFonts w:eastAsia="Arial Unicode MS"/>
        </w:rPr>
        <w:t xml:space="preserve">, M., &amp; Walsh, K. (2008). Engaging the scholar: Three forms of academic consulting and their impact on universities and industry. </w:t>
      </w:r>
      <w:r w:rsidRPr="00993D17">
        <w:rPr>
          <w:rFonts w:eastAsia="Arial Unicode MS"/>
          <w:i/>
        </w:rPr>
        <w:t>Research Policy</w:t>
      </w:r>
      <w:r w:rsidRPr="00993D17">
        <w:rPr>
          <w:rFonts w:eastAsia="Arial Unicode MS"/>
        </w:rPr>
        <w:t xml:space="preserve">. 37(10), 1884–1891. </w:t>
      </w:r>
      <w:r w:rsidRPr="00993D17">
        <w:t>http://www.sciencedirect.com/science/article/pii/S0048-7333(08)00157-1</w:t>
      </w:r>
    </w:p>
    <w:p w14:paraId="63E083D5" w14:textId="77777777" w:rsidR="00EE18FD" w:rsidRPr="00993D17" w:rsidRDefault="00EE18FD" w:rsidP="00EE18FD">
      <w:pPr>
        <w:spacing w:after="60"/>
        <w:ind w:hanging="720"/>
        <w:rPr>
          <w:rFonts w:eastAsia="Arial Unicode MS"/>
        </w:rPr>
      </w:pPr>
      <w:proofErr w:type="spellStart"/>
      <w:r w:rsidRPr="00993D17">
        <w:rPr>
          <w:rFonts w:eastAsia="Arial Unicode MS"/>
        </w:rPr>
        <w:t>Perkmann</w:t>
      </w:r>
      <w:proofErr w:type="spellEnd"/>
      <w:r w:rsidRPr="00993D17">
        <w:rPr>
          <w:rFonts w:eastAsia="Arial Unicode MS"/>
        </w:rPr>
        <w:t xml:space="preserve">, M., </w:t>
      </w:r>
      <w:proofErr w:type="spellStart"/>
      <w:r w:rsidRPr="00993D17">
        <w:rPr>
          <w:rFonts w:eastAsia="Arial Unicode MS"/>
        </w:rPr>
        <w:t>Tartari</w:t>
      </w:r>
      <w:proofErr w:type="spellEnd"/>
      <w:r w:rsidRPr="00993D17">
        <w:rPr>
          <w:rFonts w:eastAsia="Arial Unicode MS"/>
        </w:rPr>
        <w:t xml:space="preserve">, V., McKelvey, M., </w:t>
      </w:r>
      <w:proofErr w:type="spellStart"/>
      <w:r w:rsidRPr="00993D17">
        <w:rPr>
          <w:rFonts w:eastAsia="Arial Unicode MS"/>
        </w:rPr>
        <w:t>Autio</w:t>
      </w:r>
      <w:proofErr w:type="spellEnd"/>
      <w:r w:rsidRPr="00993D17">
        <w:rPr>
          <w:rFonts w:eastAsia="Arial Unicode MS"/>
        </w:rPr>
        <w:t xml:space="preserve">, E., </w:t>
      </w:r>
      <w:proofErr w:type="spellStart"/>
      <w:r w:rsidRPr="00993D17">
        <w:rPr>
          <w:rFonts w:eastAsia="Arial Unicode MS"/>
        </w:rPr>
        <w:t>Broström</w:t>
      </w:r>
      <w:proofErr w:type="spellEnd"/>
      <w:r w:rsidRPr="00993D17">
        <w:rPr>
          <w:rFonts w:eastAsia="Arial Unicode MS"/>
        </w:rPr>
        <w:t xml:space="preserve">, A., </w:t>
      </w:r>
      <w:proofErr w:type="spellStart"/>
      <w:r w:rsidRPr="00993D17">
        <w:rPr>
          <w:rFonts w:eastAsia="Arial Unicode MS"/>
        </w:rPr>
        <w:t>D’Este</w:t>
      </w:r>
      <w:proofErr w:type="spellEnd"/>
      <w:r w:rsidRPr="00993D17">
        <w:rPr>
          <w:rFonts w:eastAsia="Arial Unicode MS"/>
        </w:rPr>
        <w:t xml:space="preserve">, P., &amp; </w:t>
      </w:r>
      <w:proofErr w:type="spellStart"/>
      <w:r w:rsidRPr="00993D17">
        <w:rPr>
          <w:rFonts w:eastAsia="Arial Unicode MS"/>
        </w:rPr>
        <w:t>Krabel</w:t>
      </w:r>
      <w:proofErr w:type="spellEnd"/>
      <w:r w:rsidRPr="00993D17">
        <w:rPr>
          <w:rFonts w:eastAsia="Arial Unicode MS"/>
        </w:rPr>
        <w:t>, S. (2013). Academic engagement and commercialisation: A review of the literature on university-industry relations. </w:t>
      </w:r>
      <w:r w:rsidRPr="00993D17">
        <w:rPr>
          <w:rFonts w:eastAsia="Arial Unicode MS"/>
          <w:i/>
        </w:rPr>
        <w:t>Research Policy</w:t>
      </w:r>
      <w:r w:rsidRPr="00993D17">
        <w:rPr>
          <w:rFonts w:eastAsia="Arial Unicode MS"/>
        </w:rPr>
        <w:t xml:space="preserve">, 42(2), 423–442. </w:t>
      </w:r>
      <w:r w:rsidRPr="00993D17">
        <w:br/>
        <w:t>http://www.sciencedirect.com/science/article/pii/S0048733312002235</w:t>
      </w:r>
    </w:p>
    <w:p w14:paraId="372E7518" w14:textId="77777777" w:rsidR="00EE18FD" w:rsidRPr="00993D17" w:rsidRDefault="00EE18FD" w:rsidP="00EE18FD">
      <w:pPr>
        <w:spacing w:after="60"/>
        <w:ind w:hanging="720"/>
        <w:rPr>
          <w:rFonts w:eastAsia="Arial Unicode MS"/>
        </w:rPr>
      </w:pPr>
      <w:proofErr w:type="spellStart"/>
      <w:r w:rsidRPr="00993D17">
        <w:rPr>
          <w:rFonts w:eastAsia="Arial Unicode MS"/>
        </w:rPr>
        <w:t>Perren</w:t>
      </w:r>
      <w:proofErr w:type="spellEnd"/>
      <w:r w:rsidRPr="00993D17">
        <w:rPr>
          <w:rFonts w:eastAsia="Arial Unicode MS"/>
        </w:rPr>
        <w:t>, L., &amp; Jennings, P. L. (2005). Government discourses on entrepreneurship: Issues of legitimization, subjugation, and power. </w:t>
      </w:r>
      <w:r w:rsidRPr="00993D17">
        <w:rPr>
          <w:rFonts w:eastAsia="Arial Unicode MS"/>
          <w:i/>
        </w:rPr>
        <w:t>Entrepreneurship Theory and Practice</w:t>
      </w:r>
      <w:r w:rsidRPr="00993D17">
        <w:rPr>
          <w:rFonts w:eastAsia="Arial Unicode MS"/>
        </w:rPr>
        <w:t xml:space="preserve">. 29(2), 173–184. </w:t>
      </w:r>
      <w:r w:rsidRPr="00993D17">
        <w:t>doi:10.1111/j.1540-6520.2005.00075.x</w:t>
      </w:r>
    </w:p>
    <w:p w14:paraId="0C4EF715" w14:textId="77777777" w:rsidR="00EE18FD" w:rsidRPr="00993D17" w:rsidRDefault="00EE18FD" w:rsidP="00EE18FD">
      <w:pPr>
        <w:spacing w:after="60"/>
        <w:ind w:hanging="720"/>
        <w:rPr>
          <w:rFonts w:eastAsia="Arial Unicode MS"/>
        </w:rPr>
      </w:pPr>
      <w:proofErr w:type="spellStart"/>
      <w:r w:rsidRPr="00993D17">
        <w:rPr>
          <w:rFonts w:eastAsia="Arial Unicode MS"/>
        </w:rPr>
        <w:t>Pordeli</w:t>
      </w:r>
      <w:proofErr w:type="spellEnd"/>
      <w:r w:rsidRPr="00993D17">
        <w:rPr>
          <w:rFonts w:eastAsia="Arial Unicode MS"/>
        </w:rPr>
        <w:t xml:space="preserve">, H., Wynkoop, P., &amp; Martin, G. (2009). </w:t>
      </w:r>
      <w:r w:rsidRPr="00993D17">
        <w:rPr>
          <w:rFonts w:eastAsia="Arial Unicode MS"/>
          <w:i/>
        </w:rPr>
        <w:t>The economic impact of women-owned businesses in the United States</w:t>
      </w:r>
      <w:r w:rsidRPr="00993D17">
        <w:rPr>
          <w:rFonts w:eastAsia="Arial Unicode MS"/>
        </w:rPr>
        <w:t xml:space="preserve">. Center for Women’s Business Research. </w:t>
      </w:r>
    </w:p>
    <w:p w14:paraId="4C69A08B" w14:textId="77777777" w:rsidR="00EE18FD" w:rsidRPr="00993D17" w:rsidRDefault="00EE18FD" w:rsidP="00EE18FD">
      <w:pPr>
        <w:spacing w:after="60"/>
        <w:ind w:hanging="720"/>
        <w:rPr>
          <w:rFonts w:eastAsia="Arial Unicode MS"/>
          <w:lang w:val="en-US"/>
        </w:rPr>
      </w:pPr>
      <w:r w:rsidRPr="00993D17">
        <w:rPr>
          <w:rFonts w:eastAsia="Arial Unicode MS"/>
          <w:lang w:val="en-US"/>
        </w:rPr>
        <w:t xml:space="preserve">Rankin, L. P., </w:t>
      </w:r>
      <w:r w:rsidRPr="00993D17">
        <w:rPr>
          <w:rFonts w:eastAsia="Arial Unicode MS"/>
        </w:rPr>
        <w:t>&amp;</w:t>
      </w:r>
      <w:r w:rsidRPr="00993D17">
        <w:rPr>
          <w:rFonts w:eastAsia="Arial Unicode MS"/>
          <w:lang w:val="en-US"/>
        </w:rPr>
        <w:t xml:space="preserve"> Vickers, J. (2001). </w:t>
      </w:r>
      <w:r w:rsidRPr="00993D17">
        <w:rPr>
          <w:rFonts w:eastAsia="Arial Unicode MS"/>
          <w:i/>
          <w:lang w:val="en-US"/>
        </w:rPr>
        <w:t>Women’s movements and state feminism: Integrating diversity into public policy</w:t>
      </w:r>
      <w:r w:rsidRPr="00993D17">
        <w:rPr>
          <w:rFonts w:eastAsia="Arial Unicode MS"/>
          <w:lang w:val="en-US"/>
        </w:rPr>
        <w:t xml:space="preserve">. Status of Women Canada. </w:t>
      </w:r>
    </w:p>
    <w:p w14:paraId="0B40CC04" w14:textId="77777777" w:rsidR="00EE18FD" w:rsidRPr="00993D17" w:rsidRDefault="00EE18FD" w:rsidP="00EE18FD">
      <w:pPr>
        <w:spacing w:after="60"/>
        <w:ind w:hanging="720"/>
        <w:rPr>
          <w:rFonts w:eastAsia="Arial Unicode MS"/>
        </w:rPr>
      </w:pPr>
      <w:r w:rsidRPr="00993D17">
        <w:rPr>
          <w:rFonts w:eastAsia="Arial Unicode MS"/>
        </w:rPr>
        <w:t xml:space="preserve">Rao, A, &amp; Sandler, J. (2016). Beyond binaries: Strategies for a 21st-century gender equality agenda. In W. Harcourt (Ed.), </w:t>
      </w:r>
      <w:r w:rsidRPr="00993D17">
        <w:rPr>
          <w:rFonts w:eastAsia="Arial Unicode MS"/>
          <w:i/>
        </w:rPr>
        <w:t>The Palgrave handbook of gender and development. Critical engagements in feminist theory and practic</w:t>
      </w:r>
      <w:r w:rsidRPr="00993D17">
        <w:rPr>
          <w:rFonts w:eastAsia="Arial Unicode MS"/>
        </w:rPr>
        <w:t xml:space="preserve">e (pp. 106–116) Palgrave Macmillan. </w:t>
      </w:r>
    </w:p>
    <w:p w14:paraId="4FDF6EEC" w14:textId="77777777" w:rsidR="00EE18FD" w:rsidRPr="00993D17" w:rsidRDefault="00EE18FD" w:rsidP="00EE18FD">
      <w:pPr>
        <w:spacing w:after="60"/>
        <w:ind w:hanging="720"/>
        <w:rPr>
          <w:rFonts w:eastAsia="Arial Unicode MS"/>
        </w:rPr>
      </w:pPr>
      <w:proofErr w:type="spellStart"/>
      <w:r w:rsidRPr="00993D17">
        <w:rPr>
          <w:rFonts w:eastAsia="Arial Unicode MS"/>
        </w:rPr>
        <w:lastRenderedPageBreak/>
        <w:t>Rawhouser</w:t>
      </w:r>
      <w:proofErr w:type="spellEnd"/>
      <w:r w:rsidRPr="00993D17">
        <w:rPr>
          <w:rFonts w:eastAsia="Arial Unicode MS"/>
        </w:rPr>
        <w:t xml:space="preserve">, H., Cummings, M., &amp; </w:t>
      </w:r>
      <w:proofErr w:type="spellStart"/>
      <w:r w:rsidRPr="00993D17">
        <w:rPr>
          <w:rFonts w:eastAsia="Arial Unicode MS"/>
        </w:rPr>
        <w:t>Newbert</w:t>
      </w:r>
      <w:proofErr w:type="spellEnd"/>
      <w:r w:rsidRPr="00993D17">
        <w:rPr>
          <w:rFonts w:eastAsia="Arial Unicode MS"/>
        </w:rPr>
        <w:t xml:space="preserve">, S. L. (2019). Social impact measurement: Current approaches and future directions for social entrepreneurship research. </w:t>
      </w:r>
      <w:r w:rsidRPr="00993D17">
        <w:rPr>
          <w:rFonts w:eastAsia="Arial Unicode MS"/>
          <w:i/>
        </w:rPr>
        <w:t>Entrepreneurship Theory and Practice</w:t>
      </w:r>
      <w:r w:rsidRPr="00993D17">
        <w:rPr>
          <w:rFonts w:eastAsia="Arial Unicode MS"/>
        </w:rPr>
        <w:t xml:space="preserve">. 43(1), 82–115. </w:t>
      </w:r>
      <w:r w:rsidRPr="00993D17">
        <w:t>http://dx.doi.org/10.1177/1042258717727718</w:t>
      </w:r>
    </w:p>
    <w:p w14:paraId="49AF39C9" w14:textId="77777777" w:rsidR="00EE18FD" w:rsidRPr="00993D17" w:rsidRDefault="00EE18FD" w:rsidP="00EE18FD">
      <w:pPr>
        <w:spacing w:after="60"/>
        <w:ind w:hanging="720"/>
        <w:rPr>
          <w:rFonts w:eastAsia="Arial Unicode MS"/>
        </w:rPr>
      </w:pPr>
      <w:proofErr w:type="spellStart"/>
      <w:r w:rsidRPr="00993D17">
        <w:rPr>
          <w:rFonts w:eastAsia="Arial Unicode MS"/>
        </w:rPr>
        <w:t>Renko</w:t>
      </w:r>
      <w:proofErr w:type="spellEnd"/>
      <w:r w:rsidRPr="00993D17">
        <w:rPr>
          <w:rFonts w:eastAsia="Arial Unicode MS"/>
        </w:rPr>
        <w:t>, M. (2013). Early challenges of nascent social entrepreneurs. </w:t>
      </w:r>
      <w:r w:rsidRPr="00993D17">
        <w:rPr>
          <w:rFonts w:eastAsia="Arial Unicode MS"/>
          <w:i/>
        </w:rPr>
        <w:t>Entrepreneurship Theory and Practice</w:t>
      </w:r>
      <w:r w:rsidRPr="00993D17">
        <w:rPr>
          <w:rFonts w:eastAsia="Arial Unicode MS"/>
        </w:rPr>
        <w:t xml:space="preserve">. 37(5), 1045–1069. </w:t>
      </w:r>
      <w:hyperlink r:id="rId12" w:history="1">
        <w:r w:rsidRPr="00993D17">
          <w:rPr>
            <w:rFonts w:eastAsia="Arial Unicode MS"/>
          </w:rPr>
          <w:t>https://doi.org/10.1111/j.1540-6520.2012.00522.x\</w:t>
        </w:r>
      </w:hyperlink>
    </w:p>
    <w:p w14:paraId="6248BCFE" w14:textId="77777777" w:rsidR="00EE18FD" w:rsidRPr="00993D17" w:rsidRDefault="00EE18FD" w:rsidP="00EE18FD">
      <w:pPr>
        <w:spacing w:after="60"/>
        <w:ind w:hanging="720"/>
        <w:rPr>
          <w:rFonts w:eastAsia="Arial Unicode MS"/>
          <w:lang w:val="en-US"/>
        </w:rPr>
      </w:pPr>
      <w:r w:rsidRPr="00993D17">
        <w:rPr>
          <w:rFonts w:eastAsia="Arial Unicode MS"/>
        </w:rPr>
        <w:t xml:space="preserve">Richard, T. (2020). Everything to offer or something to prove? The othering of women in the newly formed Canada-United States Council for Advancement of Women Entrepreneurs and Business Leaders. </w:t>
      </w:r>
      <w:r w:rsidRPr="00993D17">
        <w:rPr>
          <w:rFonts w:eastAsia="Arial Unicode MS"/>
          <w:i/>
          <w:lang w:val="en-US"/>
        </w:rPr>
        <w:t>Workplace Review</w:t>
      </w:r>
      <w:r w:rsidRPr="00993D17">
        <w:rPr>
          <w:rFonts w:eastAsia="Arial Unicode MS"/>
          <w:lang w:val="en-US"/>
        </w:rPr>
        <w:t>. Spring 2020, 84–95. https://www.smu.ca/webfiles/TashaRichard.pdf</w:t>
      </w:r>
    </w:p>
    <w:p w14:paraId="1B874879" w14:textId="77777777" w:rsidR="00EE18FD" w:rsidRPr="00993D17" w:rsidRDefault="00EE18FD" w:rsidP="00EE18FD">
      <w:pPr>
        <w:spacing w:after="60"/>
        <w:ind w:hanging="720"/>
        <w:rPr>
          <w:rFonts w:eastAsia="Arial Unicode MS"/>
        </w:rPr>
      </w:pPr>
      <w:r w:rsidRPr="00993D17">
        <w:rPr>
          <w:rFonts w:eastAsia="Arial Unicode MS"/>
        </w:rPr>
        <w:t>Rouse, J., &amp; Kitching, J. (2006). Do enterprise support programmes leave women holding the baby? </w:t>
      </w:r>
      <w:r w:rsidRPr="00993D17">
        <w:rPr>
          <w:rFonts w:eastAsia="Arial Unicode MS"/>
          <w:i/>
        </w:rPr>
        <w:t>Environment and Planning C: Government and Policy</w:t>
      </w:r>
      <w:r w:rsidRPr="00993D17">
        <w:rPr>
          <w:rFonts w:eastAsia="Arial Unicode MS"/>
        </w:rPr>
        <w:t xml:space="preserve">. 24(1), 5–19. </w:t>
      </w:r>
      <w:r w:rsidRPr="00993D17">
        <w:t>https://doi.org/10.1068/c0528</w:t>
      </w:r>
    </w:p>
    <w:p w14:paraId="2FF40886" w14:textId="77777777" w:rsidR="00EE18FD" w:rsidRPr="00993D17" w:rsidRDefault="00EE18FD" w:rsidP="00EE18FD">
      <w:pPr>
        <w:spacing w:after="60"/>
        <w:ind w:hanging="720"/>
        <w:rPr>
          <w:rFonts w:eastAsia="Arial Unicode MS"/>
          <w:i/>
        </w:rPr>
      </w:pPr>
      <w:r w:rsidRPr="00993D17">
        <w:rPr>
          <w:rFonts w:eastAsia="Arial Unicode MS"/>
        </w:rPr>
        <w:t>Rowe, A. M. (2018). Gender and innovation policy in Canada and Sweden. </w:t>
      </w:r>
      <w:r w:rsidRPr="00993D17">
        <w:rPr>
          <w:rFonts w:eastAsia="Arial Unicode MS"/>
          <w:i/>
        </w:rPr>
        <w:t>International Journal of Gender and Entrepreneurship</w:t>
      </w:r>
      <w:r w:rsidRPr="00993D17">
        <w:rPr>
          <w:rFonts w:eastAsia="Arial Unicode MS"/>
          <w:iCs/>
        </w:rPr>
        <w:t xml:space="preserve">. 10(4), 344-360. </w:t>
      </w:r>
      <w:r w:rsidRPr="00993D17">
        <w:t>DOI: 10.1108/IJGE-04-2018-0039</w:t>
      </w:r>
    </w:p>
    <w:p w14:paraId="3FF7C9DB" w14:textId="77777777" w:rsidR="00EE18FD" w:rsidRPr="00993D17" w:rsidRDefault="00EE18FD" w:rsidP="00EE18FD">
      <w:pPr>
        <w:spacing w:after="60"/>
        <w:ind w:hanging="720"/>
        <w:rPr>
          <w:rFonts w:eastAsia="Arial Unicode MS"/>
        </w:rPr>
      </w:pPr>
      <w:r w:rsidRPr="00993D17">
        <w:rPr>
          <w:rFonts w:eastAsia="Arial Unicode MS"/>
        </w:rPr>
        <w:t xml:space="preserve">Scott, L. M., </w:t>
      </w:r>
      <w:proofErr w:type="spellStart"/>
      <w:r w:rsidRPr="00993D17">
        <w:rPr>
          <w:rFonts w:eastAsia="Arial Unicode MS"/>
        </w:rPr>
        <w:t>Custers</w:t>
      </w:r>
      <w:proofErr w:type="spellEnd"/>
      <w:r w:rsidRPr="00993D17">
        <w:rPr>
          <w:rFonts w:eastAsia="Arial Unicode MS"/>
        </w:rPr>
        <w:t xml:space="preserve">, A., Dolan, C., Johnstone-Louis, M., </w:t>
      </w:r>
      <w:proofErr w:type="spellStart"/>
      <w:r w:rsidRPr="00993D17">
        <w:rPr>
          <w:rFonts w:eastAsia="Arial Unicode MS"/>
        </w:rPr>
        <w:t>Luchinskaya</w:t>
      </w:r>
      <w:proofErr w:type="spellEnd"/>
      <w:r w:rsidRPr="00993D17">
        <w:rPr>
          <w:rFonts w:eastAsia="Arial Unicode MS"/>
        </w:rPr>
        <w:t xml:space="preserve">, D., Marston, A. (2016). </w:t>
      </w:r>
      <w:r w:rsidRPr="00993D17">
        <w:rPr>
          <w:rFonts w:eastAsia="Arial Unicode MS"/>
          <w:i/>
          <w:iCs/>
        </w:rPr>
        <w:t xml:space="preserve">Advisory </w:t>
      </w:r>
      <w:r w:rsidRPr="00993D17">
        <w:rPr>
          <w:rFonts w:eastAsia="Arial Unicode MS"/>
          <w:i/>
        </w:rPr>
        <w:t>Note on measures: Women’s economic empowerment</w:t>
      </w:r>
      <w:r w:rsidRPr="00993D17">
        <w:rPr>
          <w:rFonts w:eastAsia="Arial Unicode MS"/>
        </w:rPr>
        <w:t>. Said Business School, Research Papers, Oxford University. Vol. 77. https://seepnetwork.org/files/galleries/ 1583_Advisory_Note_on_Measures_Womens_Economic_Empowerment.pdf</w:t>
      </w:r>
      <w:r w:rsidRPr="00993D17" w:rsidDel="00086010">
        <w:rPr>
          <w:rFonts w:eastAsia="Arial Unicode MS"/>
        </w:rPr>
        <w:t xml:space="preserve"> </w:t>
      </w:r>
    </w:p>
    <w:p w14:paraId="2007B3D9" w14:textId="77777777" w:rsidR="00EE18FD" w:rsidRPr="00993D17" w:rsidRDefault="00EE18FD" w:rsidP="00EE18FD">
      <w:pPr>
        <w:widowControl w:val="0"/>
        <w:autoSpaceDE w:val="0"/>
        <w:autoSpaceDN w:val="0"/>
        <w:adjustRightInd w:val="0"/>
        <w:spacing w:after="60"/>
        <w:ind w:hanging="720"/>
        <w:rPr>
          <w:rFonts w:eastAsiaTheme="minorEastAsia"/>
          <w:lang w:eastAsia="ja-JP"/>
        </w:rPr>
      </w:pPr>
      <w:r w:rsidRPr="00993D17">
        <w:rPr>
          <w:rFonts w:eastAsiaTheme="minorEastAsia"/>
          <w:lang w:eastAsia="ja-JP"/>
        </w:rPr>
        <w:t xml:space="preserve">Sheikh, S., </w:t>
      </w:r>
      <w:r w:rsidRPr="00993D17">
        <w:rPr>
          <w:rFonts w:eastAsia="Arial Unicode MS"/>
        </w:rPr>
        <w:t>&amp;</w:t>
      </w:r>
      <w:r w:rsidRPr="00993D17">
        <w:rPr>
          <w:rFonts w:eastAsiaTheme="minorEastAsia"/>
          <w:lang w:eastAsia="ja-JP"/>
        </w:rPr>
        <w:t xml:space="preserve"> </w:t>
      </w:r>
      <w:proofErr w:type="spellStart"/>
      <w:r w:rsidRPr="00993D17">
        <w:rPr>
          <w:rFonts w:eastAsiaTheme="minorEastAsia"/>
          <w:lang w:eastAsia="ja-JP"/>
        </w:rPr>
        <w:t>Steiber</w:t>
      </w:r>
      <w:proofErr w:type="spellEnd"/>
      <w:r w:rsidRPr="00993D17">
        <w:rPr>
          <w:rFonts w:eastAsiaTheme="minorEastAsia"/>
          <w:lang w:eastAsia="ja-JP"/>
        </w:rPr>
        <w:t xml:space="preserve">, N. (2002). </w:t>
      </w:r>
      <w:r w:rsidRPr="00993D17">
        <w:rPr>
          <w:rFonts w:eastAsiaTheme="minorEastAsia"/>
          <w:i/>
          <w:iCs/>
          <w:lang w:eastAsia="ja-JP"/>
        </w:rPr>
        <w:t xml:space="preserve">Evaluating actions and measures promoting female entrepreneurship. A Guide. </w:t>
      </w:r>
      <w:r w:rsidRPr="00993D17">
        <w:rPr>
          <w:rFonts w:eastAsiaTheme="minorEastAsia"/>
          <w:lang w:eastAsia="ja-JP"/>
        </w:rPr>
        <w:t>Austrian Institute for Small Business Research. European Commission. https://pdfs.semanticscholar.org/9d96/59d8c388af958cba5a69e0e30a0ed2e11075.pdf</w:t>
      </w:r>
      <w:r w:rsidRPr="00993D17" w:rsidDel="00B90639">
        <w:rPr>
          <w:rFonts w:eastAsiaTheme="minorEastAsia"/>
          <w:lang w:eastAsia="ja-JP"/>
        </w:rPr>
        <w:t xml:space="preserve"> </w:t>
      </w:r>
    </w:p>
    <w:p w14:paraId="628B44C7" w14:textId="77777777" w:rsidR="00EE18FD" w:rsidRPr="00993D17" w:rsidRDefault="00EE18FD" w:rsidP="00EE18FD">
      <w:pPr>
        <w:spacing w:after="60"/>
        <w:ind w:hanging="720"/>
        <w:rPr>
          <w:rFonts w:eastAsia="Arial Unicode MS"/>
        </w:rPr>
      </w:pPr>
      <w:proofErr w:type="spellStart"/>
      <w:r w:rsidRPr="00993D17">
        <w:rPr>
          <w:rFonts w:eastAsia="Arial Unicode MS"/>
        </w:rPr>
        <w:t>Spigel</w:t>
      </w:r>
      <w:proofErr w:type="spellEnd"/>
      <w:r w:rsidRPr="00993D17">
        <w:rPr>
          <w:rFonts w:eastAsia="Arial Unicode MS"/>
        </w:rPr>
        <w:t>, B. (2015). The relational organization of entrepreneurial ecosystems. </w:t>
      </w:r>
      <w:r w:rsidRPr="00993D17">
        <w:rPr>
          <w:rFonts w:eastAsia="Arial Unicode MS"/>
          <w:i/>
        </w:rPr>
        <w:t>Entrepreneurship Theory and Practice</w:t>
      </w:r>
      <w:r w:rsidRPr="00993D17">
        <w:rPr>
          <w:rFonts w:eastAsia="Arial Unicode MS"/>
        </w:rPr>
        <w:t xml:space="preserve">. 41(1), 49–72. </w:t>
      </w:r>
      <w:r w:rsidRPr="00993D17">
        <w:t>https://doi.org/10.1111/etap.12167</w:t>
      </w:r>
    </w:p>
    <w:p w14:paraId="13DA61EF" w14:textId="77777777" w:rsidR="00EE18FD" w:rsidRPr="00993D17" w:rsidRDefault="00EE18FD" w:rsidP="00EE18FD">
      <w:pPr>
        <w:spacing w:after="60"/>
        <w:ind w:hanging="720"/>
        <w:rPr>
          <w:rFonts w:eastAsia="Arial Unicode MS"/>
        </w:rPr>
      </w:pPr>
      <w:proofErr w:type="spellStart"/>
      <w:r w:rsidRPr="00993D17">
        <w:rPr>
          <w:rFonts w:eastAsia="Arial Unicode MS"/>
        </w:rPr>
        <w:t>Stam</w:t>
      </w:r>
      <w:proofErr w:type="spellEnd"/>
      <w:r w:rsidRPr="00993D17">
        <w:rPr>
          <w:rFonts w:eastAsia="Arial Unicode MS"/>
        </w:rPr>
        <w:t>, E. (2015). Entrepreneurial ecosystems and regional policy: A sympathetic critique. </w:t>
      </w:r>
      <w:r w:rsidRPr="00993D17">
        <w:rPr>
          <w:rFonts w:eastAsia="Arial Unicode MS"/>
          <w:i/>
        </w:rPr>
        <w:t>European Planning Studies</w:t>
      </w:r>
      <w:r w:rsidRPr="00993D17">
        <w:rPr>
          <w:rFonts w:eastAsia="Arial Unicode MS"/>
        </w:rPr>
        <w:t xml:space="preserve">. 23(9), 1759–1769. </w:t>
      </w:r>
      <w:r w:rsidRPr="00993D17">
        <w:rPr>
          <w:rStyle w:val="doilink"/>
          <w:rFonts w:eastAsia="Calibri"/>
        </w:rPr>
        <w:t>10.1080/09654313.2015.1061484</w:t>
      </w:r>
    </w:p>
    <w:p w14:paraId="3BEBC6EC" w14:textId="77777777" w:rsidR="00EE18FD" w:rsidRPr="00993D17" w:rsidRDefault="00EE18FD" w:rsidP="00EE18FD">
      <w:pPr>
        <w:widowControl w:val="0"/>
        <w:autoSpaceDE w:val="0"/>
        <w:autoSpaceDN w:val="0"/>
        <w:adjustRightInd w:val="0"/>
        <w:spacing w:after="60"/>
        <w:ind w:hanging="720"/>
        <w:rPr>
          <w:lang w:eastAsia="ja-JP"/>
        </w:rPr>
      </w:pPr>
      <w:r w:rsidRPr="00993D17">
        <w:rPr>
          <w:lang w:eastAsia="ja-JP"/>
        </w:rPr>
        <w:t xml:space="preserve">Ranade, Y. (2016). </w:t>
      </w:r>
      <w:r w:rsidRPr="00993D17">
        <w:rPr>
          <w:i/>
          <w:lang w:eastAsia="ja-JP"/>
        </w:rPr>
        <w:t>Entrepreneurial feminism: Where entrepreneurship intersects feminist thinking</w:t>
      </w:r>
      <w:r w:rsidRPr="00993D17">
        <w:rPr>
          <w:lang w:eastAsia="ja-JP"/>
        </w:rPr>
        <w:t xml:space="preserve">. Whatsyourtech.ca. </w:t>
      </w:r>
      <w:r w:rsidRPr="00993D17">
        <w:t>https://whatsyourtech.ca/2016/08/05/entrepreneurial-feminism-where-entrepreneurship-intersects-feminist-thinking/</w:t>
      </w:r>
    </w:p>
    <w:p w14:paraId="5F3B0EF2" w14:textId="77777777" w:rsidR="00EE18FD" w:rsidRPr="00993D17" w:rsidRDefault="00EE18FD" w:rsidP="00EE18FD">
      <w:pPr>
        <w:spacing w:after="60"/>
        <w:ind w:hanging="720"/>
        <w:rPr>
          <w:lang w:val="en-US"/>
        </w:rPr>
      </w:pPr>
      <w:r w:rsidRPr="00993D17">
        <w:rPr>
          <w:lang w:val="en-US"/>
        </w:rPr>
        <w:t xml:space="preserve">Status of Women Canada. (2020). </w:t>
      </w:r>
      <w:r w:rsidRPr="00993D17">
        <w:rPr>
          <w:i/>
          <w:lang w:val="en-US"/>
        </w:rPr>
        <w:t>What is GBA+? Gender-based analysis plus</w:t>
      </w:r>
      <w:r w:rsidRPr="00993D17">
        <w:rPr>
          <w:lang w:val="en-US"/>
        </w:rPr>
        <w:t>.</w:t>
      </w:r>
      <w:r w:rsidRPr="00993D17" w:rsidDel="00C56E18">
        <w:rPr>
          <w:lang w:val="en-US"/>
        </w:rPr>
        <w:t xml:space="preserve"> </w:t>
      </w:r>
      <w:r w:rsidRPr="00993D17">
        <w:t>https://cfc-swc.gc.ca/</w:t>
      </w:r>
      <w:proofErr w:type="spellStart"/>
      <w:r w:rsidRPr="00993D17">
        <w:rPr>
          <w:lang w:val="en-US"/>
        </w:rPr>
        <w:t>gba-acs</w:t>
      </w:r>
      <w:proofErr w:type="spellEnd"/>
      <w:r w:rsidRPr="00993D17">
        <w:rPr>
          <w:lang w:val="en-US"/>
        </w:rPr>
        <w:t>/index-en.html</w:t>
      </w:r>
    </w:p>
    <w:p w14:paraId="77B93121" w14:textId="77777777" w:rsidR="00EE18FD" w:rsidRPr="00993D17" w:rsidRDefault="00EE18FD" w:rsidP="00EE18FD">
      <w:pPr>
        <w:spacing w:after="60"/>
        <w:ind w:hanging="720"/>
        <w:rPr>
          <w:rFonts w:eastAsia="Arial Unicode MS"/>
        </w:rPr>
      </w:pPr>
      <w:proofErr w:type="spellStart"/>
      <w:r w:rsidRPr="00993D17">
        <w:rPr>
          <w:lang w:val="en-US"/>
        </w:rPr>
        <w:t>Strohmeyer</w:t>
      </w:r>
      <w:proofErr w:type="spellEnd"/>
      <w:r w:rsidRPr="00993D17">
        <w:rPr>
          <w:lang w:val="en-US"/>
        </w:rPr>
        <w:t xml:space="preserve">, R., </w:t>
      </w:r>
      <w:proofErr w:type="spellStart"/>
      <w:r w:rsidRPr="00993D17">
        <w:rPr>
          <w:lang w:val="en-US"/>
        </w:rPr>
        <w:t>Tonoyan</w:t>
      </w:r>
      <w:proofErr w:type="spellEnd"/>
      <w:r w:rsidRPr="00993D17">
        <w:rPr>
          <w:lang w:val="en-US"/>
        </w:rPr>
        <w:t xml:space="preserve">, V., </w:t>
      </w:r>
      <w:r w:rsidRPr="00993D17">
        <w:rPr>
          <w:rFonts w:eastAsia="Arial Unicode MS"/>
        </w:rPr>
        <w:t xml:space="preserve">&amp; Jennings, J. (2017). Jacks-(and </w:t>
      </w:r>
      <w:proofErr w:type="spellStart"/>
      <w:r w:rsidRPr="00993D17">
        <w:rPr>
          <w:rFonts w:eastAsia="Arial Unicode MS"/>
        </w:rPr>
        <w:t>Jills</w:t>
      </w:r>
      <w:proofErr w:type="spellEnd"/>
      <w:r w:rsidRPr="00993D17">
        <w:rPr>
          <w:rFonts w:eastAsia="Arial Unicode MS"/>
        </w:rPr>
        <w:t xml:space="preserve">)-of-all-trades: On whether, how and why gender influences firm innovativeness. </w:t>
      </w:r>
      <w:r w:rsidRPr="00993D17">
        <w:rPr>
          <w:rFonts w:eastAsia="Arial Unicode MS"/>
          <w:i/>
        </w:rPr>
        <w:t>Journal of Business Venturing</w:t>
      </w:r>
      <w:r w:rsidRPr="00993D17">
        <w:rPr>
          <w:rFonts w:eastAsia="Arial Unicode MS"/>
        </w:rPr>
        <w:t xml:space="preserve">. 32, 498–518. </w:t>
      </w:r>
      <w:r w:rsidRPr="00993D17">
        <w:t xml:space="preserve">DOI: 10.1016/j.jbusvent.2017.07.001  </w:t>
      </w:r>
      <w:r w:rsidRPr="00993D17">
        <w:rPr>
          <w:rFonts w:eastAsia="Arial Unicode MS"/>
        </w:rPr>
        <w:t xml:space="preserve"> </w:t>
      </w:r>
    </w:p>
    <w:p w14:paraId="169EA950" w14:textId="77777777" w:rsidR="00EE18FD" w:rsidRPr="00993D17" w:rsidRDefault="00EE18FD" w:rsidP="00EE18FD">
      <w:pPr>
        <w:spacing w:after="60"/>
        <w:ind w:hanging="720"/>
        <w:rPr>
          <w:rFonts w:eastAsia="Arial Unicode MS"/>
          <w:i/>
        </w:rPr>
      </w:pPr>
      <w:r w:rsidRPr="00993D17">
        <w:rPr>
          <w:rFonts w:eastAsia="Arial Unicode MS"/>
        </w:rPr>
        <w:t xml:space="preserve">Sultana, A., &amp; </w:t>
      </w:r>
      <w:proofErr w:type="spellStart"/>
      <w:r w:rsidRPr="00993D17">
        <w:rPr>
          <w:rFonts w:eastAsia="Arial Unicode MS"/>
        </w:rPr>
        <w:t>Ravanera</w:t>
      </w:r>
      <w:proofErr w:type="spellEnd"/>
      <w:r w:rsidRPr="00993D17">
        <w:rPr>
          <w:rFonts w:eastAsia="Arial Unicode MS"/>
        </w:rPr>
        <w:t xml:space="preserve">, C. (2020, July 28). </w:t>
      </w:r>
      <w:r w:rsidRPr="00993D17">
        <w:rPr>
          <w:rFonts w:eastAsia="Arial Unicode MS"/>
          <w:i/>
        </w:rPr>
        <w:t>A feminist economic recovery plan for Canada: Making the economy work for everyone</w:t>
      </w:r>
      <w:r w:rsidRPr="00993D17">
        <w:rPr>
          <w:rFonts w:eastAsia="Arial Unicode MS"/>
        </w:rPr>
        <w:t>. The Institute for Gender and the Economy (GATE) and YWCA Canada.</w:t>
      </w:r>
      <w:r w:rsidRPr="00993D17">
        <w:t>https://static1.squarespace.com/static/5f0cd2090f50a31a91b37ff7/t/5f205a15b1b7191d12282bf5/1595955746613/Feminist+Economy+Recovery+Plan+for+Canada.pdf</w:t>
      </w:r>
    </w:p>
    <w:p w14:paraId="5FD2324F" w14:textId="77777777" w:rsidR="00EE18FD" w:rsidRPr="00993D17" w:rsidRDefault="00EE18FD" w:rsidP="00EE18FD">
      <w:pPr>
        <w:spacing w:after="60"/>
        <w:ind w:hanging="720"/>
        <w:rPr>
          <w:rFonts w:eastAsia="Arial Unicode MS"/>
        </w:rPr>
      </w:pPr>
      <w:r w:rsidRPr="00993D17">
        <w:rPr>
          <w:rFonts w:eastAsia="Arial Unicode MS"/>
        </w:rPr>
        <w:t xml:space="preserve">State of Hawai’i. (2020). Building bridges, </w:t>
      </w:r>
      <w:r w:rsidRPr="00993D17">
        <w:rPr>
          <w:rFonts w:eastAsia="Arial Unicode MS"/>
          <w:i/>
        </w:rPr>
        <w:t>not walking on backs: A feminist economic recovery plan for COVID-19</w:t>
      </w:r>
      <w:r w:rsidRPr="00993D17">
        <w:rPr>
          <w:rFonts w:eastAsia="Arial Unicode MS"/>
        </w:rPr>
        <w:t>. Hawai’i State Commission on the Status of Women Department of Human Services State of Hawai’i.</w:t>
      </w:r>
      <w:r w:rsidRPr="00993D17" w:rsidDel="00C56E18">
        <w:t xml:space="preserve"> </w:t>
      </w:r>
      <w:r w:rsidRPr="00993D17">
        <w:t>https://humanservices.hawaii.gov/wp-content/uploads/2020/04/4.13.20-Final-Cover-D2-Feminist-Economic-Recovery-D1.pdf</w:t>
      </w:r>
    </w:p>
    <w:p w14:paraId="1DE0EF25" w14:textId="77777777" w:rsidR="00EE18FD" w:rsidRPr="00993D17" w:rsidRDefault="00EE18FD" w:rsidP="00EE18FD">
      <w:pPr>
        <w:spacing w:after="60"/>
        <w:ind w:hanging="720"/>
        <w:rPr>
          <w:rFonts w:eastAsia="Arial Unicode MS"/>
        </w:rPr>
      </w:pPr>
      <w:proofErr w:type="spellStart"/>
      <w:r w:rsidRPr="00993D17">
        <w:rPr>
          <w:rFonts w:eastAsia="Arial Unicode MS"/>
        </w:rPr>
        <w:lastRenderedPageBreak/>
        <w:t>Tedmanson</w:t>
      </w:r>
      <w:proofErr w:type="spellEnd"/>
      <w:r w:rsidRPr="00993D17">
        <w:rPr>
          <w:rFonts w:eastAsia="Arial Unicode MS"/>
        </w:rPr>
        <w:t xml:space="preserve">, D., </w:t>
      </w:r>
      <w:proofErr w:type="spellStart"/>
      <w:r w:rsidRPr="00993D17">
        <w:rPr>
          <w:rFonts w:eastAsia="Arial Unicode MS"/>
        </w:rPr>
        <w:t>Verduyn</w:t>
      </w:r>
      <w:proofErr w:type="spellEnd"/>
      <w:r w:rsidRPr="00993D17">
        <w:rPr>
          <w:rFonts w:eastAsia="Arial Unicode MS"/>
        </w:rPr>
        <w:t xml:space="preserve">, K., </w:t>
      </w:r>
      <w:proofErr w:type="spellStart"/>
      <w:r w:rsidRPr="00993D17">
        <w:rPr>
          <w:rFonts w:eastAsia="Arial Unicode MS"/>
        </w:rPr>
        <w:t>Essers</w:t>
      </w:r>
      <w:proofErr w:type="spellEnd"/>
      <w:r w:rsidRPr="00993D17">
        <w:rPr>
          <w:rFonts w:eastAsia="Arial Unicode MS"/>
        </w:rPr>
        <w:t xml:space="preserve">, C., &amp; Gartner, W. N. (2012). Critical perspectives in entrepreneurship research. </w:t>
      </w:r>
      <w:r w:rsidRPr="00993D17">
        <w:rPr>
          <w:rFonts w:eastAsia="Arial Unicode MS"/>
          <w:i/>
        </w:rPr>
        <w:t>Organization</w:t>
      </w:r>
      <w:r w:rsidRPr="00993D17">
        <w:rPr>
          <w:rFonts w:eastAsia="Arial Unicode MS"/>
        </w:rPr>
        <w:t xml:space="preserve">. 19(5), 531–541. </w:t>
      </w:r>
      <w:r w:rsidRPr="00993D17">
        <w:t>https://doi.org/10.1177/1350508412458495</w:t>
      </w:r>
    </w:p>
    <w:p w14:paraId="59432E3D" w14:textId="77777777" w:rsidR="00EE18FD" w:rsidRPr="00993D17" w:rsidRDefault="00EE18FD" w:rsidP="00EE18FD">
      <w:pPr>
        <w:spacing w:after="60"/>
        <w:ind w:hanging="720"/>
        <w:rPr>
          <w:rFonts w:eastAsia="Arial Unicode MS"/>
        </w:rPr>
      </w:pPr>
      <w:r w:rsidRPr="00993D17">
        <w:rPr>
          <w:rFonts w:eastAsia="Arial Unicode MS"/>
        </w:rPr>
        <w:t xml:space="preserve">The Government of Canada. (2020). </w:t>
      </w:r>
      <w:r w:rsidRPr="00993D17">
        <w:rPr>
          <w:rFonts w:eastAsia="Arial Unicode MS"/>
          <w:i/>
        </w:rPr>
        <w:t>Supporting Canadians and fighting COVID-19, fall economic statement 2020</w:t>
      </w:r>
      <w:r w:rsidRPr="00993D17">
        <w:rPr>
          <w:rFonts w:eastAsia="Arial Unicode MS"/>
        </w:rPr>
        <w:t>. [Press release]. https://www.canada.ca/en/department-finance/news/2020/11/government-of-canada-releases-supporting-canadians-and-fighting-covid-19-fall-economic-statement-2020.html</w:t>
      </w:r>
    </w:p>
    <w:p w14:paraId="0151C529" w14:textId="77777777" w:rsidR="00EE18FD" w:rsidRPr="00993D17" w:rsidRDefault="00EE18FD" w:rsidP="00EE18FD">
      <w:pPr>
        <w:spacing w:after="60"/>
        <w:ind w:hanging="720"/>
        <w:rPr>
          <w:rFonts w:eastAsia="Arial Unicode MS"/>
        </w:rPr>
      </w:pPr>
      <w:r w:rsidRPr="00993D17">
        <w:rPr>
          <w:rFonts w:eastAsia="Arial Unicode MS"/>
        </w:rPr>
        <w:t xml:space="preserve">Thompson, L., &amp; Clement, R. (2019). </w:t>
      </w:r>
      <w:r w:rsidRPr="00993D17">
        <w:rPr>
          <w:rFonts w:eastAsia="Arial Unicode MS"/>
          <w:i/>
        </w:rPr>
        <w:t>Defining feminist foreign policy</w:t>
      </w:r>
      <w:r w:rsidRPr="00993D17">
        <w:rPr>
          <w:rFonts w:eastAsia="Arial Unicode MS"/>
        </w:rPr>
        <w:t>. International Centre for Research on Women. https://www.icrw.org/wp-content/uploads/2019/04/ICRW_DefiningFeministForeignPolicy_Brief_Revised_v5_WebReady.pdf</w:t>
      </w:r>
    </w:p>
    <w:p w14:paraId="3905780F" w14:textId="77777777" w:rsidR="00EE18FD" w:rsidRPr="00993D17" w:rsidRDefault="00EE18FD" w:rsidP="00EE18FD">
      <w:pPr>
        <w:spacing w:after="60"/>
        <w:ind w:hanging="720"/>
        <w:rPr>
          <w:rFonts w:eastAsia="Arial Unicode MS"/>
        </w:rPr>
      </w:pPr>
      <w:r w:rsidRPr="00993D17">
        <w:rPr>
          <w:rFonts w:eastAsia="Arial Unicode MS"/>
        </w:rPr>
        <w:t xml:space="preserve">Thomson, L. (2020). </w:t>
      </w:r>
      <w:r w:rsidRPr="00993D17">
        <w:rPr>
          <w:rFonts w:eastAsia="Arial Unicode MS"/>
          <w:i/>
        </w:rPr>
        <w:t>The growth of feminist (?) foreign policy.</w:t>
      </w:r>
      <w:r w:rsidRPr="00993D17">
        <w:rPr>
          <w:rFonts w:eastAsia="Arial Unicode MS"/>
        </w:rPr>
        <w:t xml:space="preserve"> https://www.e-ir.info/2020/ 02/10/the-growth-of-feminist-foreign-policy/  </w:t>
      </w:r>
      <w:r w:rsidRPr="00993D17">
        <w:t xml:space="preserve"> </w:t>
      </w:r>
      <w:r w:rsidRPr="00993D17">
        <w:rPr>
          <w:rFonts w:eastAsia="Arial Unicode MS"/>
        </w:rPr>
        <w:t xml:space="preserve"> </w:t>
      </w:r>
    </w:p>
    <w:p w14:paraId="21DB99D7" w14:textId="77777777" w:rsidR="00EE18FD" w:rsidRPr="00993D17" w:rsidRDefault="00EE18FD" w:rsidP="00EE18FD">
      <w:pPr>
        <w:widowControl w:val="0"/>
        <w:autoSpaceDE w:val="0"/>
        <w:autoSpaceDN w:val="0"/>
        <w:adjustRightInd w:val="0"/>
        <w:spacing w:after="60"/>
        <w:ind w:hanging="720"/>
        <w:jc w:val="both"/>
        <w:rPr>
          <w:rFonts w:eastAsia="Arial Unicode MS"/>
        </w:rPr>
      </w:pPr>
      <w:proofErr w:type="spellStart"/>
      <w:r w:rsidRPr="00993D17">
        <w:rPr>
          <w:rFonts w:eastAsia="Arial Unicode MS"/>
        </w:rPr>
        <w:t>Tiessen</w:t>
      </w:r>
      <w:proofErr w:type="spellEnd"/>
      <w:r w:rsidRPr="00993D17">
        <w:rPr>
          <w:rFonts w:eastAsia="Arial Unicode MS"/>
        </w:rPr>
        <w:t>, R. (2019). What’s new about Canada’s feminist international assistance policy and why ‘More of the same’ matters. </w:t>
      </w:r>
      <w:r w:rsidRPr="00993D17">
        <w:rPr>
          <w:rFonts w:eastAsia="Arial Unicode MS"/>
          <w:i/>
          <w:iCs/>
        </w:rPr>
        <w:t>The School of Public Policy Publications</w:t>
      </w:r>
      <w:r w:rsidRPr="00993D17">
        <w:rPr>
          <w:rFonts w:eastAsia="Arial Unicode MS"/>
          <w:iCs/>
        </w:rPr>
        <w:t>.</w:t>
      </w:r>
      <w:r w:rsidRPr="00993D17">
        <w:rPr>
          <w:rFonts w:eastAsia="Arial Unicode MS"/>
          <w:i/>
          <w:iCs/>
        </w:rPr>
        <w:t xml:space="preserve"> </w:t>
      </w:r>
      <w:r w:rsidRPr="00993D17">
        <w:rPr>
          <w:rFonts w:eastAsia="Arial Unicode MS"/>
          <w:iCs/>
        </w:rPr>
        <w:t>12(44): December, 2019</w:t>
      </w:r>
      <w:r w:rsidRPr="00993D17">
        <w:rPr>
          <w:rFonts w:eastAsia="Arial Unicode MS"/>
        </w:rPr>
        <w:t>.</w:t>
      </w:r>
      <w:r w:rsidRPr="00993D17">
        <w:t xml:space="preserve"> </w:t>
      </w:r>
      <w:hyperlink w:history="1"/>
      <w:r>
        <w:t xml:space="preserve"> </w:t>
      </w:r>
    </w:p>
    <w:p w14:paraId="00A98980" w14:textId="77777777" w:rsidR="00EE18FD" w:rsidRPr="00993D17" w:rsidRDefault="00EE18FD" w:rsidP="00EE18FD">
      <w:pPr>
        <w:widowControl w:val="0"/>
        <w:autoSpaceDE w:val="0"/>
        <w:autoSpaceDN w:val="0"/>
        <w:adjustRightInd w:val="0"/>
        <w:spacing w:after="60"/>
        <w:ind w:hanging="720"/>
        <w:jc w:val="both"/>
        <w:rPr>
          <w:rFonts w:eastAsia="Arial Unicode MS"/>
        </w:rPr>
      </w:pPr>
      <w:r w:rsidRPr="00993D17">
        <w:rPr>
          <w:rFonts w:eastAsia="Arial Unicode MS"/>
        </w:rPr>
        <w:t xml:space="preserve">The </w:t>
      </w:r>
      <w:r>
        <w:rPr>
          <w:rFonts w:eastAsia="Arial Unicode MS"/>
        </w:rPr>
        <w:t>T</w:t>
      </w:r>
      <w:r w:rsidRPr="00993D17">
        <w:rPr>
          <w:rFonts w:eastAsia="Arial Unicode MS"/>
        </w:rPr>
        <w:t xml:space="preserve">ruth and </w:t>
      </w:r>
      <w:r>
        <w:rPr>
          <w:rFonts w:eastAsia="Arial Unicode MS"/>
        </w:rPr>
        <w:t>R</w:t>
      </w:r>
      <w:r w:rsidRPr="00993D17">
        <w:rPr>
          <w:rFonts w:eastAsia="Arial Unicode MS"/>
        </w:rPr>
        <w:t xml:space="preserve">econciliation </w:t>
      </w:r>
      <w:r>
        <w:rPr>
          <w:rFonts w:eastAsia="Arial Unicode MS"/>
        </w:rPr>
        <w:t>C</w:t>
      </w:r>
      <w:r w:rsidRPr="00993D17">
        <w:rPr>
          <w:rFonts w:eastAsia="Arial Unicode MS"/>
        </w:rPr>
        <w:t xml:space="preserve">ommission of Canada: Calls to </w:t>
      </w:r>
      <w:r>
        <w:rPr>
          <w:rFonts w:eastAsia="Arial Unicode MS"/>
        </w:rPr>
        <w:t>A</w:t>
      </w:r>
      <w:r w:rsidRPr="00993D17">
        <w:rPr>
          <w:rFonts w:eastAsia="Arial Unicode MS"/>
        </w:rPr>
        <w:t xml:space="preserve">ction. (2015). </w:t>
      </w:r>
      <w:r w:rsidRPr="00993D17">
        <w:rPr>
          <w:rFonts w:eastAsia="Arial Unicode MS"/>
          <w:i/>
        </w:rPr>
        <w:t xml:space="preserve">The murdered and missing Indigenous women and </w:t>
      </w:r>
      <w:proofErr w:type="gramStart"/>
      <w:r w:rsidRPr="00993D17">
        <w:rPr>
          <w:rFonts w:eastAsia="Arial Unicode MS"/>
          <w:i/>
        </w:rPr>
        <w:t>girls</w:t>
      </w:r>
      <w:proofErr w:type="gramEnd"/>
      <w:r w:rsidRPr="00993D17">
        <w:rPr>
          <w:rFonts w:eastAsia="Arial Unicode MS"/>
          <w:i/>
        </w:rPr>
        <w:t xml:space="preserve"> inquiry calls for justice</w:t>
      </w:r>
      <w:r w:rsidRPr="00993D17">
        <w:rPr>
          <w:rFonts w:eastAsia="Arial Unicode MS"/>
          <w:iCs/>
        </w:rPr>
        <w:t>.</w:t>
      </w:r>
      <w:r w:rsidRPr="00993D17">
        <w:rPr>
          <w:rFonts w:eastAsia="Arial Unicode MS"/>
          <w:i/>
        </w:rPr>
        <w:t xml:space="preserve"> </w:t>
      </w:r>
      <w:r w:rsidRPr="00993D17">
        <w:rPr>
          <w:rFonts w:eastAsia="Arial Unicode MS"/>
        </w:rPr>
        <w:t xml:space="preserve">https://www.mmiwg-ffada.ca/final-report/ </w:t>
      </w:r>
    </w:p>
    <w:p w14:paraId="030CB66A" w14:textId="77777777" w:rsidR="00EE18FD" w:rsidRPr="00993D17" w:rsidRDefault="00EE18FD" w:rsidP="00EE18FD">
      <w:pPr>
        <w:widowControl w:val="0"/>
        <w:autoSpaceDE w:val="0"/>
        <w:autoSpaceDN w:val="0"/>
        <w:adjustRightInd w:val="0"/>
        <w:spacing w:after="60"/>
        <w:ind w:hanging="720"/>
      </w:pPr>
      <w:r w:rsidRPr="00993D17">
        <w:t xml:space="preserve">United Kingdom. (2003). </w:t>
      </w:r>
      <w:r w:rsidRPr="00993D17">
        <w:rPr>
          <w:i/>
        </w:rPr>
        <w:t>A strategic framework for women’s enterprise</w:t>
      </w:r>
      <w:r w:rsidRPr="00993D17">
        <w:t xml:space="preserve">. </w:t>
      </w:r>
      <w:r w:rsidRPr="00993D17">
        <w:rPr>
          <w:i/>
        </w:rPr>
        <w:t>Sharing a vision: A collaborative approach to increasing female entrepreneurship</w:t>
      </w:r>
      <w:r w:rsidRPr="00993D17">
        <w:t xml:space="preserve">. Department of Trade and Industry.    </w:t>
      </w:r>
    </w:p>
    <w:p w14:paraId="19BEBBDB" w14:textId="77777777" w:rsidR="00EE18FD" w:rsidRPr="00993D17" w:rsidRDefault="00EE18FD" w:rsidP="00EE18FD">
      <w:pPr>
        <w:widowControl w:val="0"/>
        <w:autoSpaceDE w:val="0"/>
        <w:autoSpaceDN w:val="0"/>
        <w:adjustRightInd w:val="0"/>
        <w:spacing w:after="60"/>
        <w:ind w:hanging="720"/>
      </w:pPr>
      <w:r w:rsidRPr="00993D17">
        <w:t xml:space="preserve">United Nations Women. (2018). </w:t>
      </w:r>
      <w:r w:rsidRPr="00993D17">
        <w:rPr>
          <w:i/>
        </w:rPr>
        <w:t>Turning promises into action: Gender equality in the 2030 agenda for sustainable development</w:t>
      </w:r>
      <w:r w:rsidRPr="00993D17">
        <w:t>. https://www.unwomen.org/-/media/headquarters/attachments/sections/library/publications/2018/sdg-report-gender-equality-in-the-2030-agenda-for-sustainable-development-2018-en.pdf?la=en&amp;vs=4332</w:t>
      </w:r>
    </w:p>
    <w:p w14:paraId="45397A23" w14:textId="77777777" w:rsidR="00EE18FD" w:rsidRPr="00993D17" w:rsidRDefault="00EE18FD" w:rsidP="00EE18FD">
      <w:pPr>
        <w:spacing w:after="60"/>
        <w:ind w:hanging="720"/>
        <w:rPr>
          <w:rStyle w:val="Hyperlink"/>
          <w:rFonts w:eastAsia="Arial Unicode MS"/>
        </w:rPr>
      </w:pPr>
      <w:r w:rsidRPr="00993D17">
        <w:rPr>
          <w:rFonts w:eastAsia="Arial Unicode MS"/>
        </w:rPr>
        <w:t xml:space="preserve">United Nations. (2020). </w:t>
      </w:r>
      <w:r w:rsidRPr="00993D17">
        <w:rPr>
          <w:rFonts w:eastAsia="Arial Unicode MS"/>
          <w:i/>
        </w:rPr>
        <w:t>Policy brief: The impact of COVID-19 on women</w:t>
      </w:r>
      <w:r w:rsidRPr="00993D17">
        <w:rPr>
          <w:rFonts w:eastAsia="Arial Unicode MS"/>
        </w:rPr>
        <w:t xml:space="preserve">. 9 April 2020. </w:t>
      </w:r>
      <w:r w:rsidRPr="00993D17">
        <w:t>https://asiapacific.unwomen.org/-/media/headquarters/attachments/sections/ library/publications/2020/policy-brief-the-impact-of-covid-19-on-women-en.pdf?la=en&amp;vs=1406</w:t>
      </w:r>
    </w:p>
    <w:p w14:paraId="490F7D66" w14:textId="77777777" w:rsidR="00EE18FD" w:rsidRPr="00993D17" w:rsidRDefault="00EE18FD" w:rsidP="00EE18FD">
      <w:pPr>
        <w:widowControl w:val="0"/>
        <w:autoSpaceDE w:val="0"/>
        <w:autoSpaceDN w:val="0"/>
        <w:adjustRightInd w:val="0"/>
        <w:spacing w:after="60"/>
        <w:ind w:hanging="720"/>
      </w:pPr>
      <w:r w:rsidRPr="00993D17">
        <w:t xml:space="preserve">United Nations Human Rights. (2020b). </w:t>
      </w:r>
      <w:r w:rsidRPr="00993D17">
        <w:rPr>
          <w:i/>
        </w:rPr>
        <w:t>COVID-19: Who is protecting the people with disabilities?</w:t>
      </w:r>
      <w:r w:rsidRPr="00993D17">
        <w:rPr>
          <w:rStyle w:val="Heading1Char"/>
        </w:rPr>
        <w:t>—</w:t>
      </w:r>
      <w:r w:rsidRPr="00993D17">
        <w:rPr>
          <w:rStyle w:val="h2"/>
        </w:rPr>
        <w:t>UN rights expert. [Press release].</w:t>
      </w:r>
      <w:r w:rsidRPr="00993D17">
        <w:t xml:space="preserve"> https://www.ohchr.org/EN/NewsEvents/Pages/DisplayNews.aspx?NewsID=25725</w:t>
      </w:r>
    </w:p>
    <w:p w14:paraId="724A8AC4" w14:textId="77777777" w:rsidR="00EE18FD" w:rsidRPr="00993D17" w:rsidRDefault="00EE18FD" w:rsidP="00EE18FD">
      <w:pPr>
        <w:widowControl w:val="0"/>
        <w:autoSpaceDE w:val="0"/>
        <w:autoSpaceDN w:val="0"/>
        <w:adjustRightInd w:val="0"/>
        <w:spacing w:after="60"/>
        <w:ind w:hanging="720"/>
      </w:pPr>
      <w:r w:rsidRPr="00993D17">
        <w:t xml:space="preserve">United Nations WE Empower G7. (2020). Advocacy tool. </w:t>
      </w:r>
      <w:r>
        <w:t xml:space="preserve">Access at </w:t>
      </w:r>
      <w:r w:rsidRPr="004D2DCA">
        <w:t>https://www.empowerwomen.org/en/community/events-opportunities/2020/07/empowering-women-entrepreneurs-to-drive-economic-growth--presenting-the-advocacy-tool</w:t>
      </w:r>
    </w:p>
    <w:p w14:paraId="30BA83CE" w14:textId="77777777" w:rsidR="00EE18FD" w:rsidRPr="005E4F57" w:rsidRDefault="00EE18FD" w:rsidP="00EE18FD">
      <w:pPr>
        <w:spacing w:after="60"/>
        <w:ind w:hanging="720"/>
      </w:pPr>
      <w:r w:rsidRPr="005E4F57">
        <w:t>UN Women (2020)</w:t>
      </w:r>
      <w:r>
        <w:t>.</w:t>
      </w:r>
      <w:r w:rsidRPr="005E4F57">
        <w:t xml:space="preserve"> </w:t>
      </w:r>
      <w:r w:rsidRPr="005E4F57">
        <w:rPr>
          <w:i/>
        </w:rPr>
        <w:t>UN Secretary-General’s policy brief: The impact of COVID-19 on women</w:t>
      </w:r>
      <w:r w:rsidRPr="005E4F57">
        <w:t xml:space="preserve">. </w:t>
      </w:r>
      <w:r>
        <w:t xml:space="preserve">Access </w:t>
      </w:r>
      <w:r w:rsidRPr="005E4F57">
        <w:t xml:space="preserve"> </w:t>
      </w:r>
    </w:p>
    <w:p w14:paraId="7E5F4063" w14:textId="77777777" w:rsidR="00EE18FD" w:rsidRDefault="00EE18FD" w:rsidP="00EE18FD">
      <w:pPr>
        <w:spacing w:after="60"/>
        <w:ind w:hanging="720"/>
      </w:pPr>
      <w:r w:rsidRPr="005E4F57">
        <w:t>at: https://www.unwomen.org/en/digital-library/publications/2020/04/policy-brief-the-impact-of-covid- 19-on-women</w:t>
      </w:r>
      <w:r>
        <w:t>.</w:t>
      </w:r>
      <w:r w:rsidRPr="005E4F57">
        <w:t xml:space="preserve">  </w:t>
      </w:r>
    </w:p>
    <w:p w14:paraId="27360BE7" w14:textId="77777777" w:rsidR="00EE18FD" w:rsidRPr="00993D17" w:rsidRDefault="00EE18FD" w:rsidP="00EE18FD">
      <w:pPr>
        <w:spacing w:after="60"/>
        <w:ind w:hanging="720"/>
      </w:pPr>
      <w:r w:rsidRPr="00993D17">
        <w:t xml:space="preserve">United Kingdom. (2008). </w:t>
      </w:r>
      <w:r w:rsidRPr="00993D17">
        <w:rPr>
          <w:i/>
        </w:rPr>
        <w:t>Women’s enterprise task force. Greater return on women’s enterprise</w:t>
      </w:r>
      <w:r w:rsidRPr="00993D17">
        <w:t xml:space="preserve">. https://pure.strath.ac.uk/portal/files/17970755/D130_WETF_Growe_Report _2.4_1_.pdf </w:t>
      </w:r>
    </w:p>
    <w:p w14:paraId="5F737329" w14:textId="77777777" w:rsidR="00EE18FD" w:rsidRPr="00993D17" w:rsidRDefault="00EE18FD" w:rsidP="00EE18FD">
      <w:pPr>
        <w:widowControl w:val="0"/>
        <w:autoSpaceDE w:val="0"/>
        <w:autoSpaceDN w:val="0"/>
        <w:adjustRightInd w:val="0"/>
        <w:spacing w:after="60"/>
        <w:ind w:hanging="720"/>
        <w:rPr>
          <w:lang w:eastAsia="ja-JP"/>
        </w:rPr>
      </w:pPr>
      <w:r w:rsidRPr="00993D17">
        <w:rPr>
          <w:lang w:eastAsia="ja-JP"/>
        </w:rPr>
        <w:t xml:space="preserve">Walker, D., </w:t>
      </w:r>
      <w:r w:rsidRPr="00993D17">
        <w:rPr>
          <w:rFonts w:eastAsia="Arial Unicode MS"/>
        </w:rPr>
        <w:t>&amp;</w:t>
      </w:r>
      <w:r w:rsidRPr="00993D17">
        <w:rPr>
          <w:lang w:eastAsia="ja-JP"/>
        </w:rPr>
        <w:t xml:space="preserve"> Joyner, B. (1999). Female entrepreneurship and the market process: Gender-based public policy considerations. </w:t>
      </w:r>
      <w:r w:rsidRPr="00993D17">
        <w:rPr>
          <w:i/>
          <w:lang w:eastAsia="ja-JP"/>
        </w:rPr>
        <w:t>Journal of Developmental Entrepreneurship</w:t>
      </w:r>
      <w:r w:rsidRPr="00993D17">
        <w:rPr>
          <w:lang w:eastAsia="ja-JP"/>
        </w:rPr>
        <w:t xml:space="preserve">. 2(4), 21–31. </w:t>
      </w:r>
    </w:p>
    <w:p w14:paraId="6B15C85B" w14:textId="77777777" w:rsidR="00EE18FD" w:rsidRPr="00993D17" w:rsidRDefault="00EE18FD" w:rsidP="00EE18FD">
      <w:pPr>
        <w:widowControl w:val="0"/>
        <w:autoSpaceDE w:val="0"/>
        <w:autoSpaceDN w:val="0"/>
        <w:adjustRightInd w:val="0"/>
        <w:spacing w:after="60"/>
        <w:ind w:hanging="720"/>
        <w:rPr>
          <w:lang w:eastAsia="ja-JP"/>
        </w:rPr>
      </w:pPr>
      <w:r w:rsidRPr="00993D17">
        <w:rPr>
          <w:lang w:eastAsia="ja-JP"/>
        </w:rPr>
        <w:lastRenderedPageBreak/>
        <w:t xml:space="preserve">Weber, B. (2016, February 27). ‘Nothing about us, without us’: First Nations want say in climate change policy. </w:t>
      </w:r>
      <w:r w:rsidRPr="00993D17">
        <w:rPr>
          <w:i/>
          <w:lang w:eastAsia="ja-JP"/>
        </w:rPr>
        <w:t>The Canadian Press</w:t>
      </w:r>
      <w:r w:rsidRPr="00993D17">
        <w:rPr>
          <w:lang w:eastAsia="ja-JP"/>
        </w:rPr>
        <w:t xml:space="preserve">. </w:t>
      </w:r>
      <w:r w:rsidRPr="00993D17">
        <w:t>http://globalnews.ca/news/2554145/nothing-about-us-without-us-first-nations-want-say-in-climate-change-policy</w:t>
      </w:r>
    </w:p>
    <w:p w14:paraId="3DB42A71" w14:textId="77777777" w:rsidR="00EE18FD" w:rsidRPr="00993D17" w:rsidRDefault="00EE18FD" w:rsidP="00EE18FD">
      <w:pPr>
        <w:widowControl w:val="0"/>
        <w:autoSpaceDE w:val="0"/>
        <w:autoSpaceDN w:val="0"/>
        <w:adjustRightInd w:val="0"/>
        <w:spacing w:after="60"/>
        <w:ind w:hanging="720"/>
      </w:pPr>
      <w:r w:rsidRPr="00993D17">
        <w:t xml:space="preserve">Welter, F. (2011). Contextualizing entrepreneurship—Conceptual challenges and ways forward. </w:t>
      </w:r>
      <w:r w:rsidRPr="00993D17">
        <w:rPr>
          <w:i/>
        </w:rPr>
        <w:t>Entrepreneurship Theory and Practice</w:t>
      </w:r>
      <w:r w:rsidRPr="00993D17">
        <w:t xml:space="preserve">. 35(1), 165–184. </w:t>
      </w:r>
      <w:hyperlink r:id="rId13" w:history="1">
        <w:r w:rsidRPr="00993D17">
          <w:rPr>
            <w:rStyle w:val="Hyperlink"/>
          </w:rPr>
          <w:t>https://doi.org/10.1111/j.1540-6520.2010.00427.x</w:t>
        </w:r>
      </w:hyperlink>
    </w:p>
    <w:p w14:paraId="43CD13BB" w14:textId="77777777" w:rsidR="00EE18FD" w:rsidRPr="00993D17" w:rsidRDefault="00EE18FD" w:rsidP="00EE18FD">
      <w:pPr>
        <w:widowControl w:val="0"/>
        <w:autoSpaceDE w:val="0"/>
        <w:autoSpaceDN w:val="0"/>
        <w:adjustRightInd w:val="0"/>
        <w:spacing w:after="60"/>
        <w:ind w:hanging="720"/>
      </w:pPr>
      <w:r w:rsidRPr="00993D17">
        <w:t>Wilson, L., Whittam, G., &amp; Deakins, D. (2004). Women's enterprise: a critical examination of national policies. </w:t>
      </w:r>
      <w:r w:rsidRPr="00993D17">
        <w:rPr>
          <w:i/>
        </w:rPr>
        <w:t>Environment and Planning C: Government and Policy</w:t>
      </w:r>
      <w:r w:rsidRPr="00993D17">
        <w:t>, 22(6), 799-815.</w:t>
      </w:r>
    </w:p>
    <w:p w14:paraId="2D7ACF3E" w14:textId="77777777" w:rsidR="00EE18FD" w:rsidRPr="00993D17" w:rsidRDefault="00EE18FD" w:rsidP="00EE18FD">
      <w:pPr>
        <w:widowControl w:val="0"/>
        <w:autoSpaceDE w:val="0"/>
        <w:autoSpaceDN w:val="0"/>
        <w:adjustRightInd w:val="0"/>
        <w:spacing w:after="60"/>
        <w:ind w:hanging="720"/>
      </w:pPr>
      <w:r w:rsidRPr="00993D17">
        <w:t xml:space="preserve">Women(W) 20. (2020). </w:t>
      </w:r>
      <w:r w:rsidRPr="00993D17">
        <w:rPr>
          <w:i/>
        </w:rPr>
        <w:t>W 20 Communiqué</w:t>
      </w:r>
      <w:r w:rsidRPr="00993D17">
        <w:t xml:space="preserve">. </w:t>
      </w:r>
      <w:r>
        <w:t xml:space="preserve">Access at </w:t>
      </w:r>
      <w:r w:rsidRPr="004D2DCA">
        <w:t>https://www.w20saudiarabia.org.sa/about</w:t>
      </w:r>
    </w:p>
    <w:p w14:paraId="5B6D3CFD" w14:textId="77777777" w:rsidR="00EE18FD" w:rsidRDefault="00EE18FD" w:rsidP="00EE18FD">
      <w:pPr>
        <w:widowControl w:val="0"/>
        <w:autoSpaceDE w:val="0"/>
        <w:autoSpaceDN w:val="0"/>
        <w:adjustRightInd w:val="0"/>
        <w:spacing w:after="60"/>
        <w:ind w:hanging="720"/>
      </w:pPr>
      <w:r w:rsidRPr="00993D17">
        <w:t xml:space="preserve">Women’s Entrepreneurship Knowledge Hub. (2020). </w:t>
      </w:r>
      <w:r w:rsidRPr="00993D17">
        <w:rPr>
          <w:i/>
        </w:rPr>
        <w:t>The impact of COVID-19 on women entrepreneurs</w:t>
      </w:r>
      <w:r w:rsidRPr="00993D17">
        <w:t>. https://wekh.ca/wp-content/uploads/2020/04/WEKH_The_Impact_of_COVID-19_on_Women_Entrepreneurs.pdf</w:t>
      </w:r>
      <w:bookmarkEnd w:id="1"/>
    </w:p>
    <w:p w14:paraId="08C989FC" w14:textId="77777777" w:rsidR="00EE18FD" w:rsidRPr="002A6388" w:rsidRDefault="00EE18FD" w:rsidP="00EE18FD">
      <w:pPr>
        <w:tabs>
          <w:tab w:val="left" w:pos="2530"/>
        </w:tabs>
      </w:pPr>
    </w:p>
    <w:p w14:paraId="372935A2" w14:textId="1D0AEF37" w:rsidR="00EE18FD" w:rsidRDefault="00EE18FD">
      <w:r>
        <w:br w:type="page"/>
      </w:r>
    </w:p>
    <w:p w14:paraId="42DB3C63" w14:textId="77777777" w:rsidR="00EE18FD" w:rsidRPr="00D82681" w:rsidRDefault="00EE18FD" w:rsidP="00EE18FD">
      <w:pPr>
        <w:ind w:left="-709"/>
        <w:rPr>
          <w:lang w:eastAsia="ja-JP"/>
        </w:rPr>
      </w:pPr>
      <w:r w:rsidRPr="00D82681">
        <w:lastRenderedPageBreak/>
        <w:t xml:space="preserve">Table 1. Parameters of feminist entrepreneurship policy </w:t>
      </w:r>
    </w:p>
    <w:tbl>
      <w:tblPr>
        <w:tblW w:w="10632" w:type="dxa"/>
        <w:tblInd w:w="-709" w:type="dxa"/>
        <w:tblLook w:val="04A0" w:firstRow="1" w:lastRow="0" w:firstColumn="1" w:lastColumn="0" w:noHBand="0" w:noVBand="1"/>
      </w:tblPr>
      <w:tblGrid>
        <w:gridCol w:w="709"/>
        <w:gridCol w:w="851"/>
        <w:gridCol w:w="538"/>
        <w:gridCol w:w="5841"/>
        <w:gridCol w:w="927"/>
        <w:gridCol w:w="1624"/>
        <w:gridCol w:w="142"/>
      </w:tblGrid>
      <w:tr w:rsidR="00EE18FD" w:rsidRPr="00DD22DC" w14:paraId="68A6402B" w14:textId="77777777" w:rsidTr="00745795">
        <w:trPr>
          <w:gridBefore w:val="1"/>
          <w:gridAfter w:val="1"/>
          <w:wBefore w:w="709" w:type="dxa"/>
          <w:wAfter w:w="142" w:type="dxa"/>
          <w:trHeight w:val="166"/>
        </w:trPr>
        <w:tc>
          <w:tcPr>
            <w:tcW w:w="1389" w:type="dxa"/>
            <w:gridSpan w:val="2"/>
            <w:tcBorders>
              <w:top w:val="nil"/>
              <w:left w:val="nil"/>
              <w:bottom w:val="nil"/>
              <w:right w:val="nil"/>
            </w:tcBorders>
            <w:shd w:val="clear" w:color="auto" w:fill="auto"/>
            <w:hideMark/>
          </w:tcPr>
          <w:p w14:paraId="6FA86DA4" w14:textId="77777777" w:rsidR="00EE18FD" w:rsidRPr="00DD22DC" w:rsidRDefault="00EE18FD" w:rsidP="00745795">
            <w:pPr>
              <w:rPr>
                <w:bCs/>
                <w:color w:val="000000"/>
                <w:sz w:val="20"/>
                <w:szCs w:val="20"/>
              </w:rPr>
            </w:pPr>
          </w:p>
        </w:tc>
        <w:tc>
          <w:tcPr>
            <w:tcW w:w="6768" w:type="dxa"/>
            <w:gridSpan w:val="2"/>
            <w:tcBorders>
              <w:top w:val="nil"/>
              <w:left w:val="nil"/>
              <w:bottom w:val="nil"/>
              <w:right w:val="nil"/>
            </w:tcBorders>
            <w:shd w:val="clear" w:color="auto" w:fill="auto"/>
            <w:hideMark/>
          </w:tcPr>
          <w:p w14:paraId="2B8317F4" w14:textId="77777777" w:rsidR="00EE18FD" w:rsidRPr="00DD22DC" w:rsidRDefault="00EE18FD" w:rsidP="00745795">
            <w:pPr>
              <w:jc w:val="center"/>
              <w:rPr>
                <w:bCs/>
                <w:color w:val="000000"/>
                <w:sz w:val="20"/>
                <w:szCs w:val="20"/>
              </w:rPr>
            </w:pPr>
          </w:p>
        </w:tc>
        <w:tc>
          <w:tcPr>
            <w:tcW w:w="1624" w:type="dxa"/>
            <w:tcBorders>
              <w:top w:val="nil"/>
              <w:left w:val="nil"/>
              <w:bottom w:val="nil"/>
              <w:right w:val="nil"/>
            </w:tcBorders>
            <w:shd w:val="clear" w:color="auto" w:fill="auto"/>
            <w:hideMark/>
          </w:tcPr>
          <w:p w14:paraId="5F3AAA5B" w14:textId="77777777" w:rsidR="00EE18FD" w:rsidRPr="00DD22DC" w:rsidRDefault="00EE18FD" w:rsidP="00745795">
            <w:pPr>
              <w:jc w:val="right"/>
              <w:rPr>
                <w:bCs/>
                <w:color w:val="000000"/>
                <w:sz w:val="20"/>
                <w:szCs w:val="20"/>
              </w:rPr>
            </w:pPr>
            <w:r w:rsidRPr="00DD22DC">
              <w:rPr>
                <w:bCs/>
                <w:color w:val="000000"/>
                <w:sz w:val="20"/>
                <w:szCs w:val="20"/>
              </w:rPr>
              <w:t xml:space="preserve">   </w:t>
            </w:r>
          </w:p>
        </w:tc>
      </w:tr>
      <w:tr w:rsidR="00EE18FD" w:rsidRPr="00B85068" w14:paraId="4A966937" w14:textId="77777777" w:rsidTr="00745795">
        <w:trPr>
          <w:trHeight w:val="354"/>
        </w:trPr>
        <w:tc>
          <w:tcPr>
            <w:tcW w:w="1560" w:type="dxa"/>
            <w:gridSpan w:val="2"/>
            <w:tcBorders>
              <w:top w:val="single" w:sz="4" w:space="0" w:color="000000" w:themeColor="text1"/>
              <w:left w:val="nil"/>
              <w:bottom w:val="single" w:sz="4" w:space="0" w:color="000000" w:themeColor="text1"/>
              <w:right w:val="nil"/>
            </w:tcBorders>
            <w:shd w:val="clear" w:color="auto" w:fill="auto"/>
          </w:tcPr>
          <w:p w14:paraId="4CF8AD07" w14:textId="77777777" w:rsidR="00EE18FD" w:rsidRPr="00194004" w:rsidRDefault="00EE18FD" w:rsidP="00745795">
            <w:pPr>
              <w:spacing w:before="40" w:after="40"/>
              <w:rPr>
                <w:color w:val="000000"/>
                <w:sz w:val="21"/>
                <w:szCs w:val="20"/>
              </w:rPr>
            </w:pPr>
            <w:r w:rsidRPr="00194004">
              <w:rPr>
                <w:color w:val="000000"/>
                <w:sz w:val="21"/>
                <w:szCs w:val="20"/>
              </w:rPr>
              <w:t xml:space="preserve">Elements of feminist </w:t>
            </w:r>
            <w:proofErr w:type="spellStart"/>
            <w:r w:rsidRPr="00194004">
              <w:rPr>
                <w:color w:val="000000"/>
                <w:sz w:val="21"/>
                <w:szCs w:val="20"/>
              </w:rPr>
              <w:t>policy</w:t>
            </w:r>
            <w:r w:rsidRPr="00194004">
              <w:rPr>
                <w:color w:val="000000"/>
                <w:sz w:val="21"/>
                <w:szCs w:val="20"/>
                <w:vertAlign w:val="superscript"/>
              </w:rPr>
              <w:t>a</w:t>
            </w:r>
            <w:proofErr w:type="spellEnd"/>
            <w:r w:rsidRPr="00194004">
              <w:rPr>
                <w:color w:val="000000"/>
                <w:sz w:val="21"/>
                <w:szCs w:val="20"/>
              </w:rPr>
              <w:t xml:space="preserve"> </w:t>
            </w:r>
          </w:p>
        </w:tc>
        <w:tc>
          <w:tcPr>
            <w:tcW w:w="6379" w:type="dxa"/>
            <w:gridSpan w:val="2"/>
            <w:tcBorders>
              <w:top w:val="single" w:sz="4" w:space="0" w:color="000000" w:themeColor="text1"/>
              <w:left w:val="nil"/>
              <w:bottom w:val="single" w:sz="4" w:space="0" w:color="000000" w:themeColor="text1"/>
              <w:right w:val="nil"/>
            </w:tcBorders>
            <w:shd w:val="clear" w:color="auto" w:fill="auto"/>
          </w:tcPr>
          <w:p w14:paraId="7B12C599" w14:textId="77777777" w:rsidR="00EE18FD" w:rsidRDefault="00EE18FD" w:rsidP="00745795">
            <w:pPr>
              <w:spacing w:before="40" w:after="40"/>
              <w:jc w:val="center"/>
              <w:rPr>
                <w:color w:val="000000"/>
                <w:sz w:val="21"/>
                <w:szCs w:val="20"/>
              </w:rPr>
            </w:pPr>
            <w:r w:rsidRPr="00194004">
              <w:rPr>
                <w:color w:val="000000"/>
                <w:sz w:val="21"/>
                <w:szCs w:val="20"/>
              </w:rPr>
              <w:t xml:space="preserve">Parameters of good practice with respect to </w:t>
            </w:r>
          </w:p>
          <w:p w14:paraId="1A33798B" w14:textId="77777777" w:rsidR="00EE18FD" w:rsidRPr="00194004" w:rsidRDefault="00EE18FD" w:rsidP="00745795">
            <w:pPr>
              <w:spacing w:before="40" w:after="40"/>
              <w:jc w:val="center"/>
              <w:rPr>
                <w:color w:val="000000"/>
                <w:sz w:val="21"/>
                <w:szCs w:val="20"/>
              </w:rPr>
            </w:pPr>
            <w:r w:rsidRPr="00194004">
              <w:rPr>
                <w:color w:val="000000"/>
                <w:sz w:val="21"/>
                <w:szCs w:val="20"/>
              </w:rPr>
              <w:t>gender-responsive SME policies</w:t>
            </w:r>
          </w:p>
        </w:tc>
        <w:tc>
          <w:tcPr>
            <w:tcW w:w="2693" w:type="dxa"/>
            <w:gridSpan w:val="3"/>
            <w:tcBorders>
              <w:top w:val="single" w:sz="4" w:space="0" w:color="000000" w:themeColor="text1"/>
              <w:left w:val="nil"/>
              <w:bottom w:val="single" w:sz="4" w:space="0" w:color="000000" w:themeColor="text1"/>
              <w:right w:val="nil"/>
            </w:tcBorders>
            <w:shd w:val="clear" w:color="auto" w:fill="auto"/>
          </w:tcPr>
          <w:p w14:paraId="43CA7FD2" w14:textId="77777777" w:rsidR="00EE18FD" w:rsidRPr="00194004" w:rsidRDefault="00EE18FD" w:rsidP="00745795">
            <w:pPr>
              <w:spacing w:before="40" w:after="40"/>
              <w:rPr>
                <w:color w:val="000000"/>
                <w:sz w:val="21"/>
                <w:szCs w:val="18"/>
              </w:rPr>
            </w:pPr>
            <w:r w:rsidRPr="00194004">
              <w:rPr>
                <w:color w:val="000000"/>
                <w:sz w:val="21"/>
                <w:szCs w:val="18"/>
              </w:rPr>
              <w:t>Illustrative sources</w:t>
            </w:r>
          </w:p>
        </w:tc>
      </w:tr>
      <w:tr w:rsidR="00EE18FD" w:rsidRPr="00B85068" w14:paraId="3D0471F8" w14:textId="77777777" w:rsidTr="00745795">
        <w:trPr>
          <w:gridAfter w:val="1"/>
          <w:wAfter w:w="142" w:type="dxa"/>
          <w:trHeight w:val="532"/>
        </w:trPr>
        <w:tc>
          <w:tcPr>
            <w:tcW w:w="1560" w:type="dxa"/>
            <w:gridSpan w:val="2"/>
            <w:vMerge w:val="restart"/>
            <w:tcBorders>
              <w:top w:val="nil"/>
              <w:left w:val="nil"/>
              <w:right w:val="nil"/>
            </w:tcBorders>
            <w:shd w:val="clear" w:color="auto" w:fill="auto"/>
            <w:hideMark/>
          </w:tcPr>
          <w:p w14:paraId="074F393A" w14:textId="77777777" w:rsidR="00EE18FD" w:rsidRPr="00B85068" w:rsidRDefault="00EE18FD" w:rsidP="00745795">
            <w:pPr>
              <w:rPr>
                <w:b/>
                <w:color w:val="000000"/>
                <w:sz w:val="21"/>
                <w:szCs w:val="20"/>
              </w:rPr>
            </w:pPr>
            <w:r w:rsidRPr="00B85068">
              <w:rPr>
                <w:b/>
                <w:color w:val="000000"/>
                <w:sz w:val="21"/>
                <w:szCs w:val="20"/>
              </w:rPr>
              <w:t xml:space="preserve">Positionality </w:t>
            </w:r>
            <w:r>
              <w:rPr>
                <w:color w:val="000000"/>
                <w:sz w:val="21"/>
                <w:szCs w:val="20"/>
              </w:rPr>
              <w:t>Recognise</w:t>
            </w:r>
            <w:r w:rsidRPr="00B85068">
              <w:rPr>
                <w:color w:val="000000"/>
                <w:sz w:val="21"/>
                <w:szCs w:val="20"/>
              </w:rPr>
              <w:t xml:space="preserve"> </w:t>
            </w:r>
            <w:r>
              <w:rPr>
                <w:color w:val="000000"/>
                <w:sz w:val="21"/>
                <w:szCs w:val="20"/>
              </w:rPr>
              <w:t xml:space="preserve">gendered </w:t>
            </w:r>
            <w:r w:rsidRPr="00B85068">
              <w:rPr>
                <w:color w:val="000000"/>
                <w:sz w:val="21"/>
                <w:szCs w:val="20"/>
              </w:rPr>
              <w:t>contexts of oppression</w:t>
            </w:r>
          </w:p>
        </w:tc>
        <w:tc>
          <w:tcPr>
            <w:tcW w:w="6379" w:type="dxa"/>
            <w:gridSpan w:val="2"/>
            <w:tcBorders>
              <w:top w:val="nil"/>
              <w:left w:val="nil"/>
              <w:bottom w:val="nil"/>
              <w:right w:val="nil"/>
            </w:tcBorders>
            <w:shd w:val="clear" w:color="auto" w:fill="auto"/>
          </w:tcPr>
          <w:p w14:paraId="05531C2C" w14:textId="77777777" w:rsidR="00EE18FD" w:rsidRPr="008F022E" w:rsidRDefault="00EE18FD" w:rsidP="00745795">
            <w:pPr>
              <w:rPr>
                <w:rFonts w:eastAsia="Symbol"/>
                <w:color w:val="000000"/>
                <w:sz w:val="21"/>
                <w:szCs w:val="20"/>
              </w:rPr>
            </w:pPr>
            <w:r w:rsidRPr="008F022E">
              <w:rPr>
                <w:color w:val="000000"/>
                <w:sz w:val="21"/>
                <w:szCs w:val="20"/>
              </w:rPr>
              <w:t xml:space="preserve">P1. Centre </w:t>
            </w:r>
            <w:r>
              <w:rPr>
                <w:color w:val="000000"/>
                <w:sz w:val="21"/>
                <w:szCs w:val="20"/>
              </w:rPr>
              <w:t xml:space="preserve">gender </w:t>
            </w:r>
            <w:r w:rsidRPr="008F022E">
              <w:rPr>
                <w:color w:val="000000"/>
                <w:sz w:val="21"/>
                <w:szCs w:val="20"/>
              </w:rPr>
              <w:t>equality, women’s economic empowerment and LGBTQ2</w:t>
            </w:r>
            <w:r>
              <w:rPr>
                <w:color w:val="000000"/>
                <w:sz w:val="21"/>
                <w:szCs w:val="20"/>
              </w:rPr>
              <w:t>+</w:t>
            </w:r>
            <w:r w:rsidRPr="008F022E">
              <w:rPr>
                <w:color w:val="000000"/>
                <w:sz w:val="21"/>
                <w:szCs w:val="20"/>
              </w:rPr>
              <w:t xml:space="preserve"> rights </w:t>
            </w:r>
            <w:r>
              <w:rPr>
                <w:color w:val="000000"/>
                <w:sz w:val="21"/>
                <w:szCs w:val="20"/>
              </w:rPr>
              <w:t>as underlying</w:t>
            </w:r>
            <w:r w:rsidRPr="008F022E">
              <w:rPr>
                <w:color w:val="000000"/>
                <w:sz w:val="21"/>
                <w:szCs w:val="20"/>
              </w:rPr>
              <w:t xml:space="preserve"> elements of entrepreneurship policy, </w:t>
            </w:r>
            <w:r w:rsidRPr="008F022E">
              <w:rPr>
                <w:rFonts w:eastAsia="Symbol"/>
                <w:color w:val="000000"/>
                <w:sz w:val="21"/>
                <w:szCs w:val="20"/>
              </w:rPr>
              <w:t>acknowledging intersectional influences that situate subordination.</w:t>
            </w:r>
            <w:r w:rsidRPr="008F022E">
              <w:rPr>
                <w:color w:val="000000"/>
                <w:sz w:val="21"/>
                <w:szCs w:val="20"/>
              </w:rPr>
              <w:t xml:space="preserve">  </w:t>
            </w:r>
          </w:p>
        </w:tc>
        <w:tc>
          <w:tcPr>
            <w:tcW w:w="2551" w:type="dxa"/>
            <w:gridSpan w:val="2"/>
            <w:tcBorders>
              <w:top w:val="nil"/>
              <w:left w:val="nil"/>
              <w:bottom w:val="nil"/>
              <w:right w:val="nil"/>
            </w:tcBorders>
            <w:shd w:val="clear" w:color="auto" w:fill="auto"/>
          </w:tcPr>
          <w:p w14:paraId="606C7D01" w14:textId="77777777" w:rsidR="00EE18FD" w:rsidRPr="00B85068" w:rsidRDefault="00EE18FD" w:rsidP="00745795">
            <w:pPr>
              <w:ind w:right="175"/>
              <w:rPr>
                <w:color w:val="000000"/>
                <w:sz w:val="21"/>
                <w:szCs w:val="18"/>
              </w:rPr>
            </w:pPr>
            <w:r w:rsidRPr="00B85068">
              <w:rPr>
                <w:color w:val="000000"/>
                <w:sz w:val="21"/>
                <w:szCs w:val="18"/>
              </w:rPr>
              <w:t xml:space="preserve">Koen, 1984; Oxfam, 2010; </w:t>
            </w:r>
            <w:proofErr w:type="spellStart"/>
            <w:r w:rsidRPr="00B833D8">
              <w:rPr>
                <w:color w:val="000000"/>
                <w:sz w:val="21"/>
                <w:szCs w:val="18"/>
              </w:rPr>
              <w:t>Ahl</w:t>
            </w:r>
            <w:proofErr w:type="spellEnd"/>
            <w:r w:rsidRPr="00B833D8">
              <w:rPr>
                <w:color w:val="000000"/>
                <w:sz w:val="21"/>
                <w:szCs w:val="18"/>
              </w:rPr>
              <w:t xml:space="preserve"> &amp; Nelson, 2014; </w:t>
            </w:r>
            <w:proofErr w:type="spellStart"/>
            <w:r w:rsidRPr="00B833D8">
              <w:rPr>
                <w:color w:val="000000"/>
                <w:sz w:val="21"/>
                <w:szCs w:val="18"/>
              </w:rPr>
              <w:t>Pettersson</w:t>
            </w:r>
            <w:proofErr w:type="spellEnd"/>
            <w:r w:rsidRPr="00B833D8">
              <w:rPr>
                <w:color w:val="000000"/>
                <w:sz w:val="21"/>
                <w:szCs w:val="18"/>
              </w:rPr>
              <w:t xml:space="preserve"> et al., 2017</w:t>
            </w:r>
          </w:p>
        </w:tc>
      </w:tr>
      <w:tr w:rsidR="00EE18FD" w:rsidRPr="00B85068" w14:paraId="5F4A4C10" w14:textId="77777777" w:rsidTr="00745795">
        <w:trPr>
          <w:gridAfter w:val="1"/>
          <w:wAfter w:w="142" w:type="dxa"/>
          <w:trHeight w:val="808"/>
        </w:trPr>
        <w:tc>
          <w:tcPr>
            <w:tcW w:w="1560" w:type="dxa"/>
            <w:gridSpan w:val="2"/>
            <w:vMerge/>
            <w:tcBorders>
              <w:top w:val="nil"/>
              <w:left w:val="nil"/>
              <w:right w:val="nil"/>
            </w:tcBorders>
            <w:shd w:val="clear" w:color="auto" w:fill="auto"/>
          </w:tcPr>
          <w:p w14:paraId="6E95126E" w14:textId="77777777" w:rsidR="00EE18FD" w:rsidRPr="00B85068" w:rsidRDefault="00EE18FD" w:rsidP="00745795">
            <w:pPr>
              <w:rPr>
                <w:b/>
                <w:color w:val="000000"/>
                <w:sz w:val="21"/>
                <w:szCs w:val="20"/>
              </w:rPr>
            </w:pPr>
          </w:p>
        </w:tc>
        <w:tc>
          <w:tcPr>
            <w:tcW w:w="6379" w:type="dxa"/>
            <w:gridSpan w:val="2"/>
            <w:tcBorders>
              <w:top w:val="nil"/>
              <w:left w:val="nil"/>
              <w:right w:val="nil"/>
            </w:tcBorders>
            <w:shd w:val="clear" w:color="auto" w:fill="auto"/>
          </w:tcPr>
          <w:p w14:paraId="67F0EFE8" w14:textId="77777777" w:rsidR="00EE18FD" w:rsidRPr="008F022E" w:rsidRDefault="00EE18FD" w:rsidP="00745795">
            <w:pPr>
              <w:rPr>
                <w:color w:val="000000"/>
                <w:sz w:val="21"/>
                <w:szCs w:val="20"/>
              </w:rPr>
            </w:pPr>
            <w:r w:rsidRPr="008F022E">
              <w:rPr>
                <w:color w:val="000000"/>
                <w:sz w:val="21"/>
                <w:szCs w:val="20"/>
              </w:rPr>
              <w:t>P2. Redress power differentials within entrepreneurial ecosystems, including social norms, political</w:t>
            </w:r>
            <w:r>
              <w:rPr>
                <w:color w:val="000000"/>
                <w:sz w:val="21"/>
                <w:szCs w:val="20"/>
              </w:rPr>
              <w:t>,</w:t>
            </w:r>
            <w:r w:rsidRPr="008F022E">
              <w:rPr>
                <w:color w:val="000000"/>
                <w:sz w:val="21"/>
                <w:szCs w:val="20"/>
              </w:rPr>
              <w:t xml:space="preserve"> and economic structures and cultural conditions that perpetuate inequalit</w:t>
            </w:r>
            <w:r>
              <w:rPr>
                <w:color w:val="000000"/>
                <w:sz w:val="21"/>
                <w:szCs w:val="20"/>
              </w:rPr>
              <w:t>ies</w:t>
            </w:r>
            <w:r w:rsidRPr="008F022E">
              <w:rPr>
                <w:color w:val="000000"/>
                <w:sz w:val="21"/>
                <w:szCs w:val="20"/>
              </w:rPr>
              <w:t>.</w:t>
            </w:r>
          </w:p>
        </w:tc>
        <w:tc>
          <w:tcPr>
            <w:tcW w:w="2551" w:type="dxa"/>
            <w:gridSpan w:val="2"/>
            <w:tcBorders>
              <w:top w:val="nil"/>
              <w:left w:val="nil"/>
              <w:right w:val="nil"/>
            </w:tcBorders>
            <w:shd w:val="clear" w:color="auto" w:fill="auto"/>
          </w:tcPr>
          <w:p w14:paraId="2130917E" w14:textId="77777777" w:rsidR="00EE18FD" w:rsidRPr="00B85068" w:rsidRDefault="00EE18FD" w:rsidP="00745795">
            <w:pPr>
              <w:ind w:right="-108"/>
              <w:rPr>
                <w:color w:val="000000"/>
                <w:sz w:val="21"/>
                <w:szCs w:val="18"/>
              </w:rPr>
            </w:pPr>
            <w:r w:rsidRPr="00B833D8">
              <w:rPr>
                <w:color w:val="000000"/>
                <w:sz w:val="21"/>
                <w:szCs w:val="18"/>
              </w:rPr>
              <w:t xml:space="preserve">Institute for Competitiveness </w:t>
            </w:r>
            <w:r>
              <w:rPr>
                <w:color w:val="000000"/>
                <w:sz w:val="21"/>
                <w:szCs w:val="18"/>
              </w:rPr>
              <w:t>&amp;</w:t>
            </w:r>
            <w:r w:rsidRPr="00B833D8">
              <w:rPr>
                <w:color w:val="000000"/>
                <w:sz w:val="21"/>
                <w:szCs w:val="18"/>
              </w:rPr>
              <w:t xml:space="preserve"> Prosperity, 2019; IFC, 2020</w:t>
            </w:r>
            <w:r>
              <w:rPr>
                <w:color w:val="000000"/>
                <w:sz w:val="21"/>
                <w:szCs w:val="18"/>
              </w:rPr>
              <w:t xml:space="preserve">; </w:t>
            </w:r>
            <w:r w:rsidRPr="00B833D8">
              <w:rPr>
                <w:color w:val="000000"/>
                <w:sz w:val="21"/>
                <w:szCs w:val="18"/>
              </w:rPr>
              <w:t>Harcourt, 2016</w:t>
            </w:r>
          </w:p>
        </w:tc>
      </w:tr>
      <w:tr w:rsidR="00EE18FD" w:rsidRPr="00B85068" w14:paraId="719686FF" w14:textId="77777777" w:rsidTr="00745795">
        <w:trPr>
          <w:gridAfter w:val="1"/>
          <w:wAfter w:w="142" w:type="dxa"/>
          <w:trHeight w:val="1071"/>
        </w:trPr>
        <w:tc>
          <w:tcPr>
            <w:tcW w:w="1560" w:type="dxa"/>
            <w:gridSpan w:val="2"/>
            <w:vMerge/>
            <w:tcBorders>
              <w:top w:val="nil"/>
              <w:left w:val="nil"/>
              <w:right w:val="nil"/>
            </w:tcBorders>
            <w:shd w:val="clear" w:color="auto" w:fill="auto"/>
          </w:tcPr>
          <w:p w14:paraId="4054F1FB" w14:textId="77777777" w:rsidR="00EE18FD" w:rsidRPr="00B85068" w:rsidRDefault="00EE18FD" w:rsidP="00745795">
            <w:pPr>
              <w:rPr>
                <w:b/>
                <w:color w:val="000000"/>
                <w:sz w:val="21"/>
                <w:szCs w:val="20"/>
              </w:rPr>
            </w:pPr>
          </w:p>
        </w:tc>
        <w:tc>
          <w:tcPr>
            <w:tcW w:w="6379" w:type="dxa"/>
            <w:gridSpan w:val="2"/>
            <w:tcBorders>
              <w:top w:val="nil"/>
              <w:left w:val="nil"/>
              <w:right w:val="nil"/>
            </w:tcBorders>
            <w:shd w:val="clear" w:color="auto" w:fill="auto"/>
          </w:tcPr>
          <w:p w14:paraId="15D400CE" w14:textId="77777777" w:rsidR="00EE18FD" w:rsidRDefault="00EE18FD" w:rsidP="00745795">
            <w:pPr>
              <w:rPr>
                <w:color w:val="000000"/>
                <w:sz w:val="21"/>
                <w:szCs w:val="20"/>
              </w:rPr>
            </w:pPr>
            <w:r w:rsidRPr="008F022E">
              <w:rPr>
                <w:color w:val="000000"/>
                <w:sz w:val="21"/>
                <w:szCs w:val="20"/>
              </w:rPr>
              <w:t xml:space="preserve">P3. Acknowledge gendered processes within venture creation and occupational stereotypes that impact opportunity recognition and enterprise performance, including the 5Ms: markets, money, </w:t>
            </w:r>
          </w:p>
          <w:p w14:paraId="012F916B" w14:textId="77777777" w:rsidR="00EE18FD" w:rsidRPr="008F022E" w:rsidRDefault="00EE18FD" w:rsidP="00745795">
            <w:pPr>
              <w:rPr>
                <w:color w:val="000000"/>
                <w:sz w:val="21"/>
                <w:szCs w:val="20"/>
              </w:rPr>
            </w:pPr>
            <w:r w:rsidRPr="008F022E">
              <w:rPr>
                <w:color w:val="000000"/>
                <w:sz w:val="21"/>
                <w:szCs w:val="20"/>
              </w:rPr>
              <w:t>management, motherhood</w:t>
            </w:r>
            <w:r>
              <w:rPr>
                <w:color w:val="000000"/>
                <w:sz w:val="21"/>
                <w:szCs w:val="20"/>
              </w:rPr>
              <w:t>,</w:t>
            </w:r>
            <w:r w:rsidRPr="008F022E">
              <w:rPr>
                <w:color w:val="000000"/>
                <w:sz w:val="21"/>
                <w:szCs w:val="20"/>
              </w:rPr>
              <w:t xml:space="preserve"> and </w:t>
            </w:r>
            <w:proofErr w:type="spellStart"/>
            <w:r w:rsidRPr="008F022E">
              <w:rPr>
                <w:color w:val="000000"/>
                <w:sz w:val="21"/>
                <w:szCs w:val="20"/>
              </w:rPr>
              <w:t>meso</w:t>
            </w:r>
            <w:proofErr w:type="spellEnd"/>
            <w:r w:rsidRPr="008F022E">
              <w:rPr>
                <w:color w:val="000000"/>
                <w:sz w:val="21"/>
                <w:szCs w:val="20"/>
              </w:rPr>
              <w:t>/macro environments.</w:t>
            </w:r>
          </w:p>
        </w:tc>
        <w:tc>
          <w:tcPr>
            <w:tcW w:w="2551" w:type="dxa"/>
            <w:gridSpan w:val="2"/>
            <w:tcBorders>
              <w:top w:val="nil"/>
              <w:left w:val="nil"/>
              <w:right w:val="nil"/>
            </w:tcBorders>
            <w:shd w:val="clear" w:color="auto" w:fill="auto"/>
          </w:tcPr>
          <w:p w14:paraId="18EA5A4A" w14:textId="77777777" w:rsidR="00EE18FD" w:rsidRPr="00B85068" w:rsidRDefault="00EE18FD" w:rsidP="00745795">
            <w:pPr>
              <w:rPr>
                <w:color w:val="000000"/>
                <w:sz w:val="21"/>
                <w:szCs w:val="18"/>
              </w:rPr>
            </w:pPr>
            <w:r w:rsidRPr="00B85068">
              <w:rPr>
                <w:color w:val="000000"/>
                <w:sz w:val="21"/>
                <w:szCs w:val="18"/>
              </w:rPr>
              <w:t>Bird &amp; Brush, 2002; Brush et al., 2009</w:t>
            </w:r>
            <w:r>
              <w:rPr>
                <w:color w:val="000000"/>
                <w:sz w:val="21"/>
                <w:szCs w:val="18"/>
              </w:rPr>
              <w:t>, 2010</w:t>
            </w:r>
            <w:r w:rsidRPr="00B85068">
              <w:rPr>
                <w:color w:val="000000"/>
                <w:sz w:val="21"/>
                <w:szCs w:val="18"/>
              </w:rPr>
              <w:t xml:space="preserve">; Lewis, 2014; </w:t>
            </w:r>
            <w:proofErr w:type="spellStart"/>
            <w:r w:rsidRPr="00B85068">
              <w:rPr>
                <w:color w:val="000000"/>
                <w:sz w:val="21"/>
                <w:szCs w:val="18"/>
              </w:rPr>
              <w:t>Orser</w:t>
            </w:r>
            <w:proofErr w:type="spellEnd"/>
            <w:r w:rsidRPr="00B85068">
              <w:rPr>
                <w:color w:val="000000"/>
                <w:sz w:val="21"/>
                <w:szCs w:val="18"/>
              </w:rPr>
              <w:t xml:space="preserve"> &amp; Elliott, 2015</w:t>
            </w:r>
          </w:p>
        </w:tc>
      </w:tr>
      <w:tr w:rsidR="00EE18FD" w:rsidRPr="00B85068" w14:paraId="60559C46" w14:textId="77777777" w:rsidTr="00745795">
        <w:trPr>
          <w:gridAfter w:val="1"/>
          <w:wAfter w:w="142" w:type="dxa"/>
          <w:trHeight w:val="540"/>
        </w:trPr>
        <w:tc>
          <w:tcPr>
            <w:tcW w:w="1560" w:type="dxa"/>
            <w:gridSpan w:val="2"/>
            <w:tcBorders>
              <w:top w:val="nil"/>
              <w:left w:val="nil"/>
            </w:tcBorders>
            <w:shd w:val="clear" w:color="auto" w:fill="auto"/>
            <w:hideMark/>
          </w:tcPr>
          <w:p w14:paraId="36C5E03B" w14:textId="77777777" w:rsidR="00EE18FD" w:rsidRPr="00B85068" w:rsidRDefault="00EE18FD" w:rsidP="00745795">
            <w:pPr>
              <w:rPr>
                <w:color w:val="000000"/>
                <w:sz w:val="21"/>
                <w:szCs w:val="20"/>
              </w:rPr>
            </w:pPr>
          </w:p>
        </w:tc>
        <w:tc>
          <w:tcPr>
            <w:tcW w:w="6379" w:type="dxa"/>
            <w:gridSpan w:val="2"/>
            <w:shd w:val="clear" w:color="auto" w:fill="auto"/>
            <w:hideMark/>
          </w:tcPr>
          <w:p w14:paraId="603815C4" w14:textId="77777777" w:rsidR="00EE18FD" w:rsidRPr="008F022E" w:rsidRDefault="00EE18FD" w:rsidP="00745795">
            <w:pPr>
              <w:rPr>
                <w:color w:val="000000"/>
                <w:sz w:val="21"/>
                <w:szCs w:val="20"/>
              </w:rPr>
            </w:pPr>
            <w:r w:rsidRPr="008F022E">
              <w:rPr>
                <w:color w:val="000000"/>
                <w:sz w:val="21"/>
                <w:szCs w:val="20"/>
              </w:rPr>
              <w:t xml:space="preserve">P4. Employ broad and inclusive definitions of innovation, honouring innovations important to women and women’s innovative contributions. </w:t>
            </w:r>
          </w:p>
        </w:tc>
        <w:tc>
          <w:tcPr>
            <w:tcW w:w="2551" w:type="dxa"/>
            <w:gridSpan w:val="2"/>
            <w:shd w:val="clear" w:color="auto" w:fill="auto"/>
            <w:hideMark/>
          </w:tcPr>
          <w:p w14:paraId="62A7F457" w14:textId="77777777" w:rsidR="00EE18FD" w:rsidRPr="00B85068" w:rsidRDefault="00EE18FD" w:rsidP="00745795">
            <w:pPr>
              <w:ind w:right="-108"/>
              <w:rPr>
                <w:color w:val="000000"/>
                <w:sz w:val="21"/>
                <w:szCs w:val="18"/>
              </w:rPr>
            </w:pPr>
            <w:proofErr w:type="spellStart"/>
            <w:r w:rsidRPr="00B85068">
              <w:rPr>
                <w:color w:val="000000"/>
                <w:sz w:val="21"/>
                <w:szCs w:val="18"/>
              </w:rPr>
              <w:t>Ljunggren</w:t>
            </w:r>
            <w:proofErr w:type="spellEnd"/>
            <w:r w:rsidRPr="00B85068">
              <w:rPr>
                <w:color w:val="000000"/>
                <w:sz w:val="21"/>
                <w:szCs w:val="18"/>
              </w:rPr>
              <w:t xml:space="preserve"> &amp; </w:t>
            </w:r>
            <w:proofErr w:type="spellStart"/>
            <w:r w:rsidRPr="00B85068">
              <w:rPr>
                <w:color w:val="000000"/>
                <w:sz w:val="21"/>
                <w:szCs w:val="18"/>
              </w:rPr>
              <w:t>Aksos</w:t>
            </w:r>
            <w:proofErr w:type="spellEnd"/>
            <w:r w:rsidRPr="00B85068">
              <w:rPr>
                <w:color w:val="000000"/>
                <w:sz w:val="21"/>
                <w:szCs w:val="18"/>
              </w:rPr>
              <w:t>, 2010; Rowe, 2018</w:t>
            </w:r>
          </w:p>
        </w:tc>
      </w:tr>
      <w:tr w:rsidR="00EE18FD" w:rsidRPr="00B85068" w14:paraId="3990A15A" w14:textId="77777777" w:rsidTr="00745795">
        <w:trPr>
          <w:gridAfter w:val="1"/>
          <w:wAfter w:w="142" w:type="dxa"/>
          <w:trHeight w:val="849"/>
        </w:trPr>
        <w:tc>
          <w:tcPr>
            <w:tcW w:w="1560" w:type="dxa"/>
            <w:gridSpan w:val="2"/>
            <w:tcBorders>
              <w:left w:val="nil"/>
              <w:bottom w:val="single" w:sz="4" w:space="0" w:color="000000" w:themeColor="text1"/>
              <w:right w:val="nil"/>
            </w:tcBorders>
            <w:shd w:val="clear" w:color="auto" w:fill="auto"/>
          </w:tcPr>
          <w:p w14:paraId="4F590E22" w14:textId="77777777" w:rsidR="00EE18FD" w:rsidRPr="00B85068" w:rsidRDefault="00EE18FD" w:rsidP="00745795">
            <w:pPr>
              <w:rPr>
                <w:color w:val="000000"/>
                <w:sz w:val="21"/>
                <w:szCs w:val="20"/>
              </w:rPr>
            </w:pPr>
          </w:p>
        </w:tc>
        <w:tc>
          <w:tcPr>
            <w:tcW w:w="6379" w:type="dxa"/>
            <w:gridSpan w:val="2"/>
            <w:tcBorders>
              <w:left w:val="nil"/>
              <w:bottom w:val="single" w:sz="4" w:space="0" w:color="000000" w:themeColor="text1"/>
            </w:tcBorders>
            <w:shd w:val="clear" w:color="auto" w:fill="auto"/>
          </w:tcPr>
          <w:p w14:paraId="26800CFD" w14:textId="77777777" w:rsidR="00EE18FD" w:rsidRPr="008F022E" w:rsidRDefault="00EE18FD" w:rsidP="00745795">
            <w:pPr>
              <w:rPr>
                <w:color w:val="000000"/>
                <w:sz w:val="21"/>
                <w:szCs w:val="20"/>
              </w:rPr>
            </w:pPr>
            <w:r w:rsidRPr="008F022E">
              <w:rPr>
                <w:color w:val="000000"/>
                <w:sz w:val="21"/>
                <w:szCs w:val="20"/>
              </w:rPr>
              <w:t>P5. Leverage opportunities to influence multiple policy outcomes, including individual, material, perceptual, contextual and relational impacts, recogni</w:t>
            </w:r>
            <w:r>
              <w:rPr>
                <w:color w:val="000000"/>
                <w:sz w:val="21"/>
                <w:szCs w:val="20"/>
              </w:rPr>
              <w:t>s</w:t>
            </w:r>
            <w:r w:rsidRPr="008F022E">
              <w:rPr>
                <w:color w:val="000000"/>
                <w:sz w:val="21"/>
                <w:szCs w:val="20"/>
              </w:rPr>
              <w:t>ing women’s economic empowerment is an end in itself.</w:t>
            </w:r>
          </w:p>
        </w:tc>
        <w:tc>
          <w:tcPr>
            <w:tcW w:w="2551" w:type="dxa"/>
            <w:gridSpan w:val="2"/>
            <w:tcBorders>
              <w:bottom w:val="single" w:sz="4" w:space="0" w:color="000000" w:themeColor="text1"/>
            </w:tcBorders>
            <w:shd w:val="clear" w:color="auto" w:fill="auto"/>
          </w:tcPr>
          <w:p w14:paraId="197F0933" w14:textId="77777777" w:rsidR="00EE18FD" w:rsidRPr="00B85068" w:rsidRDefault="00EE18FD" w:rsidP="00745795">
            <w:pPr>
              <w:ind w:right="-108"/>
              <w:rPr>
                <w:color w:val="000000"/>
                <w:sz w:val="21"/>
                <w:szCs w:val="18"/>
              </w:rPr>
            </w:pPr>
            <w:proofErr w:type="spellStart"/>
            <w:r w:rsidRPr="00B85068">
              <w:rPr>
                <w:color w:val="000000"/>
                <w:sz w:val="21"/>
                <w:szCs w:val="18"/>
              </w:rPr>
              <w:t>Mayoux</w:t>
            </w:r>
            <w:proofErr w:type="spellEnd"/>
            <w:r w:rsidRPr="00B85068">
              <w:rPr>
                <w:color w:val="000000"/>
                <w:sz w:val="21"/>
                <w:szCs w:val="18"/>
              </w:rPr>
              <w:t>, 200</w:t>
            </w:r>
            <w:r>
              <w:rPr>
                <w:color w:val="000000"/>
                <w:sz w:val="21"/>
                <w:szCs w:val="18"/>
              </w:rPr>
              <w:t>0</w:t>
            </w:r>
            <w:r w:rsidRPr="00B85068">
              <w:rPr>
                <w:color w:val="000000"/>
                <w:sz w:val="21"/>
                <w:szCs w:val="18"/>
              </w:rPr>
              <w:t xml:space="preserve">; </w:t>
            </w:r>
            <w:proofErr w:type="spellStart"/>
            <w:r>
              <w:rPr>
                <w:color w:val="000000"/>
                <w:sz w:val="21"/>
                <w:szCs w:val="18"/>
              </w:rPr>
              <w:t>Ahl</w:t>
            </w:r>
            <w:proofErr w:type="spellEnd"/>
            <w:r w:rsidRPr="00B85068">
              <w:rPr>
                <w:color w:val="000000"/>
                <w:sz w:val="21"/>
                <w:szCs w:val="18"/>
              </w:rPr>
              <w:t xml:space="preserve"> &amp; Nelson, 2010; Nelson, 2014; Oxfam, 2019</w:t>
            </w:r>
          </w:p>
        </w:tc>
      </w:tr>
      <w:tr w:rsidR="00EE18FD" w:rsidRPr="00B85068" w14:paraId="7C4E7064" w14:textId="77777777" w:rsidTr="00745795">
        <w:trPr>
          <w:gridAfter w:val="1"/>
          <w:wAfter w:w="142" w:type="dxa"/>
          <w:trHeight w:val="1359"/>
        </w:trPr>
        <w:tc>
          <w:tcPr>
            <w:tcW w:w="1560" w:type="dxa"/>
            <w:gridSpan w:val="2"/>
            <w:vMerge w:val="restart"/>
            <w:tcBorders>
              <w:top w:val="single" w:sz="4" w:space="0" w:color="000000" w:themeColor="text1"/>
              <w:left w:val="nil"/>
              <w:right w:val="nil"/>
            </w:tcBorders>
            <w:shd w:val="clear" w:color="auto" w:fill="auto"/>
          </w:tcPr>
          <w:p w14:paraId="7C8AB988" w14:textId="77777777" w:rsidR="00EE18FD" w:rsidRPr="00B85068" w:rsidRDefault="00EE18FD" w:rsidP="00745795">
            <w:pPr>
              <w:rPr>
                <w:b/>
                <w:color w:val="000000"/>
                <w:sz w:val="21"/>
                <w:szCs w:val="20"/>
              </w:rPr>
            </w:pPr>
            <w:r w:rsidRPr="00B85068">
              <w:rPr>
                <w:b/>
                <w:color w:val="000000"/>
                <w:sz w:val="21"/>
                <w:szCs w:val="20"/>
              </w:rPr>
              <w:t xml:space="preserve">Politics </w:t>
            </w:r>
            <w:r w:rsidRPr="00B85068">
              <w:rPr>
                <w:color w:val="000000"/>
                <w:sz w:val="21"/>
                <w:szCs w:val="20"/>
              </w:rPr>
              <w:t xml:space="preserve">Politicking  through deliberate actions to drive policy reform </w:t>
            </w:r>
          </w:p>
        </w:tc>
        <w:tc>
          <w:tcPr>
            <w:tcW w:w="6379" w:type="dxa"/>
            <w:gridSpan w:val="2"/>
            <w:tcBorders>
              <w:top w:val="single" w:sz="4" w:space="0" w:color="000000" w:themeColor="text1"/>
              <w:left w:val="nil"/>
            </w:tcBorders>
            <w:shd w:val="clear" w:color="auto" w:fill="auto"/>
          </w:tcPr>
          <w:p w14:paraId="70FC8D51" w14:textId="77777777" w:rsidR="00EE18FD" w:rsidRPr="008F022E" w:rsidRDefault="00EE18FD" w:rsidP="00745795">
            <w:pPr>
              <w:rPr>
                <w:color w:val="000000"/>
                <w:sz w:val="21"/>
                <w:szCs w:val="20"/>
              </w:rPr>
            </w:pPr>
            <w:r w:rsidRPr="008F022E">
              <w:rPr>
                <w:color w:val="000000"/>
                <w:sz w:val="21"/>
                <w:szCs w:val="20"/>
              </w:rPr>
              <w:t xml:space="preserve">P6. Mandate gender/sex-disaggregated data </w:t>
            </w:r>
            <w:r>
              <w:rPr>
                <w:color w:val="000000"/>
                <w:sz w:val="21"/>
                <w:szCs w:val="20"/>
              </w:rPr>
              <w:t xml:space="preserve">to enable </w:t>
            </w:r>
            <w:r w:rsidRPr="008F022E">
              <w:rPr>
                <w:color w:val="000000"/>
                <w:sz w:val="21"/>
                <w:szCs w:val="20"/>
              </w:rPr>
              <w:t>report</w:t>
            </w:r>
            <w:r>
              <w:rPr>
                <w:color w:val="000000"/>
                <w:sz w:val="21"/>
                <w:szCs w:val="20"/>
              </w:rPr>
              <w:t>ing</w:t>
            </w:r>
            <w:r w:rsidRPr="008F022E">
              <w:rPr>
                <w:color w:val="000000"/>
                <w:sz w:val="21"/>
                <w:szCs w:val="20"/>
              </w:rPr>
              <w:t xml:space="preserve"> on UN S</w:t>
            </w:r>
            <w:r>
              <w:rPr>
                <w:color w:val="000000"/>
                <w:sz w:val="21"/>
                <w:szCs w:val="20"/>
              </w:rPr>
              <w:t>DGs</w:t>
            </w:r>
            <w:r w:rsidRPr="008F022E">
              <w:rPr>
                <w:color w:val="000000"/>
                <w:sz w:val="21"/>
                <w:szCs w:val="20"/>
              </w:rPr>
              <w:t xml:space="preserve"> Goal</w:t>
            </w:r>
            <w:r>
              <w:rPr>
                <w:color w:val="000000"/>
                <w:sz w:val="21"/>
                <w:szCs w:val="20"/>
              </w:rPr>
              <w:t xml:space="preserve"> </w:t>
            </w:r>
            <w:r w:rsidRPr="008F022E">
              <w:rPr>
                <w:color w:val="000000"/>
                <w:sz w:val="21"/>
                <w:szCs w:val="20"/>
              </w:rPr>
              <w:t>5</w:t>
            </w:r>
            <w:r>
              <w:rPr>
                <w:color w:val="000000"/>
                <w:sz w:val="21"/>
                <w:szCs w:val="20"/>
              </w:rPr>
              <w:t xml:space="preserve">: </w:t>
            </w:r>
            <w:r w:rsidRPr="008F022E">
              <w:rPr>
                <w:color w:val="000000"/>
                <w:sz w:val="21"/>
                <w:szCs w:val="20"/>
              </w:rPr>
              <w:t xml:space="preserve">equal </w:t>
            </w:r>
            <w:r>
              <w:rPr>
                <w:color w:val="000000"/>
                <w:sz w:val="21"/>
                <w:szCs w:val="20"/>
              </w:rPr>
              <w:t>access</w:t>
            </w:r>
            <w:r w:rsidRPr="008F022E">
              <w:rPr>
                <w:color w:val="000000"/>
                <w:sz w:val="21"/>
                <w:szCs w:val="20"/>
              </w:rPr>
              <w:t xml:space="preserve"> to economic resources</w:t>
            </w:r>
            <w:r>
              <w:rPr>
                <w:color w:val="000000"/>
                <w:sz w:val="21"/>
                <w:szCs w:val="20"/>
              </w:rPr>
              <w:t xml:space="preserve">, digital technologies </w:t>
            </w:r>
            <w:r w:rsidRPr="008F022E">
              <w:rPr>
                <w:color w:val="000000"/>
                <w:sz w:val="21"/>
                <w:szCs w:val="20"/>
              </w:rPr>
              <w:t xml:space="preserve">and policies/legislation </w:t>
            </w:r>
            <w:r>
              <w:rPr>
                <w:color w:val="000000"/>
                <w:sz w:val="21"/>
                <w:szCs w:val="20"/>
              </w:rPr>
              <w:t>to</w:t>
            </w:r>
            <w:r w:rsidRPr="008F022E">
              <w:rPr>
                <w:color w:val="000000"/>
                <w:sz w:val="21"/>
                <w:szCs w:val="20"/>
              </w:rPr>
              <w:t xml:space="preserve"> promot</w:t>
            </w:r>
            <w:r>
              <w:rPr>
                <w:color w:val="000000"/>
                <w:sz w:val="21"/>
                <w:szCs w:val="20"/>
              </w:rPr>
              <w:t>e</w:t>
            </w:r>
            <w:r w:rsidRPr="008F022E">
              <w:rPr>
                <w:color w:val="000000"/>
                <w:sz w:val="21"/>
                <w:szCs w:val="20"/>
              </w:rPr>
              <w:t xml:space="preserve"> gender equality and empowerment of women and girls</w:t>
            </w:r>
            <w:r>
              <w:rPr>
                <w:color w:val="000000"/>
                <w:sz w:val="21"/>
                <w:szCs w:val="20"/>
              </w:rPr>
              <w:t xml:space="preserve">, </w:t>
            </w:r>
            <w:r w:rsidRPr="008F022E">
              <w:rPr>
                <w:color w:val="000000"/>
                <w:sz w:val="21"/>
                <w:szCs w:val="20"/>
              </w:rPr>
              <w:t xml:space="preserve">including holding small business intermediaries accountable for engaging </w:t>
            </w:r>
            <w:r>
              <w:rPr>
                <w:color w:val="000000"/>
                <w:sz w:val="21"/>
                <w:szCs w:val="20"/>
              </w:rPr>
              <w:t xml:space="preserve">diverse </w:t>
            </w:r>
            <w:r w:rsidRPr="008F022E">
              <w:rPr>
                <w:color w:val="000000"/>
                <w:sz w:val="21"/>
                <w:szCs w:val="20"/>
              </w:rPr>
              <w:t xml:space="preserve">women entrepreneurs. </w:t>
            </w:r>
          </w:p>
          <w:p w14:paraId="23C64075" w14:textId="77777777" w:rsidR="00EE18FD" w:rsidRPr="008F022E" w:rsidRDefault="00EE18FD" w:rsidP="00745795">
            <w:pPr>
              <w:contextualSpacing/>
              <w:rPr>
                <w:color w:val="000000"/>
                <w:sz w:val="21"/>
                <w:szCs w:val="20"/>
              </w:rPr>
            </w:pPr>
          </w:p>
        </w:tc>
        <w:tc>
          <w:tcPr>
            <w:tcW w:w="2551" w:type="dxa"/>
            <w:gridSpan w:val="2"/>
            <w:tcBorders>
              <w:top w:val="single" w:sz="4" w:space="0" w:color="000000" w:themeColor="text1"/>
            </w:tcBorders>
            <w:shd w:val="clear" w:color="auto" w:fill="auto"/>
          </w:tcPr>
          <w:p w14:paraId="07A38EDE" w14:textId="77777777" w:rsidR="00EE18FD" w:rsidRDefault="00EE18FD" w:rsidP="00745795">
            <w:pPr>
              <w:ind w:right="-108"/>
              <w:contextualSpacing/>
              <w:rPr>
                <w:color w:val="000000"/>
                <w:sz w:val="21"/>
                <w:szCs w:val="18"/>
              </w:rPr>
            </w:pPr>
          </w:p>
          <w:p w14:paraId="28AC7D44" w14:textId="77777777" w:rsidR="00EE18FD" w:rsidRPr="00B85068" w:rsidRDefault="00EE18FD" w:rsidP="00745795">
            <w:pPr>
              <w:ind w:right="-108"/>
              <w:contextualSpacing/>
              <w:rPr>
                <w:color w:val="000000"/>
                <w:sz w:val="21"/>
                <w:szCs w:val="18"/>
              </w:rPr>
            </w:pPr>
            <w:r w:rsidRPr="00B85068">
              <w:rPr>
                <w:color w:val="000000"/>
                <w:sz w:val="21"/>
                <w:szCs w:val="18"/>
              </w:rPr>
              <w:t xml:space="preserve">Marlow et al., 2008; EU, 2013; </w:t>
            </w:r>
            <w:proofErr w:type="spellStart"/>
            <w:r w:rsidRPr="00B85068">
              <w:rPr>
                <w:color w:val="000000"/>
                <w:sz w:val="21"/>
                <w:szCs w:val="18"/>
              </w:rPr>
              <w:t>Tiessen</w:t>
            </w:r>
            <w:proofErr w:type="spellEnd"/>
            <w:r w:rsidRPr="00B85068">
              <w:rPr>
                <w:color w:val="000000"/>
                <w:sz w:val="21"/>
                <w:szCs w:val="18"/>
              </w:rPr>
              <w:t>, 2019</w:t>
            </w:r>
            <w:r>
              <w:rPr>
                <w:color w:val="000000"/>
                <w:sz w:val="21"/>
                <w:szCs w:val="18"/>
              </w:rPr>
              <w:t>; UN Women, 2018; UN WE Empower 2020; W20 2020</w:t>
            </w:r>
          </w:p>
        </w:tc>
      </w:tr>
      <w:tr w:rsidR="00EE18FD" w:rsidRPr="00B85068" w14:paraId="018A069F" w14:textId="77777777" w:rsidTr="00745795">
        <w:trPr>
          <w:gridAfter w:val="1"/>
          <w:wAfter w:w="142" w:type="dxa"/>
          <w:trHeight w:val="1047"/>
        </w:trPr>
        <w:tc>
          <w:tcPr>
            <w:tcW w:w="1560" w:type="dxa"/>
            <w:gridSpan w:val="2"/>
            <w:vMerge/>
            <w:tcBorders>
              <w:left w:val="nil"/>
              <w:right w:val="nil"/>
            </w:tcBorders>
            <w:shd w:val="clear" w:color="auto" w:fill="auto"/>
            <w:hideMark/>
          </w:tcPr>
          <w:p w14:paraId="683AB299" w14:textId="77777777" w:rsidR="00EE18FD" w:rsidRPr="00B85068" w:rsidRDefault="00EE18FD" w:rsidP="00745795">
            <w:pPr>
              <w:rPr>
                <w:color w:val="000000"/>
                <w:sz w:val="21"/>
                <w:szCs w:val="20"/>
              </w:rPr>
            </w:pPr>
          </w:p>
        </w:tc>
        <w:tc>
          <w:tcPr>
            <w:tcW w:w="6379" w:type="dxa"/>
            <w:gridSpan w:val="2"/>
            <w:tcBorders>
              <w:left w:val="nil"/>
              <w:bottom w:val="nil"/>
              <w:right w:val="nil"/>
            </w:tcBorders>
            <w:shd w:val="clear" w:color="auto" w:fill="auto"/>
          </w:tcPr>
          <w:p w14:paraId="2EE2849B" w14:textId="77777777" w:rsidR="00EE18FD" w:rsidRPr="008F022E" w:rsidRDefault="00EE18FD" w:rsidP="00745795">
            <w:pPr>
              <w:contextualSpacing/>
              <w:rPr>
                <w:rFonts w:eastAsia="Symbol"/>
                <w:color w:val="000000"/>
                <w:sz w:val="21"/>
                <w:szCs w:val="20"/>
              </w:rPr>
            </w:pPr>
            <w:r w:rsidRPr="008F022E">
              <w:rPr>
                <w:rFonts w:eastAsia="Symbol"/>
                <w:color w:val="000000"/>
                <w:sz w:val="21"/>
                <w:szCs w:val="20"/>
              </w:rPr>
              <w:t>P7. Construct coherent and integrated policy frameworks across all domains that impact women-identified entrepreneurs, including small business</w:t>
            </w:r>
            <w:r>
              <w:rPr>
                <w:rFonts w:eastAsia="Symbol"/>
                <w:color w:val="000000"/>
                <w:sz w:val="21"/>
                <w:szCs w:val="20"/>
              </w:rPr>
              <w:t>es</w:t>
            </w:r>
            <w:r w:rsidRPr="008F022E">
              <w:rPr>
                <w:rFonts w:eastAsia="Symbol"/>
                <w:color w:val="000000"/>
                <w:sz w:val="21"/>
                <w:szCs w:val="20"/>
              </w:rPr>
              <w:t>, innovation, trade, income protection, healthcare, gender-based violence, financial</w:t>
            </w:r>
            <w:r>
              <w:rPr>
                <w:rFonts w:eastAsia="Symbol"/>
                <w:color w:val="000000"/>
                <w:sz w:val="21"/>
                <w:szCs w:val="20"/>
              </w:rPr>
              <w:t>/</w:t>
            </w:r>
            <w:r w:rsidRPr="008F022E">
              <w:rPr>
                <w:rFonts w:eastAsia="Symbol"/>
                <w:color w:val="000000"/>
                <w:sz w:val="21"/>
                <w:szCs w:val="20"/>
              </w:rPr>
              <w:t xml:space="preserve">digital literacy, </w:t>
            </w:r>
            <w:r>
              <w:rPr>
                <w:rFonts w:eastAsia="Symbol"/>
                <w:color w:val="000000"/>
                <w:sz w:val="21"/>
                <w:szCs w:val="20"/>
              </w:rPr>
              <w:t xml:space="preserve">public </w:t>
            </w:r>
            <w:r w:rsidRPr="008F022E">
              <w:rPr>
                <w:rFonts w:eastAsia="Symbol"/>
                <w:color w:val="000000"/>
                <w:sz w:val="21"/>
                <w:szCs w:val="20"/>
              </w:rPr>
              <w:t>procurement</w:t>
            </w:r>
            <w:r>
              <w:rPr>
                <w:rFonts w:eastAsia="Symbol"/>
                <w:color w:val="000000"/>
                <w:sz w:val="21"/>
                <w:szCs w:val="20"/>
              </w:rPr>
              <w:t>,</w:t>
            </w:r>
            <w:r w:rsidRPr="008F022E">
              <w:rPr>
                <w:rFonts w:eastAsia="Symbol"/>
                <w:color w:val="000000"/>
                <w:sz w:val="21"/>
                <w:szCs w:val="20"/>
              </w:rPr>
              <w:t xml:space="preserve"> and caregiving.</w:t>
            </w:r>
          </w:p>
          <w:p w14:paraId="4305ECCD" w14:textId="77777777" w:rsidR="00EE18FD" w:rsidRPr="008F022E" w:rsidRDefault="00EE18FD" w:rsidP="00745795">
            <w:pPr>
              <w:contextualSpacing/>
              <w:rPr>
                <w:rFonts w:eastAsia="Symbol"/>
                <w:color w:val="000000"/>
                <w:sz w:val="21"/>
                <w:szCs w:val="20"/>
              </w:rPr>
            </w:pPr>
          </w:p>
        </w:tc>
        <w:tc>
          <w:tcPr>
            <w:tcW w:w="2551" w:type="dxa"/>
            <w:gridSpan w:val="2"/>
            <w:tcBorders>
              <w:left w:val="nil"/>
              <w:bottom w:val="nil"/>
              <w:right w:val="nil"/>
            </w:tcBorders>
            <w:shd w:val="clear" w:color="auto" w:fill="auto"/>
          </w:tcPr>
          <w:p w14:paraId="555A3AAE" w14:textId="77777777" w:rsidR="00EE18FD" w:rsidRPr="00B85068" w:rsidRDefault="00EE18FD" w:rsidP="00745795">
            <w:pPr>
              <w:ind w:right="-108"/>
              <w:contextualSpacing/>
              <w:rPr>
                <w:color w:val="000000"/>
                <w:sz w:val="21"/>
                <w:szCs w:val="18"/>
              </w:rPr>
            </w:pPr>
            <w:r w:rsidRPr="00B85068">
              <w:rPr>
                <w:color w:val="000000"/>
                <w:sz w:val="21"/>
                <w:szCs w:val="18"/>
              </w:rPr>
              <w:t>Oxfam, 2018</w:t>
            </w:r>
            <w:r>
              <w:rPr>
                <w:color w:val="000000"/>
                <w:sz w:val="21"/>
                <w:szCs w:val="18"/>
              </w:rPr>
              <w:t xml:space="preserve">; Chatham House, 2020; WE Empower 2020 </w:t>
            </w:r>
          </w:p>
        </w:tc>
      </w:tr>
      <w:tr w:rsidR="00EE18FD" w:rsidRPr="00B85068" w14:paraId="78D5D39C" w14:textId="77777777" w:rsidTr="00745795">
        <w:trPr>
          <w:gridAfter w:val="1"/>
          <w:wAfter w:w="142" w:type="dxa"/>
          <w:trHeight w:val="914"/>
        </w:trPr>
        <w:tc>
          <w:tcPr>
            <w:tcW w:w="1560" w:type="dxa"/>
            <w:gridSpan w:val="2"/>
            <w:vMerge/>
            <w:tcBorders>
              <w:left w:val="nil"/>
              <w:right w:val="nil"/>
            </w:tcBorders>
            <w:shd w:val="clear" w:color="auto" w:fill="auto"/>
            <w:hideMark/>
          </w:tcPr>
          <w:p w14:paraId="272CBA56" w14:textId="77777777" w:rsidR="00EE18FD" w:rsidRPr="00B85068" w:rsidRDefault="00EE18FD" w:rsidP="00745795">
            <w:pPr>
              <w:rPr>
                <w:color w:val="000000"/>
                <w:sz w:val="21"/>
                <w:szCs w:val="20"/>
              </w:rPr>
            </w:pPr>
          </w:p>
        </w:tc>
        <w:tc>
          <w:tcPr>
            <w:tcW w:w="6379" w:type="dxa"/>
            <w:gridSpan w:val="2"/>
            <w:tcBorders>
              <w:top w:val="nil"/>
              <w:left w:val="nil"/>
              <w:right w:val="nil"/>
            </w:tcBorders>
            <w:shd w:val="clear" w:color="auto" w:fill="auto"/>
          </w:tcPr>
          <w:p w14:paraId="79F52E09" w14:textId="77777777" w:rsidR="00EE18FD" w:rsidRPr="008F022E" w:rsidRDefault="00EE18FD" w:rsidP="00745795">
            <w:pPr>
              <w:contextualSpacing/>
              <w:rPr>
                <w:color w:val="000000"/>
                <w:sz w:val="21"/>
                <w:szCs w:val="20"/>
              </w:rPr>
            </w:pPr>
            <w:r w:rsidRPr="008F022E">
              <w:rPr>
                <w:color w:val="000000"/>
                <w:sz w:val="21"/>
                <w:szCs w:val="20"/>
              </w:rPr>
              <w:t xml:space="preserve">P8. Facilitate broad and meaningful consultations: policy reform must be </w:t>
            </w:r>
            <w:r>
              <w:rPr>
                <w:color w:val="000000"/>
                <w:sz w:val="21"/>
                <w:szCs w:val="20"/>
              </w:rPr>
              <w:t xml:space="preserve"> </w:t>
            </w:r>
            <w:r w:rsidRPr="008F022E">
              <w:rPr>
                <w:color w:val="000000"/>
                <w:sz w:val="21"/>
                <w:szCs w:val="20"/>
              </w:rPr>
              <w:t xml:space="preserve">collective process to understand multiple contexts of subordination. Leverage feminist, gender, women’s enterprise and policy expertise in policy design and funding decisions: “Nothing about us, without us.” </w:t>
            </w:r>
          </w:p>
          <w:p w14:paraId="4DF40ED6" w14:textId="77777777" w:rsidR="00EE18FD" w:rsidRPr="008F022E" w:rsidRDefault="00EE18FD" w:rsidP="00745795">
            <w:pPr>
              <w:contextualSpacing/>
              <w:rPr>
                <w:color w:val="000000"/>
                <w:sz w:val="21"/>
                <w:szCs w:val="20"/>
              </w:rPr>
            </w:pPr>
          </w:p>
        </w:tc>
        <w:tc>
          <w:tcPr>
            <w:tcW w:w="2551" w:type="dxa"/>
            <w:gridSpan w:val="2"/>
            <w:tcBorders>
              <w:top w:val="nil"/>
              <w:left w:val="nil"/>
              <w:right w:val="nil"/>
            </w:tcBorders>
            <w:shd w:val="clear" w:color="auto" w:fill="auto"/>
          </w:tcPr>
          <w:p w14:paraId="26E9F7D8" w14:textId="77777777" w:rsidR="00EE18FD" w:rsidRPr="00B85068" w:rsidRDefault="00EE18FD" w:rsidP="00745795">
            <w:pPr>
              <w:ind w:right="-108"/>
              <w:contextualSpacing/>
              <w:rPr>
                <w:color w:val="000000"/>
                <w:sz w:val="21"/>
                <w:szCs w:val="18"/>
              </w:rPr>
            </w:pPr>
            <w:proofErr w:type="spellStart"/>
            <w:r w:rsidRPr="00B85068">
              <w:rPr>
                <w:color w:val="000000"/>
                <w:sz w:val="21"/>
                <w:szCs w:val="18"/>
              </w:rPr>
              <w:t>Cirera</w:t>
            </w:r>
            <w:proofErr w:type="spellEnd"/>
            <w:r w:rsidRPr="00B85068">
              <w:rPr>
                <w:color w:val="000000"/>
                <w:sz w:val="21"/>
                <w:szCs w:val="18"/>
              </w:rPr>
              <w:t xml:space="preserve"> &amp; </w:t>
            </w:r>
            <w:proofErr w:type="spellStart"/>
            <w:r w:rsidRPr="00B85068">
              <w:rPr>
                <w:color w:val="000000"/>
                <w:sz w:val="21"/>
                <w:szCs w:val="18"/>
              </w:rPr>
              <w:t>Qursum</w:t>
            </w:r>
            <w:proofErr w:type="spellEnd"/>
            <w:r w:rsidRPr="00B85068">
              <w:rPr>
                <w:color w:val="000000"/>
                <w:sz w:val="21"/>
                <w:szCs w:val="18"/>
              </w:rPr>
              <w:t xml:space="preserve">, 2014; Weber, 2016; Herbert, 2017 </w:t>
            </w:r>
          </w:p>
        </w:tc>
      </w:tr>
      <w:tr w:rsidR="00EE18FD" w:rsidRPr="00B85068" w14:paraId="2B21FBEC" w14:textId="77777777" w:rsidTr="00745795">
        <w:trPr>
          <w:gridAfter w:val="1"/>
          <w:wAfter w:w="142" w:type="dxa"/>
          <w:trHeight w:val="962"/>
        </w:trPr>
        <w:tc>
          <w:tcPr>
            <w:tcW w:w="1560" w:type="dxa"/>
            <w:gridSpan w:val="2"/>
            <w:vMerge w:val="restart"/>
            <w:tcBorders>
              <w:left w:val="nil"/>
              <w:bottom w:val="single" w:sz="4" w:space="0" w:color="auto"/>
              <w:right w:val="nil"/>
            </w:tcBorders>
            <w:shd w:val="clear" w:color="auto" w:fill="auto"/>
          </w:tcPr>
          <w:p w14:paraId="3E240614" w14:textId="77777777" w:rsidR="00EE18FD" w:rsidRPr="00EE25BE" w:rsidRDefault="00EE18FD" w:rsidP="00745795">
            <w:pPr>
              <w:snapToGrid w:val="0"/>
              <w:contextualSpacing/>
              <w:rPr>
                <w:color w:val="000000"/>
                <w:sz w:val="21"/>
                <w:szCs w:val="20"/>
              </w:rPr>
            </w:pPr>
            <w:r w:rsidRPr="00EE25BE">
              <w:rPr>
                <w:b/>
                <w:color w:val="000000"/>
                <w:sz w:val="21"/>
                <w:szCs w:val="20"/>
              </w:rPr>
              <w:t>Praxis</w:t>
            </w:r>
            <w:r w:rsidRPr="00EE25BE">
              <w:rPr>
                <w:color w:val="000000"/>
                <w:sz w:val="21"/>
                <w:szCs w:val="20"/>
              </w:rPr>
              <w:t xml:space="preserve"> </w:t>
            </w:r>
          </w:p>
          <w:p w14:paraId="0709F13B" w14:textId="77777777" w:rsidR="00EE18FD" w:rsidRPr="00B85068" w:rsidRDefault="00EE18FD" w:rsidP="00745795">
            <w:pPr>
              <w:snapToGrid w:val="0"/>
              <w:spacing w:after="120"/>
              <w:contextualSpacing/>
              <w:rPr>
                <w:color w:val="000000"/>
                <w:sz w:val="21"/>
                <w:szCs w:val="20"/>
              </w:rPr>
            </w:pPr>
            <w:r w:rsidRPr="00B85068">
              <w:rPr>
                <w:color w:val="000000"/>
                <w:sz w:val="21"/>
                <w:szCs w:val="20"/>
              </w:rPr>
              <w:t>Enacting social change for others</w:t>
            </w:r>
          </w:p>
        </w:tc>
        <w:tc>
          <w:tcPr>
            <w:tcW w:w="6379" w:type="dxa"/>
            <w:gridSpan w:val="2"/>
            <w:tcBorders>
              <w:left w:val="nil"/>
              <w:right w:val="nil"/>
            </w:tcBorders>
            <w:shd w:val="clear" w:color="auto" w:fill="auto"/>
          </w:tcPr>
          <w:p w14:paraId="23780E3F" w14:textId="77777777" w:rsidR="00EE18FD" w:rsidRPr="008F022E" w:rsidRDefault="00EE18FD" w:rsidP="00745795">
            <w:pPr>
              <w:contextualSpacing/>
              <w:rPr>
                <w:color w:val="000000"/>
                <w:sz w:val="21"/>
                <w:szCs w:val="20"/>
              </w:rPr>
            </w:pPr>
            <w:r w:rsidRPr="008F022E">
              <w:rPr>
                <w:color w:val="000000"/>
                <w:sz w:val="21"/>
                <w:szCs w:val="20"/>
              </w:rPr>
              <w:t>P9. Fund ecosystem intermediaries including women-focused small business and innovation intermediaries: feminist, grassroots, collective, co-operative</w:t>
            </w:r>
            <w:r>
              <w:rPr>
                <w:color w:val="000000"/>
                <w:sz w:val="21"/>
                <w:szCs w:val="20"/>
              </w:rPr>
              <w:t>,</w:t>
            </w:r>
            <w:r w:rsidRPr="008F022E">
              <w:rPr>
                <w:color w:val="000000"/>
                <w:sz w:val="21"/>
                <w:szCs w:val="20"/>
              </w:rPr>
              <w:t xml:space="preserve"> and social enterprises that target marginali</w:t>
            </w:r>
            <w:r>
              <w:rPr>
                <w:color w:val="000000"/>
                <w:sz w:val="21"/>
                <w:szCs w:val="20"/>
              </w:rPr>
              <w:t>s</w:t>
            </w:r>
            <w:r w:rsidRPr="008F022E">
              <w:rPr>
                <w:color w:val="000000"/>
                <w:sz w:val="21"/>
                <w:szCs w:val="20"/>
              </w:rPr>
              <w:t>ed entrepreneurs.</w:t>
            </w:r>
          </w:p>
        </w:tc>
        <w:tc>
          <w:tcPr>
            <w:tcW w:w="2551" w:type="dxa"/>
            <w:gridSpan w:val="2"/>
            <w:tcBorders>
              <w:left w:val="nil"/>
              <w:right w:val="nil"/>
            </w:tcBorders>
            <w:shd w:val="clear" w:color="auto" w:fill="auto"/>
          </w:tcPr>
          <w:p w14:paraId="4FC74800" w14:textId="77777777" w:rsidR="00EE18FD" w:rsidRPr="00B85068" w:rsidRDefault="00EE18FD" w:rsidP="00745795">
            <w:pPr>
              <w:ind w:right="-108"/>
              <w:contextualSpacing/>
              <w:rPr>
                <w:color w:val="000000"/>
                <w:sz w:val="21"/>
                <w:szCs w:val="18"/>
              </w:rPr>
            </w:pPr>
            <w:r w:rsidRPr="00B85068">
              <w:rPr>
                <w:color w:val="000000"/>
                <w:sz w:val="21"/>
                <w:szCs w:val="18"/>
              </w:rPr>
              <w:t xml:space="preserve">Rao &amp; Sander, 2016; Oxfam, 2018; </w:t>
            </w:r>
            <w:r>
              <w:rPr>
                <w:color w:val="000000"/>
                <w:sz w:val="21"/>
                <w:szCs w:val="18"/>
              </w:rPr>
              <w:t xml:space="preserve">Henry et al., 2018; </w:t>
            </w:r>
            <w:r w:rsidRPr="00B85068">
              <w:rPr>
                <w:color w:val="000000"/>
                <w:sz w:val="21"/>
                <w:szCs w:val="18"/>
              </w:rPr>
              <w:t>Coleman et al., 2019</w:t>
            </w:r>
          </w:p>
        </w:tc>
      </w:tr>
      <w:tr w:rsidR="00EE18FD" w:rsidRPr="00B85068" w14:paraId="4892DA13" w14:textId="77777777" w:rsidTr="00745795">
        <w:trPr>
          <w:gridAfter w:val="1"/>
          <w:wAfter w:w="142" w:type="dxa"/>
          <w:trHeight w:val="680"/>
        </w:trPr>
        <w:tc>
          <w:tcPr>
            <w:tcW w:w="1560" w:type="dxa"/>
            <w:gridSpan w:val="2"/>
            <w:vMerge/>
            <w:tcBorders>
              <w:left w:val="nil"/>
              <w:bottom w:val="single" w:sz="4" w:space="0" w:color="auto"/>
              <w:right w:val="nil"/>
            </w:tcBorders>
            <w:shd w:val="clear" w:color="auto" w:fill="auto"/>
          </w:tcPr>
          <w:p w14:paraId="51CA50FE" w14:textId="77777777" w:rsidR="00EE18FD" w:rsidRPr="00B85068" w:rsidRDefault="00EE18FD" w:rsidP="00745795">
            <w:pPr>
              <w:snapToGrid w:val="0"/>
              <w:spacing w:after="120"/>
              <w:contextualSpacing/>
              <w:rPr>
                <w:color w:val="000000"/>
                <w:sz w:val="21"/>
                <w:szCs w:val="20"/>
              </w:rPr>
            </w:pPr>
          </w:p>
        </w:tc>
        <w:tc>
          <w:tcPr>
            <w:tcW w:w="6379" w:type="dxa"/>
            <w:gridSpan w:val="2"/>
            <w:tcBorders>
              <w:left w:val="nil"/>
              <w:bottom w:val="single" w:sz="4" w:space="0" w:color="auto"/>
              <w:right w:val="nil"/>
            </w:tcBorders>
            <w:shd w:val="clear" w:color="auto" w:fill="auto"/>
          </w:tcPr>
          <w:p w14:paraId="59920C52" w14:textId="77777777" w:rsidR="00EE18FD" w:rsidRPr="008F022E" w:rsidRDefault="00EE18FD" w:rsidP="00745795">
            <w:pPr>
              <w:snapToGrid w:val="0"/>
              <w:contextualSpacing/>
              <w:rPr>
                <w:color w:val="000000"/>
                <w:sz w:val="21"/>
                <w:szCs w:val="20"/>
              </w:rPr>
            </w:pPr>
            <w:r w:rsidRPr="008F022E">
              <w:rPr>
                <w:color w:val="000000"/>
                <w:sz w:val="21"/>
                <w:szCs w:val="20"/>
              </w:rPr>
              <w:t>P10: Create mechanisms that enable women to act as change agents and to</w:t>
            </w:r>
            <w:r>
              <w:rPr>
                <w:color w:val="000000"/>
                <w:sz w:val="21"/>
                <w:szCs w:val="20"/>
              </w:rPr>
              <w:t xml:space="preserve"> </w:t>
            </w:r>
            <w:r w:rsidRPr="008F022E">
              <w:rPr>
                <w:color w:val="000000"/>
                <w:sz w:val="21"/>
                <w:szCs w:val="20"/>
              </w:rPr>
              <w:t>re-create rules of marketplaces. Support market exchanges predicated on economic, social and utilitarian outcomes, including co-operatives, social enterprises, non-profits, and hybrid enterprises.</w:t>
            </w:r>
          </w:p>
        </w:tc>
        <w:tc>
          <w:tcPr>
            <w:tcW w:w="2551" w:type="dxa"/>
            <w:gridSpan w:val="2"/>
            <w:tcBorders>
              <w:left w:val="nil"/>
              <w:bottom w:val="single" w:sz="4" w:space="0" w:color="auto"/>
              <w:right w:val="nil"/>
            </w:tcBorders>
            <w:shd w:val="clear" w:color="auto" w:fill="auto"/>
          </w:tcPr>
          <w:p w14:paraId="52EF7CC8" w14:textId="77777777" w:rsidR="00EE18FD" w:rsidRPr="00B85068" w:rsidRDefault="00EE18FD" w:rsidP="00745795">
            <w:pPr>
              <w:contextualSpacing/>
              <w:rPr>
                <w:color w:val="000000"/>
                <w:sz w:val="21"/>
                <w:szCs w:val="18"/>
              </w:rPr>
            </w:pPr>
            <w:r w:rsidRPr="00EE25BE">
              <w:rPr>
                <w:color w:val="000000"/>
                <w:sz w:val="21"/>
                <w:szCs w:val="20"/>
              </w:rPr>
              <w:t xml:space="preserve">Nelson, 2014; </w:t>
            </w:r>
            <w:proofErr w:type="spellStart"/>
            <w:r w:rsidRPr="00EE25BE">
              <w:rPr>
                <w:color w:val="000000"/>
                <w:sz w:val="21"/>
                <w:szCs w:val="20"/>
              </w:rPr>
              <w:t>Orser</w:t>
            </w:r>
            <w:proofErr w:type="spellEnd"/>
            <w:r w:rsidRPr="00EE25BE">
              <w:rPr>
                <w:color w:val="000000"/>
                <w:sz w:val="21"/>
                <w:szCs w:val="20"/>
              </w:rPr>
              <w:t xml:space="preserve"> &amp; Elliott, 2015; Lewis, 2014; </w:t>
            </w:r>
            <w:proofErr w:type="spellStart"/>
            <w:r w:rsidRPr="00EE25BE">
              <w:rPr>
                <w:color w:val="000000"/>
                <w:sz w:val="21"/>
                <w:szCs w:val="20"/>
              </w:rPr>
              <w:t>Harquail</w:t>
            </w:r>
            <w:proofErr w:type="spellEnd"/>
            <w:r w:rsidRPr="00EE25BE">
              <w:rPr>
                <w:color w:val="000000"/>
                <w:sz w:val="21"/>
                <w:szCs w:val="20"/>
              </w:rPr>
              <w:t>, 2019</w:t>
            </w:r>
            <w:r>
              <w:rPr>
                <w:color w:val="000000"/>
                <w:sz w:val="21"/>
                <w:szCs w:val="18"/>
              </w:rPr>
              <w:t xml:space="preserve"> </w:t>
            </w:r>
          </w:p>
        </w:tc>
      </w:tr>
    </w:tbl>
    <w:p w14:paraId="44C4E770" w14:textId="77777777" w:rsidR="00EE18FD" w:rsidRPr="00FE02A3" w:rsidRDefault="00EE18FD" w:rsidP="00EE18FD">
      <w:pPr>
        <w:pStyle w:val="ListParagraph"/>
        <w:numPr>
          <w:ilvl w:val="0"/>
          <w:numId w:val="44"/>
        </w:numPr>
        <w:snapToGrid w:val="0"/>
        <w:rPr>
          <w:color w:val="000000"/>
          <w:sz w:val="21"/>
          <w:szCs w:val="20"/>
        </w:rPr>
      </w:pPr>
      <w:r>
        <w:rPr>
          <w:color w:val="000000"/>
          <w:sz w:val="21"/>
          <w:szCs w:val="20"/>
        </w:rPr>
        <w:t>Elements a</w:t>
      </w:r>
      <w:r w:rsidRPr="00FE02A3">
        <w:rPr>
          <w:color w:val="000000"/>
          <w:sz w:val="21"/>
          <w:szCs w:val="20"/>
        </w:rPr>
        <w:t xml:space="preserve">dapted from </w:t>
      </w:r>
      <w:proofErr w:type="spellStart"/>
      <w:r w:rsidRPr="00FE02A3">
        <w:rPr>
          <w:color w:val="000000"/>
          <w:sz w:val="21"/>
          <w:szCs w:val="20"/>
        </w:rPr>
        <w:t>Kilty</w:t>
      </w:r>
      <w:proofErr w:type="spellEnd"/>
      <w:r w:rsidRPr="00FE02A3">
        <w:rPr>
          <w:color w:val="000000"/>
          <w:sz w:val="21"/>
          <w:szCs w:val="20"/>
        </w:rPr>
        <w:t xml:space="preserve"> (2014) and </w:t>
      </w:r>
      <w:proofErr w:type="spellStart"/>
      <w:r w:rsidRPr="00FE02A3">
        <w:rPr>
          <w:color w:val="000000"/>
          <w:sz w:val="21"/>
          <w:szCs w:val="20"/>
        </w:rPr>
        <w:t>Kilty</w:t>
      </w:r>
      <w:proofErr w:type="spellEnd"/>
      <w:r w:rsidRPr="00FE02A3">
        <w:rPr>
          <w:color w:val="000000"/>
          <w:sz w:val="21"/>
          <w:szCs w:val="20"/>
        </w:rPr>
        <w:t xml:space="preserve"> and </w:t>
      </w:r>
      <w:proofErr w:type="spellStart"/>
      <w:r w:rsidRPr="00FE02A3">
        <w:rPr>
          <w:color w:val="000000"/>
          <w:sz w:val="21"/>
          <w:szCs w:val="20"/>
        </w:rPr>
        <w:t>Crépault</w:t>
      </w:r>
      <w:proofErr w:type="spellEnd"/>
      <w:r w:rsidRPr="00FE02A3">
        <w:rPr>
          <w:color w:val="000000"/>
          <w:sz w:val="21"/>
          <w:szCs w:val="20"/>
        </w:rPr>
        <w:t xml:space="preserve"> (2016).</w:t>
      </w:r>
    </w:p>
    <w:p w14:paraId="4BFC6028" w14:textId="77777777" w:rsidR="00EE18FD" w:rsidRDefault="00EE18FD" w:rsidP="001B160F">
      <w:pPr>
        <w:sectPr w:rsidR="00EE18FD" w:rsidSect="001B160F">
          <w:headerReference w:type="default" r:id="rId14"/>
          <w:footerReference w:type="even" r:id="rId15"/>
          <w:footerReference w:type="default" r:id="rId16"/>
          <w:pgSz w:w="12240" w:h="15840"/>
          <w:pgMar w:top="1440" w:right="1440" w:bottom="1440" w:left="1440" w:header="708" w:footer="708" w:gutter="0"/>
          <w:cols w:space="708"/>
          <w:titlePg/>
          <w:docGrid w:linePitch="360"/>
        </w:sectPr>
      </w:pPr>
    </w:p>
    <w:p w14:paraId="150A29EC" w14:textId="77777777" w:rsidR="00EE18FD" w:rsidRPr="00942672" w:rsidRDefault="00EE18FD" w:rsidP="00EE18FD">
      <w:pPr>
        <w:spacing w:after="120"/>
        <w:ind w:right="-1276"/>
      </w:pPr>
      <w:r w:rsidRPr="00942672">
        <w:lastRenderedPageBreak/>
        <w:t xml:space="preserve">Table 2. </w:t>
      </w:r>
      <w:r>
        <w:t xml:space="preserve">Gender-responsive pandemic </w:t>
      </w:r>
      <w:r w:rsidRPr="00942672">
        <w:t xml:space="preserve">recovery </w:t>
      </w:r>
      <w:r>
        <w:t>measures</w:t>
      </w:r>
    </w:p>
    <w:tbl>
      <w:tblPr>
        <w:tblW w:w="13580" w:type="dxa"/>
        <w:tblLook w:val="04A0" w:firstRow="1" w:lastRow="0" w:firstColumn="1" w:lastColumn="0" w:noHBand="0" w:noVBand="1"/>
      </w:tblPr>
      <w:tblGrid>
        <w:gridCol w:w="8980"/>
        <w:gridCol w:w="2360"/>
        <w:gridCol w:w="2240"/>
      </w:tblGrid>
      <w:tr w:rsidR="00EE18FD" w:rsidRPr="00393E79" w14:paraId="40593695" w14:textId="77777777" w:rsidTr="00745795">
        <w:trPr>
          <w:trHeight w:val="193"/>
        </w:trPr>
        <w:tc>
          <w:tcPr>
            <w:tcW w:w="8980" w:type="dxa"/>
            <w:tcBorders>
              <w:top w:val="single" w:sz="4" w:space="0" w:color="auto"/>
              <w:left w:val="nil"/>
              <w:bottom w:val="single" w:sz="4" w:space="0" w:color="auto"/>
              <w:right w:val="nil"/>
            </w:tcBorders>
            <w:shd w:val="clear" w:color="auto" w:fill="auto"/>
            <w:hideMark/>
          </w:tcPr>
          <w:p w14:paraId="41F6EECB" w14:textId="77777777" w:rsidR="00EE18FD" w:rsidRPr="00393E79" w:rsidRDefault="00EE18FD" w:rsidP="00745795">
            <w:pPr>
              <w:spacing w:before="60" w:after="60"/>
              <w:rPr>
                <w:b/>
                <w:bCs/>
                <w:color w:val="000000"/>
                <w:sz w:val="22"/>
                <w:szCs w:val="22"/>
              </w:rPr>
            </w:pPr>
            <w:bookmarkStart w:id="2" w:name="_MON_1660283395"/>
            <w:bookmarkEnd w:id="2"/>
            <w:r w:rsidRPr="00393E79">
              <w:rPr>
                <w:b/>
                <w:bCs/>
                <w:color w:val="000000"/>
                <w:sz w:val="22"/>
                <w:szCs w:val="22"/>
              </w:rPr>
              <w:t xml:space="preserve">First order: verbatim statements </w:t>
            </w:r>
          </w:p>
        </w:tc>
        <w:tc>
          <w:tcPr>
            <w:tcW w:w="2360" w:type="dxa"/>
            <w:tcBorders>
              <w:top w:val="single" w:sz="4" w:space="0" w:color="auto"/>
              <w:left w:val="nil"/>
              <w:bottom w:val="single" w:sz="4" w:space="0" w:color="auto"/>
              <w:right w:val="nil"/>
            </w:tcBorders>
            <w:shd w:val="clear" w:color="auto" w:fill="auto"/>
            <w:hideMark/>
          </w:tcPr>
          <w:p w14:paraId="3933B418" w14:textId="77777777" w:rsidR="00EE18FD" w:rsidRPr="00393E79" w:rsidRDefault="00EE18FD" w:rsidP="00745795">
            <w:pPr>
              <w:spacing w:before="60" w:after="60"/>
              <w:rPr>
                <w:b/>
                <w:bCs/>
                <w:color w:val="000000"/>
                <w:sz w:val="22"/>
                <w:szCs w:val="22"/>
              </w:rPr>
            </w:pPr>
            <w:r w:rsidRPr="00393E79">
              <w:rPr>
                <w:b/>
                <w:bCs/>
                <w:color w:val="000000"/>
                <w:sz w:val="22"/>
                <w:szCs w:val="22"/>
              </w:rPr>
              <w:t>2nd order: Subthemes</w:t>
            </w:r>
          </w:p>
        </w:tc>
        <w:tc>
          <w:tcPr>
            <w:tcW w:w="2240" w:type="dxa"/>
            <w:tcBorders>
              <w:top w:val="single" w:sz="4" w:space="0" w:color="auto"/>
              <w:left w:val="nil"/>
              <w:bottom w:val="single" w:sz="4" w:space="0" w:color="auto"/>
              <w:right w:val="nil"/>
            </w:tcBorders>
            <w:shd w:val="clear" w:color="auto" w:fill="auto"/>
            <w:hideMark/>
          </w:tcPr>
          <w:p w14:paraId="0F90C81A" w14:textId="77777777" w:rsidR="00EE18FD" w:rsidRPr="00393E79" w:rsidRDefault="00EE18FD" w:rsidP="00745795">
            <w:pPr>
              <w:spacing w:before="60" w:after="60"/>
              <w:rPr>
                <w:b/>
                <w:bCs/>
                <w:color w:val="000000"/>
                <w:sz w:val="22"/>
                <w:szCs w:val="22"/>
              </w:rPr>
            </w:pPr>
            <w:r w:rsidRPr="00393E79">
              <w:rPr>
                <w:b/>
                <w:bCs/>
                <w:color w:val="000000"/>
                <w:sz w:val="22"/>
                <w:szCs w:val="22"/>
              </w:rPr>
              <w:t xml:space="preserve">3rd order: Domains </w:t>
            </w:r>
          </w:p>
        </w:tc>
      </w:tr>
      <w:tr w:rsidR="00EE18FD" w:rsidRPr="00393E79" w14:paraId="331D2A73" w14:textId="77777777" w:rsidTr="00745795">
        <w:trPr>
          <w:trHeight w:val="301"/>
        </w:trPr>
        <w:tc>
          <w:tcPr>
            <w:tcW w:w="8980" w:type="dxa"/>
            <w:tcBorders>
              <w:top w:val="single" w:sz="4" w:space="0" w:color="auto"/>
              <w:left w:val="nil"/>
              <w:bottom w:val="nil"/>
              <w:right w:val="nil"/>
            </w:tcBorders>
            <w:shd w:val="clear" w:color="auto" w:fill="auto"/>
            <w:hideMark/>
          </w:tcPr>
          <w:p w14:paraId="398FC141" w14:textId="77777777" w:rsidR="00EE18FD" w:rsidRPr="006F1BD4" w:rsidRDefault="00EE18FD" w:rsidP="00745795">
            <w:pPr>
              <w:rPr>
                <w:color w:val="000000"/>
                <w:sz w:val="20"/>
                <w:szCs w:val="20"/>
              </w:rPr>
            </w:pPr>
            <w:r w:rsidRPr="006F1BD4">
              <w:rPr>
                <w:color w:val="000000"/>
                <w:sz w:val="20"/>
                <w:szCs w:val="20"/>
              </w:rPr>
              <w:t>... implement recovery strategies rooted in intersectional feminism, anti-oppression and decoloni</w:t>
            </w:r>
            <w:r>
              <w:rPr>
                <w:color w:val="000000"/>
                <w:sz w:val="20"/>
                <w:szCs w:val="20"/>
              </w:rPr>
              <w:t>s</w:t>
            </w:r>
            <w:r w:rsidRPr="006F1BD4">
              <w:rPr>
                <w:color w:val="000000"/>
                <w:sz w:val="20"/>
                <w:szCs w:val="20"/>
              </w:rPr>
              <w:t>ation (C3)</w:t>
            </w:r>
          </w:p>
        </w:tc>
        <w:tc>
          <w:tcPr>
            <w:tcW w:w="2360" w:type="dxa"/>
            <w:tcBorders>
              <w:top w:val="single" w:sz="4" w:space="0" w:color="auto"/>
              <w:left w:val="nil"/>
              <w:bottom w:val="nil"/>
              <w:right w:val="nil"/>
            </w:tcBorders>
            <w:shd w:val="clear" w:color="auto" w:fill="auto"/>
            <w:hideMark/>
          </w:tcPr>
          <w:p w14:paraId="5AF5AD42" w14:textId="77777777" w:rsidR="00EE18FD" w:rsidRPr="00393E79" w:rsidRDefault="00EE18FD" w:rsidP="00745795">
            <w:pPr>
              <w:rPr>
                <w:color w:val="000000"/>
                <w:sz w:val="20"/>
                <w:szCs w:val="20"/>
              </w:rPr>
            </w:pPr>
            <w:r>
              <w:rPr>
                <w:color w:val="000000"/>
                <w:sz w:val="20"/>
                <w:szCs w:val="20"/>
              </w:rPr>
              <w:t>Recognise root causes of oppression</w:t>
            </w:r>
          </w:p>
        </w:tc>
        <w:tc>
          <w:tcPr>
            <w:tcW w:w="2240" w:type="dxa"/>
            <w:tcBorders>
              <w:top w:val="single" w:sz="4" w:space="0" w:color="auto"/>
              <w:left w:val="nil"/>
              <w:bottom w:val="nil"/>
              <w:right w:val="nil"/>
            </w:tcBorders>
            <w:shd w:val="clear" w:color="auto" w:fill="auto"/>
            <w:hideMark/>
          </w:tcPr>
          <w:p w14:paraId="1E04A43B" w14:textId="77777777" w:rsidR="00EE18FD" w:rsidRPr="00393E79" w:rsidRDefault="00EE18FD" w:rsidP="00745795">
            <w:pPr>
              <w:rPr>
                <w:color w:val="000000"/>
                <w:sz w:val="20"/>
                <w:szCs w:val="20"/>
              </w:rPr>
            </w:pPr>
            <w:r>
              <w:rPr>
                <w:color w:val="000000"/>
                <w:sz w:val="20"/>
                <w:szCs w:val="20"/>
              </w:rPr>
              <w:t>Intersectional influences</w:t>
            </w:r>
          </w:p>
        </w:tc>
      </w:tr>
      <w:tr w:rsidR="00EE18FD" w:rsidRPr="00393E79" w14:paraId="38EBE436" w14:textId="77777777" w:rsidTr="00745795">
        <w:trPr>
          <w:trHeight w:val="560"/>
        </w:trPr>
        <w:tc>
          <w:tcPr>
            <w:tcW w:w="8980" w:type="dxa"/>
            <w:tcBorders>
              <w:top w:val="nil"/>
              <w:left w:val="nil"/>
              <w:bottom w:val="nil"/>
              <w:right w:val="nil"/>
            </w:tcBorders>
            <w:shd w:val="clear" w:color="auto" w:fill="auto"/>
            <w:hideMark/>
          </w:tcPr>
          <w:p w14:paraId="00F24E68" w14:textId="77777777" w:rsidR="00EE18FD" w:rsidRPr="006F1BD4" w:rsidRDefault="00EE18FD" w:rsidP="00745795">
            <w:pPr>
              <w:rPr>
                <w:color w:val="000000"/>
                <w:sz w:val="20"/>
                <w:szCs w:val="20"/>
              </w:rPr>
            </w:pPr>
            <w:r w:rsidRPr="006F1BD4">
              <w:rPr>
                <w:color w:val="000000"/>
                <w:sz w:val="20"/>
                <w:szCs w:val="20"/>
              </w:rPr>
              <w:t>Increase awareness of different business models such as co-operative enterprises which privilege voluntary and open membership; democratic member control and member economic participation. (C1)</w:t>
            </w:r>
          </w:p>
        </w:tc>
        <w:tc>
          <w:tcPr>
            <w:tcW w:w="2360" w:type="dxa"/>
            <w:tcBorders>
              <w:top w:val="nil"/>
              <w:left w:val="nil"/>
              <w:bottom w:val="nil"/>
              <w:right w:val="nil"/>
            </w:tcBorders>
            <w:shd w:val="clear" w:color="auto" w:fill="auto"/>
            <w:hideMark/>
          </w:tcPr>
          <w:p w14:paraId="6AB689FA" w14:textId="77777777" w:rsidR="00EE18FD" w:rsidRPr="00393E79" w:rsidRDefault="00EE18FD" w:rsidP="00745795">
            <w:pPr>
              <w:rPr>
                <w:color w:val="000000"/>
                <w:sz w:val="20"/>
                <w:szCs w:val="20"/>
              </w:rPr>
            </w:pPr>
            <w:r>
              <w:rPr>
                <w:color w:val="000000"/>
                <w:sz w:val="20"/>
                <w:szCs w:val="20"/>
              </w:rPr>
              <w:t>A</w:t>
            </w:r>
            <w:r w:rsidRPr="00393E79">
              <w:rPr>
                <w:color w:val="000000"/>
                <w:sz w:val="20"/>
                <w:szCs w:val="20"/>
              </w:rPr>
              <w:t>lternative</w:t>
            </w:r>
            <w:r>
              <w:rPr>
                <w:color w:val="000000"/>
                <w:sz w:val="20"/>
                <w:szCs w:val="20"/>
              </w:rPr>
              <w:t xml:space="preserve"> </w:t>
            </w:r>
            <w:r w:rsidRPr="00393E79">
              <w:rPr>
                <w:color w:val="000000"/>
                <w:sz w:val="20"/>
                <w:szCs w:val="20"/>
              </w:rPr>
              <w:t>business models</w:t>
            </w:r>
          </w:p>
        </w:tc>
        <w:tc>
          <w:tcPr>
            <w:tcW w:w="2240" w:type="dxa"/>
            <w:tcBorders>
              <w:top w:val="nil"/>
              <w:left w:val="nil"/>
              <w:bottom w:val="nil"/>
              <w:right w:val="nil"/>
            </w:tcBorders>
            <w:shd w:val="clear" w:color="auto" w:fill="auto"/>
            <w:hideMark/>
          </w:tcPr>
          <w:p w14:paraId="77D81D60" w14:textId="77777777" w:rsidR="00EE18FD" w:rsidRPr="00393E79" w:rsidRDefault="00EE18FD" w:rsidP="00745795">
            <w:pPr>
              <w:rPr>
                <w:color w:val="000000"/>
                <w:sz w:val="20"/>
                <w:szCs w:val="20"/>
              </w:rPr>
            </w:pPr>
            <w:r>
              <w:rPr>
                <w:color w:val="000000"/>
                <w:sz w:val="20"/>
                <w:szCs w:val="20"/>
              </w:rPr>
              <w:t>Invest in s</w:t>
            </w:r>
            <w:r w:rsidRPr="00393E79">
              <w:rPr>
                <w:color w:val="000000"/>
                <w:sz w:val="20"/>
                <w:szCs w:val="20"/>
              </w:rPr>
              <w:t>ocial and economic outcomes</w:t>
            </w:r>
          </w:p>
        </w:tc>
      </w:tr>
      <w:tr w:rsidR="00EE18FD" w:rsidRPr="00393E79" w14:paraId="400C61B0" w14:textId="77777777" w:rsidTr="00745795">
        <w:trPr>
          <w:trHeight w:val="560"/>
        </w:trPr>
        <w:tc>
          <w:tcPr>
            <w:tcW w:w="8980" w:type="dxa"/>
            <w:tcBorders>
              <w:top w:val="nil"/>
              <w:left w:val="nil"/>
              <w:bottom w:val="nil"/>
              <w:right w:val="nil"/>
            </w:tcBorders>
            <w:shd w:val="clear" w:color="auto" w:fill="auto"/>
            <w:hideMark/>
          </w:tcPr>
          <w:p w14:paraId="4C9EBAAB" w14:textId="77777777" w:rsidR="00EE18FD" w:rsidRPr="006F1BD4" w:rsidRDefault="00EE18FD" w:rsidP="00745795">
            <w:pPr>
              <w:rPr>
                <w:color w:val="000000"/>
                <w:sz w:val="20"/>
                <w:szCs w:val="20"/>
              </w:rPr>
            </w:pPr>
            <w:r w:rsidRPr="006F1BD4">
              <w:rPr>
                <w:color w:val="000000"/>
                <w:sz w:val="20"/>
                <w:szCs w:val="20"/>
              </w:rPr>
              <w:t>Increased support and investment in social entrepreneurs, social cooperatives</w:t>
            </w:r>
            <w:r>
              <w:rPr>
                <w:color w:val="000000"/>
                <w:sz w:val="20"/>
                <w:szCs w:val="20"/>
              </w:rPr>
              <w:t>,</w:t>
            </w:r>
            <w:r w:rsidRPr="006F1BD4">
              <w:rPr>
                <w:color w:val="000000"/>
                <w:sz w:val="20"/>
                <w:szCs w:val="20"/>
              </w:rPr>
              <w:t xml:space="preserve"> and social enterprises (C3)</w:t>
            </w:r>
          </w:p>
        </w:tc>
        <w:tc>
          <w:tcPr>
            <w:tcW w:w="2360" w:type="dxa"/>
            <w:tcBorders>
              <w:top w:val="nil"/>
              <w:left w:val="nil"/>
              <w:bottom w:val="nil"/>
              <w:right w:val="nil"/>
            </w:tcBorders>
            <w:shd w:val="clear" w:color="auto" w:fill="auto"/>
            <w:hideMark/>
          </w:tcPr>
          <w:p w14:paraId="006BFDCE" w14:textId="77777777" w:rsidR="00EE18FD" w:rsidRPr="00393E79" w:rsidRDefault="00EE18FD" w:rsidP="00745795">
            <w:pPr>
              <w:rPr>
                <w:color w:val="000000"/>
                <w:sz w:val="20"/>
                <w:szCs w:val="20"/>
              </w:rPr>
            </w:pPr>
            <w:r>
              <w:rPr>
                <w:color w:val="000000"/>
                <w:sz w:val="20"/>
                <w:szCs w:val="20"/>
              </w:rPr>
              <w:t xml:space="preserve">Shared value </w:t>
            </w:r>
            <w:r w:rsidRPr="00393E79">
              <w:rPr>
                <w:color w:val="000000"/>
                <w:sz w:val="20"/>
                <w:szCs w:val="20"/>
              </w:rPr>
              <w:t>enterprise</w:t>
            </w:r>
            <w:r>
              <w:rPr>
                <w:color w:val="000000"/>
                <w:sz w:val="20"/>
                <w:szCs w:val="20"/>
              </w:rPr>
              <w:t>s</w:t>
            </w:r>
          </w:p>
        </w:tc>
        <w:tc>
          <w:tcPr>
            <w:tcW w:w="2240" w:type="dxa"/>
            <w:tcBorders>
              <w:top w:val="nil"/>
              <w:left w:val="nil"/>
              <w:bottom w:val="nil"/>
              <w:right w:val="nil"/>
            </w:tcBorders>
            <w:shd w:val="clear" w:color="auto" w:fill="auto"/>
            <w:hideMark/>
          </w:tcPr>
          <w:p w14:paraId="49F4667B" w14:textId="77777777" w:rsidR="00EE18FD" w:rsidRPr="00393E79" w:rsidRDefault="00EE18FD" w:rsidP="00745795">
            <w:pPr>
              <w:rPr>
                <w:color w:val="000000"/>
                <w:sz w:val="20"/>
                <w:szCs w:val="20"/>
              </w:rPr>
            </w:pPr>
            <w:r w:rsidRPr="00393E79">
              <w:rPr>
                <w:color w:val="000000"/>
                <w:sz w:val="20"/>
                <w:szCs w:val="20"/>
              </w:rPr>
              <w:t xml:space="preserve"> </w:t>
            </w:r>
          </w:p>
        </w:tc>
      </w:tr>
      <w:tr w:rsidR="00EE18FD" w:rsidRPr="00393E79" w14:paraId="59302519" w14:textId="77777777" w:rsidTr="00745795">
        <w:trPr>
          <w:trHeight w:val="560"/>
        </w:trPr>
        <w:tc>
          <w:tcPr>
            <w:tcW w:w="8980" w:type="dxa"/>
            <w:tcBorders>
              <w:top w:val="nil"/>
              <w:left w:val="nil"/>
              <w:bottom w:val="nil"/>
              <w:right w:val="nil"/>
            </w:tcBorders>
            <w:shd w:val="clear" w:color="auto" w:fill="auto"/>
            <w:hideMark/>
          </w:tcPr>
          <w:p w14:paraId="360C7C8C" w14:textId="77777777" w:rsidR="00EE18FD" w:rsidRPr="006F1BD4" w:rsidRDefault="00EE18FD" w:rsidP="00745795">
            <w:pPr>
              <w:rPr>
                <w:color w:val="000000"/>
                <w:sz w:val="20"/>
                <w:szCs w:val="20"/>
              </w:rPr>
            </w:pPr>
            <w:r w:rsidRPr="006F1BD4">
              <w:rPr>
                <w:color w:val="000000"/>
                <w:sz w:val="20"/>
                <w:szCs w:val="20"/>
              </w:rPr>
              <w:t>Lower the uniform national eligibility requirement of Employment Insurance to 360 hours and increase the benefit rate from 55% to 85% of earnings for low-income earners. (C1)</w:t>
            </w:r>
          </w:p>
        </w:tc>
        <w:tc>
          <w:tcPr>
            <w:tcW w:w="2360" w:type="dxa"/>
            <w:tcBorders>
              <w:top w:val="nil"/>
              <w:left w:val="nil"/>
              <w:bottom w:val="nil"/>
              <w:right w:val="nil"/>
            </w:tcBorders>
            <w:shd w:val="clear" w:color="auto" w:fill="auto"/>
            <w:hideMark/>
          </w:tcPr>
          <w:p w14:paraId="1812D802" w14:textId="77777777" w:rsidR="00EE18FD" w:rsidRPr="00393E79" w:rsidRDefault="00EE18FD" w:rsidP="00745795">
            <w:pPr>
              <w:rPr>
                <w:color w:val="000000"/>
                <w:sz w:val="20"/>
                <w:szCs w:val="20"/>
              </w:rPr>
            </w:pPr>
            <w:r>
              <w:rPr>
                <w:color w:val="000000"/>
                <w:sz w:val="20"/>
                <w:szCs w:val="20"/>
              </w:rPr>
              <w:t>Criteria for unemployment insurance e</w:t>
            </w:r>
            <w:r w:rsidRPr="00393E79">
              <w:rPr>
                <w:color w:val="000000"/>
                <w:sz w:val="20"/>
                <w:szCs w:val="20"/>
              </w:rPr>
              <w:t>ligibility</w:t>
            </w:r>
          </w:p>
        </w:tc>
        <w:tc>
          <w:tcPr>
            <w:tcW w:w="2240" w:type="dxa"/>
            <w:tcBorders>
              <w:top w:val="nil"/>
              <w:left w:val="nil"/>
              <w:bottom w:val="nil"/>
              <w:right w:val="nil"/>
            </w:tcBorders>
            <w:shd w:val="clear" w:color="auto" w:fill="auto"/>
            <w:hideMark/>
          </w:tcPr>
          <w:p w14:paraId="25F593B4" w14:textId="77777777" w:rsidR="00EE18FD" w:rsidRPr="00393E79" w:rsidRDefault="00EE18FD" w:rsidP="00745795">
            <w:pPr>
              <w:rPr>
                <w:color w:val="000000"/>
                <w:sz w:val="20"/>
                <w:szCs w:val="20"/>
              </w:rPr>
            </w:pPr>
            <w:r w:rsidRPr="00393E79">
              <w:rPr>
                <w:color w:val="000000"/>
                <w:sz w:val="20"/>
                <w:szCs w:val="20"/>
              </w:rPr>
              <w:t>Economic security</w:t>
            </w:r>
          </w:p>
        </w:tc>
      </w:tr>
      <w:tr w:rsidR="00EE18FD" w:rsidRPr="00393E79" w14:paraId="77D457CE" w14:textId="77777777" w:rsidTr="00745795">
        <w:trPr>
          <w:trHeight w:val="560"/>
        </w:trPr>
        <w:tc>
          <w:tcPr>
            <w:tcW w:w="8980" w:type="dxa"/>
            <w:tcBorders>
              <w:top w:val="nil"/>
              <w:left w:val="nil"/>
              <w:bottom w:val="nil"/>
              <w:right w:val="nil"/>
            </w:tcBorders>
            <w:shd w:val="clear" w:color="auto" w:fill="auto"/>
            <w:hideMark/>
          </w:tcPr>
          <w:p w14:paraId="270C1F94" w14:textId="77777777" w:rsidR="00EE18FD" w:rsidRPr="006F1BD4" w:rsidRDefault="00EE18FD" w:rsidP="00745795">
            <w:pPr>
              <w:rPr>
                <w:color w:val="000000"/>
                <w:sz w:val="20"/>
                <w:szCs w:val="20"/>
              </w:rPr>
            </w:pPr>
            <w:r w:rsidRPr="006F1BD4">
              <w:rPr>
                <w:color w:val="000000"/>
                <w:sz w:val="20"/>
                <w:szCs w:val="20"/>
              </w:rPr>
              <w:t>Raise the minimum wage...improve income assistance rates; respond to the demands for migrants’ rights including recogni</w:t>
            </w:r>
            <w:r>
              <w:rPr>
                <w:color w:val="000000"/>
                <w:sz w:val="20"/>
                <w:szCs w:val="20"/>
              </w:rPr>
              <w:t>s</w:t>
            </w:r>
            <w:r w:rsidRPr="006F1BD4">
              <w:rPr>
                <w:color w:val="000000"/>
                <w:sz w:val="20"/>
                <w:szCs w:val="20"/>
              </w:rPr>
              <w:t>ing foreign credentials, full status for all, providing paid sick days and paid family leave</w:t>
            </w:r>
            <w:r>
              <w:rPr>
                <w:color w:val="000000"/>
                <w:sz w:val="20"/>
                <w:szCs w:val="20"/>
              </w:rPr>
              <w:t>.</w:t>
            </w:r>
          </w:p>
        </w:tc>
        <w:tc>
          <w:tcPr>
            <w:tcW w:w="2360" w:type="dxa"/>
            <w:tcBorders>
              <w:top w:val="nil"/>
              <w:left w:val="nil"/>
              <w:bottom w:val="nil"/>
              <w:right w:val="nil"/>
            </w:tcBorders>
            <w:shd w:val="clear" w:color="auto" w:fill="auto"/>
            <w:hideMark/>
          </w:tcPr>
          <w:p w14:paraId="17242F09" w14:textId="77777777" w:rsidR="00EE18FD" w:rsidRPr="00393E79" w:rsidRDefault="00EE18FD" w:rsidP="00745795">
            <w:pPr>
              <w:rPr>
                <w:color w:val="000000"/>
                <w:sz w:val="20"/>
                <w:szCs w:val="20"/>
              </w:rPr>
            </w:pPr>
            <w:r w:rsidRPr="00393E79">
              <w:rPr>
                <w:color w:val="000000"/>
                <w:sz w:val="20"/>
                <w:szCs w:val="20"/>
              </w:rPr>
              <w:t xml:space="preserve">Minimum wages, </w:t>
            </w:r>
            <w:r>
              <w:rPr>
                <w:color w:val="000000"/>
                <w:sz w:val="20"/>
                <w:szCs w:val="20"/>
              </w:rPr>
              <w:t xml:space="preserve">foreign </w:t>
            </w:r>
            <w:r w:rsidRPr="00393E79">
              <w:rPr>
                <w:color w:val="000000"/>
                <w:sz w:val="20"/>
                <w:szCs w:val="20"/>
              </w:rPr>
              <w:t>credentials</w:t>
            </w:r>
          </w:p>
        </w:tc>
        <w:tc>
          <w:tcPr>
            <w:tcW w:w="2240" w:type="dxa"/>
            <w:tcBorders>
              <w:top w:val="nil"/>
              <w:left w:val="nil"/>
              <w:bottom w:val="nil"/>
              <w:right w:val="nil"/>
            </w:tcBorders>
            <w:shd w:val="clear" w:color="auto" w:fill="auto"/>
            <w:hideMark/>
          </w:tcPr>
          <w:p w14:paraId="622D1D92" w14:textId="77777777" w:rsidR="00EE18FD" w:rsidRPr="00393E79" w:rsidRDefault="00EE18FD" w:rsidP="00745795">
            <w:pPr>
              <w:rPr>
                <w:color w:val="000000"/>
                <w:sz w:val="20"/>
                <w:szCs w:val="20"/>
              </w:rPr>
            </w:pPr>
          </w:p>
        </w:tc>
      </w:tr>
      <w:tr w:rsidR="00EE18FD" w:rsidRPr="00393E79" w14:paraId="43AF088B" w14:textId="77777777" w:rsidTr="00745795">
        <w:trPr>
          <w:trHeight w:val="560"/>
        </w:trPr>
        <w:tc>
          <w:tcPr>
            <w:tcW w:w="8980" w:type="dxa"/>
            <w:tcBorders>
              <w:top w:val="nil"/>
              <w:left w:val="nil"/>
              <w:bottom w:val="nil"/>
              <w:right w:val="nil"/>
            </w:tcBorders>
            <w:shd w:val="clear" w:color="auto" w:fill="auto"/>
            <w:hideMark/>
          </w:tcPr>
          <w:p w14:paraId="28397E03" w14:textId="77777777" w:rsidR="00EE18FD" w:rsidRPr="006F1BD4" w:rsidRDefault="00EE18FD" w:rsidP="00745795">
            <w:pPr>
              <w:rPr>
                <w:color w:val="000000"/>
                <w:sz w:val="20"/>
                <w:szCs w:val="20"/>
              </w:rPr>
            </w:pPr>
            <w:r w:rsidRPr="006F1BD4">
              <w:rPr>
                <w:color w:val="000000"/>
                <w:sz w:val="20"/>
                <w:szCs w:val="20"/>
              </w:rPr>
              <w:t>Targeted support to business owners from underrepresented groups...in the form of emergency funding, as well as skills training and mentorship. (C1)</w:t>
            </w:r>
          </w:p>
        </w:tc>
        <w:tc>
          <w:tcPr>
            <w:tcW w:w="2360" w:type="dxa"/>
            <w:tcBorders>
              <w:top w:val="nil"/>
              <w:left w:val="nil"/>
              <w:bottom w:val="nil"/>
              <w:right w:val="nil"/>
            </w:tcBorders>
            <w:shd w:val="clear" w:color="auto" w:fill="auto"/>
            <w:hideMark/>
          </w:tcPr>
          <w:p w14:paraId="40A3FC73" w14:textId="77777777" w:rsidR="00EE18FD" w:rsidRPr="00393E79" w:rsidRDefault="00EE18FD" w:rsidP="00745795">
            <w:pPr>
              <w:rPr>
                <w:color w:val="000000"/>
                <w:sz w:val="20"/>
                <w:szCs w:val="20"/>
              </w:rPr>
            </w:pPr>
            <w:r>
              <w:rPr>
                <w:color w:val="000000"/>
                <w:sz w:val="20"/>
                <w:szCs w:val="20"/>
              </w:rPr>
              <w:t>Targeted relief</w:t>
            </w:r>
            <w:r w:rsidRPr="00393E79">
              <w:rPr>
                <w:color w:val="000000"/>
                <w:sz w:val="20"/>
                <w:szCs w:val="20"/>
              </w:rPr>
              <w:t xml:space="preserve"> funding</w:t>
            </w:r>
          </w:p>
        </w:tc>
        <w:tc>
          <w:tcPr>
            <w:tcW w:w="2240" w:type="dxa"/>
            <w:tcBorders>
              <w:top w:val="nil"/>
              <w:left w:val="nil"/>
              <w:bottom w:val="nil"/>
              <w:right w:val="nil"/>
            </w:tcBorders>
            <w:shd w:val="clear" w:color="auto" w:fill="auto"/>
            <w:hideMark/>
          </w:tcPr>
          <w:p w14:paraId="6E18ACEE" w14:textId="77777777" w:rsidR="00EE18FD" w:rsidRPr="00393E79" w:rsidRDefault="00EE18FD" w:rsidP="00745795">
            <w:pPr>
              <w:rPr>
                <w:color w:val="000000"/>
                <w:sz w:val="20"/>
                <w:szCs w:val="20"/>
              </w:rPr>
            </w:pPr>
          </w:p>
        </w:tc>
      </w:tr>
      <w:tr w:rsidR="00EE18FD" w:rsidRPr="00393E79" w14:paraId="0FDB635B" w14:textId="77777777" w:rsidTr="00745795">
        <w:trPr>
          <w:trHeight w:val="512"/>
        </w:trPr>
        <w:tc>
          <w:tcPr>
            <w:tcW w:w="8980" w:type="dxa"/>
            <w:tcBorders>
              <w:top w:val="nil"/>
              <w:left w:val="nil"/>
              <w:bottom w:val="nil"/>
              <w:right w:val="nil"/>
            </w:tcBorders>
            <w:shd w:val="clear" w:color="auto" w:fill="auto"/>
            <w:hideMark/>
          </w:tcPr>
          <w:p w14:paraId="2CE78D7F" w14:textId="77777777" w:rsidR="00EE18FD" w:rsidRPr="006F1BD4" w:rsidRDefault="00EE18FD" w:rsidP="00745795">
            <w:pPr>
              <w:rPr>
                <w:color w:val="000000"/>
                <w:sz w:val="20"/>
                <w:szCs w:val="20"/>
              </w:rPr>
            </w:pPr>
            <w:r w:rsidRPr="006F1BD4">
              <w:rPr>
                <w:color w:val="000000"/>
                <w:sz w:val="20"/>
                <w:szCs w:val="20"/>
              </w:rPr>
              <w:t>Legislate at least 14 paid sick days and paid family leave for all workers</w:t>
            </w:r>
            <w:r>
              <w:rPr>
                <w:color w:val="000000"/>
                <w:sz w:val="20"/>
                <w:szCs w:val="20"/>
              </w:rPr>
              <w:t>.</w:t>
            </w:r>
            <w:r w:rsidRPr="006F1BD4">
              <w:rPr>
                <w:color w:val="000000"/>
                <w:sz w:val="20"/>
                <w:szCs w:val="20"/>
              </w:rPr>
              <w:t xml:space="preserve"> (C1)</w:t>
            </w:r>
          </w:p>
        </w:tc>
        <w:tc>
          <w:tcPr>
            <w:tcW w:w="2360" w:type="dxa"/>
            <w:tcBorders>
              <w:top w:val="nil"/>
              <w:left w:val="nil"/>
              <w:bottom w:val="nil"/>
              <w:right w:val="nil"/>
            </w:tcBorders>
            <w:shd w:val="clear" w:color="auto" w:fill="auto"/>
            <w:hideMark/>
          </w:tcPr>
          <w:p w14:paraId="4A2C022D" w14:textId="77777777" w:rsidR="00EE18FD" w:rsidRPr="00393E79" w:rsidRDefault="00EE18FD" w:rsidP="00745795">
            <w:pPr>
              <w:rPr>
                <w:color w:val="000000"/>
                <w:sz w:val="20"/>
                <w:szCs w:val="20"/>
              </w:rPr>
            </w:pPr>
            <w:r>
              <w:rPr>
                <w:color w:val="000000"/>
                <w:sz w:val="20"/>
                <w:szCs w:val="20"/>
              </w:rPr>
              <w:t>Benefits: s</w:t>
            </w:r>
            <w:r w:rsidRPr="00393E79">
              <w:rPr>
                <w:color w:val="000000"/>
                <w:sz w:val="20"/>
                <w:szCs w:val="20"/>
              </w:rPr>
              <w:t xml:space="preserve">ick days, </w:t>
            </w:r>
            <w:r>
              <w:rPr>
                <w:color w:val="000000"/>
                <w:sz w:val="20"/>
                <w:szCs w:val="20"/>
              </w:rPr>
              <w:t>parental</w:t>
            </w:r>
            <w:r w:rsidRPr="00393E79">
              <w:rPr>
                <w:color w:val="000000"/>
                <w:sz w:val="20"/>
                <w:szCs w:val="20"/>
              </w:rPr>
              <w:t xml:space="preserve"> leave</w:t>
            </w:r>
          </w:p>
        </w:tc>
        <w:tc>
          <w:tcPr>
            <w:tcW w:w="2240" w:type="dxa"/>
            <w:tcBorders>
              <w:top w:val="nil"/>
              <w:left w:val="nil"/>
              <w:bottom w:val="nil"/>
              <w:right w:val="nil"/>
            </w:tcBorders>
            <w:shd w:val="clear" w:color="auto" w:fill="auto"/>
            <w:noWrap/>
            <w:vAlign w:val="bottom"/>
            <w:hideMark/>
          </w:tcPr>
          <w:p w14:paraId="155C454D" w14:textId="77777777" w:rsidR="00EE18FD" w:rsidRPr="00393E79" w:rsidRDefault="00EE18FD" w:rsidP="00745795">
            <w:pPr>
              <w:rPr>
                <w:color w:val="000000"/>
                <w:sz w:val="20"/>
                <w:szCs w:val="20"/>
              </w:rPr>
            </w:pPr>
          </w:p>
        </w:tc>
      </w:tr>
      <w:tr w:rsidR="00EE18FD" w:rsidRPr="00393E79" w14:paraId="581A5788" w14:textId="77777777" w:rsidTr="00745795">
        <w:trPr>
          <w:trHeight w:val="412"/>
        </w:trPr>
        <w:tc>
          <w:tcPr>
            <w:tcW w:w="8980" w:type="dxa"/>
            <w:tcBorders>
              <w:top w:val="nil"/>
              <w:left w:val="nil"/>
              <w:bottom w:val="nil"/>
              <w:right w:val="nil"/>
            </w:tcBorders>
            <w:shd w:val="clear" w:color="auto" w:fill="auto"/>
            <w:hideMark/>
          </w:tcPr>
          <w:p w14:paraId="6E7F5F5D" w14:textId="77777777" w:rsidR="00EE18FD" w:rsidRPr="006F1BD4" w:rsidRDefault="00EE18FD" w:rsidP="00745795">
            <w:pPr>
              <w:rPr>
                <w:color w:val="000000"/>
                <w:sz w:val="20"/>
                <w:szCs w:val="20"/>
              </w:rPr>
            </w:pPr>
            <w:r w:rsidRPr="006F1BD4">
              <w:rPr>
                <w:color w:val="000000"/>
                <w:sz w:val="20"/>
                <w:szCs w:val="20"/>
              </w:rPr>
              <w:t>Direct funding to businesses in women-majority sectors</w:t>
            </w:r>
            <w:r>
              <w:rPr>
                <w:color w:val="000000"/>
                <w:sz w:val="20"/>
                <w:szCs w:val="20"/>
              </w:rPr>
              <w:t>.</w:t>
            </w:r>
            <w:r w:rsidRPr="006F1BD4">
              <w:rPr>
                <w:color w:val="000000"/>
                <w:sz w:val="20"/>
                <w:szCs w:val="20"/>
              </w:rPr>
              <w:t xml:space="preserve"> (C1)</w:t>
            </w:r>
          </w:p>
        </w:tc>
        <w:tc>
          <w:tcPr>
            <w:tcW w:w="2360" w:type="dxa"/>
            <w:tcBorders>
              <w:top w:val="nil"/>
              <w:left w:val="nil"/>
              <w:bottom w:val="nil"/>
              <w:right w:val="nil"/>
            </w:tcBorders>
            <w:shd w:val="clear" w:color="auto" w:fill="auto"/>
            <w:hideMark/>
          </w:tcPr>
          <w:p w14:paraId="277A73AA" w14:textId="77777777" w:rsidR="00EE18FD" w:rsidRPr="00393E79" w:rsidRDefault="00EE18FD" w:rsidP="00745795">
            <w:pPr>
              <w:rPr>
                <w:color w:val="000000"/>
                <w:sz w:val="20"/>
                <w:szCs w:val="20"/>
              </w:rPr>
            </w:pPr>
            <w:r w:rsidRPr="00393E79">
              <w:rPr>
                <w:color w:val="000000"/>
                <w:sz w:val="20"/>
                <w:szCs w:val="20"/>
              </w:rPr>
              <w:t>Targeted sector funding</w:t>
            </w:r>
          </w:p>
        </w:tc>
        <w:tc>
          <w:tcPr>
            <w:tcW w:w="2240" w:type="dxa"/>
            <w:tcBorders>
              <w:top w:val="nil"/>
              <w:left w:val="nil"/>
              <w:bottom w:val="nil"/>
              <w:right w:val="nil"/>
            </w:tcBorders>
            <w:shd w:val="clear" w:color="auto" w:fill="auto"/>
            <w:noWrap/>
            <w:vAlign w:val="bottom"/>
            <w:hideMark/>
          </w:tcPr>
          <w:p w14:paraId="1FB4046C" w14:textId="77777777" w:rsidR="00EE18FD" w:rsidRPr="00393E79" w:rsidRDefault="00EE18FD" w:rsidP="00745795">
            <w:pPr>
              <w:rPr>
                <w:color w:val="000000"/>
                <w:sz w:val="20"/>
                <w:szCs w:val="20"/>
              </w:rPr>
            </w:pPr>
          </w:p>
        </w:tc>
      </w:tr>
      <w:tr w:rsidR="00EE18FD" w:rsidRPr="00393E79" w14:paraId="3161946B" w14:textId="77777777" w:rsidTr="00745795">
        <w:trPr>
          <w:trHeight w:val="560"/>
        </w:trPr>
        <w:tc>
          <w:tcPr>
            <w:tcW w:w="8980" w:type="dxa"/>
            <w:tcBorders>
              <w:top w:val="nil"/>
              <w:left w:val="nil"/>
              <w:bottom w:val="nil"/>
              <w:right w:val="nil"/>
            </w:tcBorders>
            <w:shd w:val="clear" w:color="auto" w:fill="auto"/>
            <w:hideMark/>
          </w:tcPr>
          <w:p w14:paraId="059CF45F" w14:textId="77777777" w:rsidR="00EE18FD" w:rsidRPr="006F1BD4" w:rsidRDefault="00EE18FD" w:rsidP="00745795">
            <w:pPr>
              <w:rPr>
                <w:color w:val="000000"/>
                <w:sz w:val="20"/>
                <w:szCs w:val="20"/>
              </w:rPr>
            </w:pPr>
            <w:r w:rsidRPr="006F1BD4">
              <w:rPr>
                <w:color w:val="000000"/>
                <w:sz w:val="20"/>
                <w:szCs w:val="20"/>
              </w:rPr>
              <w:t>Legislate job protection for individuals with disabilities who are unable to fulfill job duties due to the risk of contracting COVID-19 as well as systemic barriers such as lack of access to accessible transportation. (C1)</w:t>
            </w:r>
          </w:p>
        </w:tc>
        <w:tc>
          <w:tcPr>
            <w:tcW w:w="2360" w:type="dxa"/>
            <w:tcBorders>
              <w:top w:val="nil"/>
              <w:left w:val="nil"/>
              <w:bottom w:val="nil"/>
              <w:right w:val="nil"/>
            </w:tcBorders>
            <w:shd w:val="clear" w:color="auto" w:fill="auto"/>
            <w:hideMark/>
          </w:tcPr>
          <w:p w14:paraId="71578C91" w14:textId="77777777" w:rsidR="00EE18FD" w:rsidRPr="00393E79" w:rsidRDefault="00EE18FD" w:rsidP="00745795">
            <w:pPr>
              <w:rPr>
                <w:color w:val="000000"/>
                <w:sz w:val="20"/>
                <w:szCs w:val="20"/>
              </w:rPr>
            </w:pPr>
            <w:r w:rsidRPr="00393E79">
              <w:rPr>
                <w:color w:val="000000"/>
                <w:sz w:val="20"/>
                <w:szCs w:val="20"/>
              </w:rPr>
              <w:t xml:space="preserve">Job protection for disabled  </w:t>
            </w:r>
          </w:p>
        </w:tc>
        <w:tc>
          <w:tcPr>
            <w:tcW w:w="2240" w:type="dxa"/>
            <w:tcBorders>
              <w:top w:val="nil"/>
              <w:left w:val="nil"/>
              <w:bottom w:val="nil"/>
              <w:right w:val="nil"/>
            </w:tcBorders>
            <w:shd w:val="clear" w:color="auto" w:fill="auto"/>
            <w:noWrap/>
            <w:vAlign w:val="bottom"/>
            <w:hideMark/>
          </w:tcPr>
          <w:p w14:paraId="46B88F63" w14:textId="77777777" w:rsidR="00EE18FD" w:rsidRPr="00393E79" w:rsidRDefault="00EE18FD" w:rsidP="00745795">
            <w:pPr>
              <w:rPr>
                <w:color w:val="000000"/>
                <w:sz w:val="20"/>
                <w:szCs w:val="20"/>
              </w:rPr>
            </w:pPr>
          </w:p>
        </w:tc>
      </w:tr>
      <w:tr w:rsidR="00EE18FD" w:rsidRPr="00393E79" w14:paraId="51A99408" w14:textId="77777777" w:rsidTr="00745795">
        <w:trPr>
          <w:trHeight w:val="560"/>
        </w:trPr>
        <w:tc>
          <w:tcPr>
            <w:tcW w:w="8980" w:type="dxa"/>
            <w:tcBorders>
              <w:top w:val="nil"/>
              <w:left w:val="nil"/>
              <w:bottom w:val="nil"/>
              <w:right w:val="nil"/>
            </w:tcBorders>
            <w:shd w:val="clear" w:color="auto" w:fill="auto"/>
            <w:hideMark/>
          </w:tcPr>
          <w:p w14:paraId="0787A358" w14:textId="77777777" w:rsidR="00EE18FD" w:rsidRPr="006F1BD4" w:rsidRDefault="00EE18FD" w:rsidP="00745795">
            <w:pPr>
              <w:rPr>
                <w:color w:val="000000"/>
                <w:sz w:val="20"/>
                <w:szCs w:val="20"/>
              </w:rPr>
            </w:pPr>
            <w:r w:rsidRPr="006F1BD4">
              <w:rPr>
                <w:color w:val="000000"/>
                <w:sz w:val="20"/>
                <w:szCs w:val="20"/>
              </w:rPr>
              <w:t>Create minimum set-asides in public procurement spending (e.g., 15%) towards businesses led by women…</w:t>
            </w:r>
          </w:p>
        </w:tc>
        <w:tc>
          <w:tcPr>
            <w:tcW w:w="2360" w:type="dxa"/>
            <w:tcBorders>
              <w:top w:val="nil"/>
              <w:left w:val="nil"/>
              <w:bottom w:val="nil"/>
              <w:right w:val="nil"/>
            </w:tcBorders>
            <w:shd w:val="clear" w:color="auto" w:fill="auto"/>
            <w:hideMark/>
          </w:tcPr>
          <w:p w14:paraId="79920B9B" w14:textId="77777777" w:rsidR="00EE18FD" w:rsidRPr="00393E79" w:rsidRDefault="00EE18FD" w:rsidP="00745795">
            <w:pPr>
              <w:rPr>
                <w:color w:val="000000"/>
                <w:sz w:val="20"/>
                <w:szCs w:val="20"/>
              </w:rPr>
            </w:pPr>
            <w:r w:rsidRPr="00393E79">
              <w:rPr>
                <w:color w:val="000000"/>
                <w:sz w:val="20"/>
                <w:szCs w:val="20"/>
              </w:rPr>
              <w:t xml:space="preserve">Access to markets </w:t>
            </w:r>
          </w:p>
        </w:tc>
        <w:tc>
          <w:tcPr>
            <w:tcW w:w="2240" w:type="dxa"/>
            <w:tcBorders>
              <w:top w:val="nil"/>
              <w:left w:val="nil"/>
              <w:bottom w:val="nil"/>
              <w:right w:val="nil"/>
            </w:tcBorders>
            <w:shd w:val="clear" w:color="auto" w:fill="auto"/>
            <w:hideMark/>
          </w:tcPr>
          <w:p w14:paraId="72D432B1" w14:textId="77777777" w:rsidR="00EE18FD" w:rsidRPr="00393E79" w:rsidRDefault="00EE18FD" w:rsidP="00745795">
            <w:pPr>
              <w:rPr>
                <w:color w:val="000000"/>
                <w:sz w:val="20"/>
                <w:szCs w:val="20"/>
              </w:rPr>
            </w:pPr>
            <w:r w:rsidRPr="00393E79">
              <w:rPr>
                <w:color w:val="000000"/>
                <w:sz w:val="20"/>
                <w:szCs w:val="20"/>
              </w:rPr>
              <w:t>Access to economic resources</w:t>
            </w:r>
          </w:p>
        </w:tc>
      </w:tr>
      <w:tr w:rsidR="00EE18FD" w:rsidRPr="00393E79" w14:paraId="2713AEBE" w14:textId="77777777" w:rsidTr="00745795">
        <w:trPr>
          <w:trHeight w:val="560"/>
        </w:trPr>
        <w:tc>
          <w:tcPr>
            <w:tcW w:w="8980" w:type="dxa"/>
            <w:tcBorders>
              <w:top w:val="nil"/>
              <w:left w:val="nil"/>
              <w:bottom w:val="nil"/>
              <w:right w:val="nil"/>
            </w:tcBorders>
            <w:shd w:val="clear" w:color="auto" w:fill="auto"/>
            <w:hideMark/>
          </w:tcPr>
          <w:p w14:paraId="71A0C7C0" w14:textId="77777777" w:rsidR="00EE18FD" w:rsidRPr="006F1BD4" w:rsidRDefault="00EE18FD" w:rsidP="00745795">
            <w:pPr>
              <w:rPr>
                <w:color w:val="000000"/>
                <w:sz w:val="20"/>
                <w:szCs w:val="20"/>
              </w:rPr>
            </w:pPr>
            <w:r w:rsidRPr="006F1BD4">
              <w:rPr>
                <w:color w:val="000000"/>
                <w:sz w:val="20"/>
                <w:szCs w:val="20"/>
              </w:rPr>
              <w:t>Equitable access to jobs, training, and education opportunities, and that they gain long-term sustainable benefits from economic development projects. (C1)</w:t>
            </w:r>
          </w:p>
        </w:tc>
        <w:tc>
          <w:tcPr>
            <w:tcW w:w="2360" w:type="dxa"/>
            <w:tcBorders>
              <w:top w:val="nil"/>
              <w:left w:val="nil"/>
              <w:bottom w:val="nil"/>
              <w:right w:val="nil"/>
            </w:tcBorders>
            <w:shd w:val="clear" w:color="auto" w:fill="auto"/>
            <w:hideMark/>
          </w:tcPr>
          <w:p w14:paraId="401C1094" w14:textId="77777777" w:rsidR="00EE18FD" w:rsidRPr="00393E79" w:rsidRDefault="00EE18FD" w:rsidP="00745795">
            <w:pPr>
              <w:rPr>
                <w:color w:val="000000"/>
                <w:sz w:val="20"/>
                <w:szCs w:val="20"/>
              </w:rPr>
            </w:pPr>
            <w:r w:rsidRPr="00393E79">
              <w:rPr>
                <w:color w:val="000000"/>
                <w:sz w:val="20"/>
                <w:szCs w:val="20"/>
              </w:rPr>
              <w:t>Access to jobs, training and education</w:t>
            </w:r>
          </w:p>
        </w:tc>
        <w:tc>
          <w:tcPr>
            <w:tcW w:w="2240" w:type="dxa"/>
            <w:tcBorders>
              <w:top w:val="nil"/>
              <w:left w:val="nil"/>
              <w:bottom w:val="nil"/>
              <w:right w:val="nil"/>
            </w:tcBorders>
            <w:shd w:val="clear" w:color="auto" w:fill="auto"/>
            <w:hideMark/>
          </w:tcPr>
          <w:p w14:paraId="0FB4D31D" w14:textId="77777777" w:rsidR="00EE18FD" w:rsidRPr="00393E79" w:rsidRDefault="00EE18FD" w:rsidP="00745795">
            <w:pPr>
              <w:rPr>
                <w:color w:val="000000"/>
                <w:sz w:val="20"/>
                <w:szCs w:val="20"/>
              </w:rPr>
            </w:pPr>
          </w:p>
        </w:tc>
      </w:tr>
      <w:tr w:rsidR="00EE18FD" w:rsidRPr="00393E79" w14:paraId="7B27EA79" w14:textId="77777777" w:rsidTr="00745795">
        <w:trPr>
          <w:trHeight w:val="560"/>
        </w:trPr>
        <w:tc>
          <w:tcPr>
            <w:tcW w:w="8980" w:type="dxa"/>
            <w:tcBorders>
              <w:top w:val="nil"/>
              <w:left w:val="nil"/>
              <w:bottom w:val="nil"/>
              <w:right w:val="nil"/>
            </w:tcBorders>
            <w:shd w:val="clear" w:color="auto" w:fill="auto"/>
            <w:hideMark/>
          </w:tcPr>
          <w:p w14:paraId="39237322" w14:textId="77777777" w:rsidR="00EE18FD" w:rsidRDefault="00EE18FD" w:rsidP="00745795">
            <w:pPr>
              <w:rPr>
                <w:color w:val="000000"/>
                <w:sz w:val="20"/>
                <w:szCs w:val="20"/>
              </w:rPr>
            </w:pPr>
            <w:r w:rsidRPr="006F1BD4">
              <w:rPr>
                <w:color w:val="000000"/>
                <w:sz w:val="20"/>
                <w:szCs w:val="20"/>
              </w:rPr>
              <w:t>Pay for retraining and professional development across sectors for those who have experienced job loss through EI. For people who are not eligible for EI, create other pathways to financially support re-skilling and re-training with greater incentives for workers in care-economy based sectors such as child care and elder care (C1)</w:t>
            </w:r>
          </w:p>
          <w:p w14:paraId="2004BD77" w14:textId="77777777" w:rsidR="00EE18FD" w:rsidRDefault="00EE18FD" w:rsidP="00745795">
            <w:pPr>
              <w:rPr>
                <w:color w:val="000000"/>
                <w:sz w:val="20"/>
                <w:szCs w:val="20"/>
              </w:rPr>
            </w:pPr>
          </w:p>
          <w:p w14:paraId="70E53719" w14:textId="77777777" w:rsidR="00EE18FD" w:rsidRPr="006F1BD4" w:rsidRDefault="00EE18FD" w:rsidP="00745795">
            <w:pPr>
              <w:rPr>
                <w:color w:val="000000"/>
                <w:sz w:val="20"/>
                <w:szCs w:val="20"/>
              </w:rPr>
            </w:pPr>
          </w:p>
        </w:tc>
        <w:tc>
          <w:tcPr>
            <w:tcW w:w="2360" w:type="dxa"/>
            <w:tcBorders>
              <w:top w:val="nil"/>
              <w:left w:val="nil"/>
              <w:bottom w:val="nil"/>
              <w:right w:val="nil"/>
            </w:tcBorders>
            <w:shd w:val="clear" w:color="auto" w:fill="auto"/>
            <w:hideMark/>
          </w:tcPr>
          <w:p w14:paraId="247FB51E" w14:textId="77777777" w:rsidR="00EE18FD" w:rsidRPr="00393E79" w:rsidRDefault="00EE18FD" w:rsidP="00745795">
            <w:pPr>
              <w:rPr>
                <w:color w:val="000000"/>
                <w:sz w:val="20"/>
                <w:szCs w:val="20"/>
              </w:rPr>
            </w:pPr>
            <w:r w:rsidRPr="00393E79">
              <w:rPr>
                <w:color w:val="000000"/>
                <w:sz w:val="20"/>
                <w:szCs w:val="20"/>
              </w:rPr>
              <w:t>Reskilling</w:t>
            </w:r>
            <w:r>
              <w:rPr>
                <w:color w:val="000000"/>
                <w:sz w:val="20"/>
                <w:szCs w:val="20"/>
              </w:rPr>
              <w:t xml:space="preserve">, </w:t>
            </w:r>
            <w:r w:rsidRPr="00393E79">
              <w:rPr>
                <w:color w:val="000000"/>
                <w:sz w:val="20"/>
                <w:szCs w:val="20"/>
              </w:rPr>
              <w:t>professional development</w:t>
            </w:r>
          </w:p>
        </w:tc>
        <w:tc>
          <w:tcPr>
            <w:tcW w:w="2240" w:type="dxa"/>
            <w:tcBorders>
              <w:top w:val="nil"/>
              <w:left w:val="nil"/>
              <w:bottom w:val="nil"/>
              <w:right w:val="nil"/>
            </w:tcBorders>
            <w:shd w:val="clear" w:color="auto" w:fill="auto"/>
            <w:hideMark/>
          </w:tcPr>
          <w:p w14:paraId="5253FD44" w14:textId="77777777" w:rsidR="00EE18FD" w:rsidRPr="00393E79" w:rsidRDefault="00EE18FD" w:rsidP="00745795">
            <w:pPr>
              <w:rPr>
                <w:color w:val="000000"/>
                <w:sz w:val="20"/>
                <w:szCs w:val="20"/>
              </w:rPr>
            </w:pPr>
          </w:p>
        </w:tc>
      </w:tr>
      <w:tr w:rsidR="00EE18FD" w:rsidRPr="00393E79" w14:paraId="4A0FAE6C" w14:textId="77777777" w:rsidTr="00745795">
        <w:trPr>
          <w:trHeight w:val="560"/>
        </w:trPr>
        <w:tc>
          <w:tcPr>
            <w:tcW w:w="8980" w:type="dxa"/>
            <w:tcBorders>
              <w:top w:val="nil"/>
              <w:left w:val="nil"/>
              <w:bottom w:val="nil"/>
              <w:right w:val="nil"/>
            </w:tcBorders>
            <w:shd w:val="clear" w:color="auto" w:fill="auto"/>
            <w:hideMark/>
          </w:tcPr>
          <w:p w14:paraId="455B1CD1" w14:textId="77777777" w:rsidR="00EE18FD" w:rsidRPr="006F1BD4" w:rsidRDefault="00EE18FD" w:rsidP="00745795">
            <w:pPr>
              <w:rPr>
                <w:color w:val="000000"/>
                <w:sz w:val="20"/>
                <w:szCs w:val="20"/>
              </w:rPr>
            </w:pPr>
            <w:r w:rsidRPr="006F1BD4">
              <w:rPr>
                <w:color w:val="000000"/>
                <w:sz w:val="20"/>
                <w:szCs w:val="20"/>
              </w:rPr>
              <w:t>Address the digital divide in Canada with meaningful subsidies and commit to reali</w:t>
            </w:r>
            <w:r>
              <w:rPr>
                <w:color w:val="000000"/>
                <w:sz w:val="20"/>
                <w:szCs w:val="20"/>
              </w:rPr>
              <w:t>s</w:t>
            </w:r>
            <w:r w:rsidRPr="006F1BD4">
              <w:rPr>
                <w:color w:val="000000"/>
                <w:sz w:val="20"/>
                <w:szCs w:val="20"/>
              </w:rPr>
              <w:t>ing 100% national broadband access, especially in rural, remote</w:t>
            </w:r>
            <w:r>
              <w:rPr>
                <w:color w:val="000000"/>
                <w:sz w:val="20"/>
                <w:szCs w:val="20"/>
              </w:rPr>
              <w:t>,</w:t>
            </w:r>
            <w:r w:rsidRPr="006F1BD4">
              <w:rPr>
                <w:color w:val="000000"/>
                <w:sz w:val="20"/>
                <w:szCs w:val="20"/>
              </w:rPr>
              <w:t xml:space="preserve"> and Northern communities. (C1)</w:t>
            </w:r>
          </w:p>
        </w:tc>
        <w:tc>
          <w:tcPr>
            <w:tcW w:w="2360" w:type="dxa"/>
            <w:tcBorders>
              <w:top w:val="nil"/>
              <w:left w:val="nil"/>
              <w:bottom w:val="nil"/>
              <w:right w:val="nil"/>
            </w:tcBorders>
            <w:shd w:val="clear" w:color="auto" w:fill="auto"/>
            <w:hideMark/>
          </w:tcPr>
          <w:p w14:paraId="536D5750" w14:textId="77777777" w:rsidR="00EE18FD" w:rsidRPr="00393E79" w:rsidRDefault="00EE18FD" w:rsidP="00745795">
            <w:pPr>
              <w:rPr>
                <w:color w:val="000000"/>
                <w:sz w:val="20"/>
                <w:szCs w:val="20"/>
              </w:rPr>
            </w:pPr>
            <w:r w:rsidRPr="00393E79">
              <w:rPr>
                <w:color w:val="000000"/>
                <w:sz w:val="20"/>
                <w:szCs w:val="20"/>
              </w:rPr>
              <w:t xml:space="preserve">Access to </w:t>
            </w:r>
            <w:r>
              <w:rPr>
                <w:color w:val="000000"/>
                <w:sz w:val="20"/>
                <w:szCs w:val="20"/>
              </w:rPr>
              <w:t>Internet</w:t>
            </w:r>
          </w:p>
        </w:tc>
        <w:tc>
          <w:tcPr>
            <w:tcW w:w="2240" w:type="dxa"/>
            <w:tcBorders>
              <w:top w:val="nil"/>
              <w:left w:val="nil"/>
              <w:bottom w:val="nil"/>
              <w:right w:val="nil"/>
            </w:tcBorders>
            <w:shd w:val="clear" w:color="auto" w:fill="auto"/>
            <w:hideMark/>
          </w:tcPr>
          <w:p w14:paraId="24BB8CA7" w14:textId="77777777" w:rsidR="00EE18FD" w:rsidRPr="00393E79" w:rsidRDefault="00EE18FD" w:rsidP="00745795">
            <w:pPr>
              <w:rPr>
                <w:color w:val="000000"/>
                <w:sz w:val="20"/>
                <w:szCs w:val="20"/>
              </w:rPr>
            </w:pPr>
          </w:p>
        </w:tc>
      </w:tr>
      <w:tr w:rsidR="00EE18FD" w:rsidRPr="00393E79" w14:paraId="0F275976" w14:textId="77777777" w:rsidTr="00745795">
        <w:trPr>
          <w:trHeight w:val="560"/>
        </w:trPr>
        <w:tc>
          <w:tcPr>
            <w:tcW w:w="8980" w:type="dxa"/>
            <w:tcBorders>
              <w:top w:val="nil"/>
              <w:left w:val="nil"/>
              <w:bottom w:val="single" w:sz="4" w:space="0" w:color="auto"/>
              <w:right w:val="nil"/>
            </w:tcBorders>
            <w:shd w:val="clear" w:color="auto" w:fill="auto"/>
            <w:hideMark/>
          </w:tcPr>
          <w:p w14:paraId="56A33136" w14:textId="77777777" w:rsidR="00EE18FD" w:rsidRPr="006F1BD4" w:rsidRDefault="00EE18FD" w:rsidP="00745795">
            <w:pPr>
              <w:rPr>
                <w:color w:val="000000"/>
                <w:sz w:val="20"/>
                <w:szCs w:val="20"/>
              </w:rPr>
            </w:pPr>
            <w:r w:rsidRPr="006F1BD4">
              <w:rPr>
                <w:color w:val="000000"/>
                <w:sz w:val="20"/>
                <w:szCs w:val="20"/>
              </w:rPr>
              <w:t>Enhance women, sexual and gender minorities’ access to capital outside the commercial sex industry and women’s access to jobs in male-dominated industries: green-technologies and trade jobs. (C3)</w:t>
            </w:r>
          </w:p>
        </w:tc>
        <w:tc>
          <w:tcPr>
            <w:tcW w:w="2360" w:type="dxa"/>
            <w:tcBorders>
              <w:top w:val="nil"/>
              <w:left w:val="nil"/>
              <w:bottom w:val="single" w:sz="4" w:space="0" w:color="auto"/>
              <w:right w:val="nil"/>
            </w:tcBorders>
            <w:shd w:val="clear" w:color="auto" w:fill="auto"/>
            <w:hideMark/>
          </w:tcPr>
          <w:p w14:paraId="4DA3C580" w14:textId="77777777" w:rsidR="00EE18FD" w:rsidRPr="00393E79" w:rsidRDefault="00EE18FD" w:rsidP="00745795">
            <w:pPr>
              <w:rPr>
                <w:color w:val="000000"/>
                <w:sz w:val="20"/>
                <w:szCs w:val="20"/>
              </w:rPr>
            </w:pPr>
            <w:r w:rsidRPr="00393E79">
              <w:rPr>
                <w:color w:val="000000"/>
                <w:sz w:val="20"/>
                <w:szCs w:val="20"/>
              </w:rPr>
              <w:t>Access to financial capital</w:t>
            </w:r>
          </w:p>
        </w:tc>
        <w:tc>
          <w:tcPr>
            <w:tcW w:w="2240" w:type="dxa"/>
            <w:tcBorders>
              <w:top w:val="nil"/>
              <w:left w:val="nil"/>
              <w:bottom w:val="single" w:sz="4" w:space="0" w:color="auto"/>
              <w:right w:val="nil"/>
            </w:tcBorders>
            <w:shd w:val="clear" w:color="auto" w:fill="auto"/>
            <w:hideMark/>
          </w:tcPr>
          <w:p w14:paraId="1EDC9405" w14:textId="77777777" w:rsidR="00EE18FD" w:rsidRPr="00393E79" w:rsidRDefault="00EE18FD" w:rsidP="00745795">
            <w:pPr>
              <w:rPr>
                <w:color w:val="000000"/>
                <w:sz w:val="20"/>
                <w:szCs w:val="20"/>
              </w:rPr>
            </w:pPr>
            <w:r w:rsidRPr="00393E79">
              <w:rPr>
                <w:color w:val="000000"/>
                <w:sz w:val="20"/>
                <w:szCs w:val="20"/>
              </w:rPr>
              <w:t xml:space="preserve"> </w:t>
            </w:r>
          </w:p>
        </w:tc>
      </w:tr>
      <w:tr w:rsidR="00EE18FD" w:rsidRPr="00393E79" w14:paraId="2BFA2010" w14:textId="77777777" w:rsidTr="00745795">
        <w:trPr>
          <w:trHeight w:val="429"/>
        </w:trPr>
        <w:tc>
          <w:tcPr>
            <w:tcW w:w="8980" w:type="dxa"/>
            <w:tcBorders>
              <w:top w:val="single" w:sz="4" w:space="0" w:color="auto"/>
              <w:left w:val="nil"/>
              <w:bottom w:val="single" w:sz="4" w:space="0" w:color="auto"/>
              <w:right w:val="nil"/>
            </w:tcBorders>
            <w:shd w:val="clear" w:color="auto" w:fill="auto"/>
          </w:tcPr>
          <w:p w14:paraId="739FCEF1" w14:textId="77777777" w:rsidR="00EE18FD" w:rsidRPr="00393E79" w:rsidRDefault="00EE18FD" w:rsidP="00745795">
            <w:pPr>
              <w:spacing w:before="60" w:after="60"/>
              <w:rPr>
                <w:i/>
                <w:iCs/>
                <w:color w:val="000000"/>
                <w:sz w:val="20"/>
                <w:szCs w:val="20"/>
              </w:rPr>
            </w:pPr>
            <w:r w:rsidRPr="00393E79">
              <w:rPr>
                <w:b/>
                <w:bCs/>
                <w:color w:val="000000"/>
                <w:sz w:val="22"/>
                <w:szCs w:val="22"/>
              </w:rPr>
              <w:lastRenderedPageBreak/>
              <w:t xml:space="preserve">First order: verbatim statements </w:t>
            </w:r>
          </w:p>
        </w:tc>
        <w:tc>
          <w:tcPr>
            <w:tcW w:w="2360" w:type="dxa"/>
            <w:tcBorders>
              <w:top w:val="single" w:sz="4" w:space="0" w:color="auto"/>
              <w:left w:val="nil"/>
              <w:bottom w:val="single" w:sz="4" w:space="0" w:color="auto"/>
              <w:right w:val="nil"/>
            </w:tcBorders>
            <w:shd w:val="clear" w:color="auto" w:fill="auto"/>
          </w:tcPr>
          <w:p w14:paraId="54D2F3E7" w14:textId="77777777" w:rsidR="00EE18FD" w:rsidRPr="00393E79" w:rsidRDefault="00EE18FD" w:rsidP="00745795">
            <w:pPr>
              <w:spacing w:before="60" w:after="60"/>
              <w:rPr>
                <w:color w:val="000000"/>
                <w:sz w:val="20"/>
                <w:szCs w:val="20"/>
              </w:rPr>
            </w:pPr>
            <w:r w:rsidRPr="00393E79">
              <w:rPr>
                <w:b/>
                <w:bCs/>
                <w:color w:val="000000"/>
                <w:sz w:val="22"/>
                <w:szCs w:val="22"/>
              </w:rPr>
              <w:t>2nd order: Subthemes</w:t>
            </w:r>
          </w:p>
        </w:tc>
        <w:tc>
          <w:tcPr>
            <w:tcW w:w="2240" w:type="dxa"/>
            <w:tcBorders>
              <w:top w:val="single" w:sz="4" w:space="0" w:color="auto"/>
              <w:left w:val="nil"/>
              <w:bottom w:val="single" w:sz="4" w:space="0" w:color="auto"/>
              <w:right w:val="nil"/>
            </w:tcBorders>
            <w:shd w:val="clear" w:color="auto" w:fill="auto"/>
          </w:tcPr>
          <w:p w14:paraId="3BE3C49A" w14:textId="77777777" w:rsidR="00EE18FD" w:rsidRPr="00393E79" w:rsidRDefault="00EE18FD" w:rsidP="00745795">
            <w:pPr>
              <w:spacing w:before="60" w:after="60"/>
              <w:rPr>
                <w:color w:val="000000"/>
                <w:sz w:val="20"/>
                <w:szCs w:val="20"/>
              </w:rPr>
            </w:pPr>
            <w:r w:rsidRPr="00393E79">
              <w:rPr>
                <w:b/>
                <w:bCs/>
                <w:color w:val="000000"/>
                <w:sz w:val="22"/>
                <w:szCs w:val="22"/>
              </w:rPr>
              <w:t xml:space="preserve">3rd order: Domains </w:t>
            </w:r>
          </w:p>
        </w:tc>
      </w:tr>
      <w:tr w:rsidR="00EE18FD" w:rsidRPr="00393E79" w14:paraId="084E6950" w14:textId="77777777" w:rsidTr="00745795">
        <w:trPr>
          <w:trHeight w:val="560"/>
        </w:trPr>
        <w:tc>
          <w:tcPr>
            <w:tcW w:w="8980" w:type="dxa"/>
            <w:tcBorders>
              <w:top w:val="single" w:sz="4" w:space="0" w:color="auto"/>
              <w:left w:val="nil"/>
              <w:bottom w:val="nil"/>
              <w:right w:val="nil"/>
            </w:tcBorders>
            <w:shd w:val="clear" w:color="auto" w:fill="auto"/>
            <w:hideMark/>
          </w:tcPr>
          <w:p w14:paraId="35ACD0AB" w14:textId="77777777" w:rsidR="00EE18FD" w:rsidRPr="006F1BD4" w:rsidRDefault="00EE18FD" w:rsidP="00745795">
            <w:pPr>
              <w:rPr>
                <w:color w:val="000000"/>
                <w:sz w:val="20"/>
                <w:szCs w:val="20"/>
              </w:rPr>
            </w:pPr>
            <w:r w:rsidRPr="006F1BD4">
              <w:rPr>
                <w:color w:val="000000"/>
                <w:sz w:val="20"/>
                <w:szCs w:val="20"/>
              </w:rPr>
              <w:t>Invest in organi</w:t>
            </w:r>
            <w:r>
              <w:rPr>
                <w:color w:val="000000"/>
                <w:sz w:val="20"/>
                <w:szCs w:val="20"/>
              </w:rPr>
              <w:t>s</w:t>
            </w:r>
            <w:r w:rsidRPr="006F1BD4">
              <w:rPr>
                <w:color w:val="000000"/>
                <w:sz w:val="20"/>
                <w:szCs w:val="20"/>
              </w:rPr>
              <w:t>ations that advance gender equity, intersectional feminism, and women’s rights in Canada through investments in core multi-year funding. (C1)</w:t>
            </w:r>
          </w:p>
        </w:tc>
        <w:tc>
          <w:tcPr>
            <w:tcW w:w="2360" w:type="dxa"/>
            <w:tcBorders>
              <w:top w:val="single" w:sz="4" w:space="0" w:color="auto"/>
              <w:left w:val="nil"/>
              <w:bottom w:val="nil"/>
              <w:right w:val="nil"/>
            </w:tcBorders>
            <w:shd w:val="clear" w:color="auto" w:fill="auto"/>
            <w:hideMark/>
          </w:tcPr>
          <w:p w14:paraId="41CDF535" w14:textId="77777777" w:rsidR="00EE18FD" w:rsidRPr="00393E79" w:rsidRDefault="00EE18FD" w:rsidP="00745795">
            <w:pPr>
              <w:rPr>
                <w:color w:val="000000"/>
                <w:sz w:val="20"/>
                <w:szCs w:val="20"/>
              </w:rPr>
            </w:pPr>
            <w:r w:rsidRPr="00393E79">
              <w:rPr>
                <w:color w:val="000000"/>
                <w:sz w:val="20"/>
                <w:szCs w:val="20"/>
              </w:rPr>
              <w:t>Capacity building among women</w:t>
            </w:r>
            <w:r>
              <w:rPr>
                <w:color w:val="000000"/>
                <w:sz w:val="20"/>
                <w:szCs w:val="20"/>
              </w:rPr>
              <w:t>’</w:t>
            </w:r>
            <w:r w:rsidRPr="00393E79">
              <w:rPr>
                <w:color w:val="000000"/>
                <w:sz w:val="20"/>
                <w:szCs w:val="20"/>
              </w:rPr>
              <w:t>s organi</w:t>
            </w:r>
            <w:r>
              <w:rPr>
                <w:color w:val="000000"/>
                <w:sz w:val="20"/>
                <w:szCs w:val="20"/>
              </w:rPr>
              <w:t>s</w:t>
            </w:r>
            <w:r w:rsidRPr="00393E79">
              <w:rPr>
                <w:color w:val="000000"/>
                <w:sz w:val="20"/>
                <w:szCs w:val="20"/>
              </w:rPr>
              <w:t>ations</w:t>
            </w:r>
          </w:p>
        </w:tc>
        <w:tc>
          <w:tcPr>
            <w:tcW w:w="2240" w:type="dxa"/>
            <w:tcBorders>
              <w:top w:val="single" w:sz="4" w:space="0" w:color="auto"/>
              <w:left w:val="nil"/>
              <w:bottom w:val="nil"/>
              <w:right w:val="nil"/>
            </w:tcBorders>
            <w:shd w:val="clear" w:color="auto" w:fill="auto"/>
            <w:hideMark/>
          </w:tcPr>
          <w:p w14:paraId="1544B7DD" w14:textId="77777777" w:rsidR="00EE18FD" w:rsidRPr="00393E79" w:rsidRDefault="00EE18FD" w:rsidP="00745795">
            <w:pPr>
              <w:rPr>
                <w:color w:val="000000"/>
                <w:sz w:val="20"/>
                <w:szCs w:val="20"/>
              </w:rPr>
            </w:pPr>
            <w:r w:rsidRPr="00393E79">
              <w:rPr>
                <w:color w:val="000000"/>
                <w:sz w:val="20"/>
                <w:szCs w:val="20"/>
              </w:rPr>
              <w:t xml:space="preserve">Infrastructure support </w:t>
            </w:r>
          </w:p>
        </w:tc>
      </w:tr>
      <w:tr w:rsidR="00EE18FD" w:rsidRPr="00393E79" w14:paraId="0863F67D" w14:textId="77777777" w:rsidTr="00745795">
        <w:trPr>
          <w:trHeight w:val="287"/>
        </w:trPr>
        <w:tc>
          <w:tcPr>
            <w:tcW w:w="8980" w:type="dxa"/>
            <w:tcBorders>
              <w:top w:val="nil"/>
              <w:left w:val="nil"/>
              <w:bottom w:val="nil"/>
              <w:right w:val="nil"/>
            </w:tcBorders>
            <w:shd w:val="clear" w:color="auto" w:fill="auto"/>
            <w:hideMark/>
          </w:tcPr>
          <w:p w14:paraId="432AD53D" w14:textId="77777777" w:rsidR="00EE18FD" w:rsidRPr="006F1BD4" w:rsidRDefault="00EE18FD" w:rsidP="00745795">
            <w:pPr>
              <w:rPr>
                <w:color w:val="000000"/>
                <w:sz w:val="20"/>
                <w:szCs w:val="20"/>
              </w:rPr>
            </w:pPr>
            <w:r w:rsidRPr="006F1BD4">
              <w:rPr>
                <w:color w:val="000000"/>
                <w:sz w:val="20"/>
                <w:szCs w:val="20"/>
              </w:rPr>
              <w:t>An investment in care supports not only children and families, but also economic development overall.</w:t>
            </w:r>
          </w:p>
        </w:tc>
        <w:tc>
          <w:tcPr>
            <w:tcW w:w="2360" w:type="dxa"/>
            <w:tcBorders>
              <w:top w:val="nil"/>
              <w:left w:val="nil"/>
              <w:bottom w:val="nil"/>
              <w:right w:val="nil"/>
            </w:tcBorders>
            <w:shd w:val="clear" w:color="auto" w:fill="auto"/>
            <w:hideMark/>
          </w:tcPr>
          <w:p w14:paraId="5D436152" w14:textId="77777777" w:rsidR="00EE18FD" w:rsidRPr="00393E79" w:rsidRDefault="00EE18FD" w:rsidP="00745795">
            <w:pPr>
              <w:rPr>
                <w:color w:val="000000"/>
                <w:sz w:val="20"/>
                <w:szCs w:val="20"/>
              </w:rPr>
            </w:pPr>
            <w:r w:rsidRPr="00393E79">
              <w:rPr>
                <w:color w:val="000000"/>
                <w:sz w:val="20"/>
                <w:szCs w:val="20"/>
              </w:rPr>
              <w:t xml:space="preserve">Support for caregiving </w:t>
            </w:r>
          </w:p>
        </w:tc>
        <w:tc>
          <w:tcPr>
            <w:tcW w:w="2240" w:type="dxa"/>
            <w:tcBorders>
              <w:top w:val="nil"/>
              <w:left w:val="nil"/>
              <w:bottom w:val="nil"/>
              <w:right w:val="nil"/>
            </w:tcBorders>
            <w:shd w:val="clear" w:color="auto" w:fill="auto"/>
            <w:hideMark/>
          </w:tcPr>
          <w:p w14:paraId="7CF970A9" w14:textId="77777777" w:rsidR="00EE18FD" w:rsidRPr="00393E79" w:rsidRDefault="00EE18FD" w:rsidP="00745795">
            <w:pPr>
              <w:rPr>
                <w:color w:val="000000"/>
                <w:sz w:val="20"/>
                <w:szCs w:val="20"/>
              </w:rPr>
            </w:pPr>
          </w:p>
        </w:tc>
      </w:tr>
      <w:tr w:rsidR="00EE18FD" w:rsidRPr="00393E79" w14:paraId="472053C6" w14:textId="77777777" w:rsidTr="00745795">
        <w:trPr>
          <w:trHeight w:val="560"/>
        </w:trPr>
        <w:tc>
          <w:tcPr>
            <w:tcW w:w="8980" w:type="dxa"/>
            <w:tcBorders>
              <w:top w:val="nil"/>
              <w:left w:val="nil"/>
              <w:bottom w:val="nil"/>
              <w:right w:val="nil"/>
            </w:tcBorders>
            <w:shd w:val="clear" w:color="auto" w:fill="auto"/>
            <w:hideMark/>
          </w:tcPr>
          <w:p w14:paraId="7DF3CCE2" w14:textId="77777777" w:rsidR="00EE18FD" w:rsidRPr="006F1BD4" w:rsidRDefault="00EE18FD" w:rsidP="00745795">
            <w:pPr>
              <w:rPr>
                <w:color w:val="000000"/>
                <w:sz w:val="20"/>
                <w:szCs w:val="20"/>
              </w:rPr>
            </w:pPr>
            <w:r w:rsidRPr="006F1BD4">
              <w:rPr>
                <w:color w:val="000000"/>
                <w:sz w:val="20"/>
                <w:szCs w:val="20"/>
              </w:rPr>
              <w:t>Shifting and adjusting funds for re-training in sustainable sectors such as green jobs, trades</w:t>
            </w:r>
            <w:r>
              <w:rPr>
                <w:color w:val="000000"/>
                <w:sz w:val="20"/>
                <w:szCs w:val="20"/>
              </w:rPr>
              <w:t>,</w:t>
            </w:r>
            <w:r w:rsidRPr="006F1BD4">
              <w:rPr>
                <w:color w:val="000000"/>
                <w:sz w:val="20"/>
                <w:szCs w:val="20"/>
              </w:rPr>
              <w:t xml:space="preserve"> and self-entrepreneurship</w:t>
            </w:r>
            <w:r>
              <w:rPr>
                <w:color w:val="000000"/>
                <w:sz w:val="20"/>
                <w:szCs w:val="20"/>
              </w:rPr>
              <w:t>.</w:t>
            </w:r>
            <w:r w:rsidRPr="006F1BD4">
              <w:rPr>
                <w:color w:val="000000"/>
                <w:sz w:val="20"/>
                <w:szCs w:val="20"/>
              </w:rPr>
              <w:t xml:space="preserve"> (C3)</w:t>
            </w:r>
          </w:p>
        </w:tc>
        <w:tc>
          <w:tcPr>
            <w:tcW w:w="2360" w:type="dxa"/>
            <w:tcBorders>
              <w:top w:val="nil"/>
              <w:left w:val="nil"/>
              <w:bottom w:val="nil"/>
              <w:right w:val="nil"/>
            </w:tcBorders>
            <w:shd w:val="clear" w:color="auto" w:fill="auto"/>
            <w:hideMark/>
          </w:tcPr>
          <w:p w14:paraId="0D07F224" w14:textId="77777777" w:rsidR="00EE18FD" w:rsidRPr="00393E79" w:rsidRDefault="00EE18FD" w:rsidP="00745795">
            <w:pPr>
              <w:rPr>
                <w:color w:val="000000"/>
                <w:sz w:val="20"/>
                <w:szCs w:val="20"/>
              </w:rPr>
            </w:pPr>
            <w:r>
              <w:rPr>
                <w:color w:val="000000"/>
                <w:sz w:val="20"/>
                <w:szCs w:val="20"/>
              </w:rPr>
              <w:t>Investment in r</w:t>
            </w:r>
            <w:r w:rsidRPr="00393E79">
              <w:rPr>
                <w:color w:val="000000"/>
                <w:sz w:val="20"/>
                <w:szCs w:val="20"/>
              </w:rPr>
              <w:t>etraini</w:t>
            </w:r>
            <w:r>
              <w:rPr>
                <w:color w:val="000000"/>
                <w:sz w:val="20"/>
                <w:szCs w:val="20"/>
              </w:rPr>
              <w:t xml:space="preserve">ng </w:t>
            </w:r>
          </w:p>
        </w:tc>
        <w:tc>
          <w:tcPr>
            <w:tcW w:w="2240" w:type="dxa"/>
            <w:tcBorders>
              <w:top w:val="nil"/>
              <w:left w:val="nil"/>
              <w:bottom w:val="nil"/>
              <w:right w:val="nil"/>
            </w:tcBorders>
            <w:shd w:val="clear" w:color="auto" w:fill="auto"/>
            <w:hideMark/>
          </w:tcPr>
          <w:p w14:paraId="04E10242" w14:textId="77777777" w:rsidR="00EE18FD" w:rsidRPr="00393E79" w:rsidRDefault="00EE18FD" w:rsidP="00745795">
            <w:pPr>
              <w:rPr>
                <w:color w:val="000000"/>
                <w:sz w:val="20"/>
                <w:szCs w:val="20"/>
              </w:rPr>
            </w:pPr>
          </w:p>
        </w:tc>
      </w:tr>
      <w:tr w:rsidR="00EE18FD" w:rsidRPr="00393E79" w14:paraId="48768EEA" w14:textId="77777777" w:rsidTr="00745795">
        <w:trPr>
          <w:trHeight w:val="560"/>
        </w:trPr>
        <w:tc>
          <w:tcPr>
            <w:tcW w:w="8980" w:type="dxa"/>
            <w:tcBorders>
              <w:top w:val="nil"/>
              <w:left w:val="nil"/>
              <w:bottom w:val="nil"/>
              <w:right w:val="nil"/>
            </w:tcBorders>
            <w:shd w:val="clear" w:color="auto" w:fill="auto"/>
            <w:hideMark/>
          </w:tcPr>
          <w:p w14:paraId="3E3ABCCE" w14:textId="77777777" w:rsidR="00EE18FD" w:rsidRPr="006F1BD4" w:rsidRDefault="00EE18FD" w:rsidP="00745795">
            <w:pPr>
              <w:rPr>
                <w:color w:val="000000"/>
                <w:sz w:val="20"/>
                <w:szCs w:val="20"/>
              </w:rPr>
            </w:pPr>
            <w:r w:rsidRPr="006F1BD4">
              <w:rPr>
                <w:color w:val="000000"/>
                <w:sz w:val="20"/>
                <w:szCs w:val="20"/>
              </w:rPr>
              <w:t>Core funding needs to be allocated to community-based organi</w:t>
            </w:r>
            <w:r>
              <w:rPr>
                <w:color w:val="000000"/>
                <w:sz w:val="20"/>
                <w:szCs w:val="20"/>
              </w:rPr>
              <w:t>s</w:t>
            </w:r>
            <w:r w:rsidRPr="006F1BD4">
              <w:rPr>
                <w:color w:val="000000"/>
                <w:sz w:val="20"/>
                <w:szCs w:val="20"/>
              </w:rPr>
              <w:t>ations which play a crucial role in the prevention and intervention of ending violence</w:t>
            </w:r>
            <w:r>
              <w:rPr>
                <w:color w:val="000000"/>
                <w:sz w:val="20"/>
                <w:szCs w:val="20"/>
              </w:rPr>
              <w:t>.</w:t>
            </w:r>
            <w:r w:rsidRPr="006F1BD4">
              <w:rPr>
                <w:color w:val="000000"/>
                <w:sz w:val="20"/>
                <w:szCs w:val="20"/>
              </w:rPr>
              <w:t xml:space="preserve"> (C3)</w:t>
            </w:r>
          </w:p>
        </w:tc>
        <w:tc>
          <w:tcPr>
            <w:tcW w:w="2360" w:type="dxa"/>
            <w:tcBorders>
              <w:top w:val="nil"/>
              <w:left w:val="nil"/>
              <w:bottom w:val="nil"/>
              <w:right w:val="nil"/>
            </w:tcBorders>
            <w:shd w:val="clear" w:color="auto" w:fill="auto"/>
            <w:hideMark/>
          </w:tcPr>
          <w:p w14:paraId="6E69F78F" w14:textId="77777777" w:rsidR="00EE18FD" w:rsidRPr="00393E79" w:rsidRDefault="00EE18FD" w:rsidP="00745795">
            <w:pPr>
              <w:rPr>
                <w:color w:val="000000"/>
                <w:sz w:val="20"/>
                <w:szCs w:val="20"/>
              </w:rPr>
            </w:pPr>
            <w:r w:rsidRPr="00393E79">
              <w:rPr>
                <w:color w:val="000000"/>
                <w:sz w:val="20"/>
                <w:szCs w:val="20"/>
              </w:rPr>
              <w:t>Address gender-based violence</w:t>
            </w:r>
          </w:p>
        </w:tc>
        <w:tc>
          <w:tcPr>
            <w:tcW w:w="2240" w:type="dxa"/>
            <w:tcBorders>
              <w:top w:val="nil"/>
              <w:left w:val="nil"/>
              <w:bottom w:val="nil"/>
              <w:right w:val="nil"/>
            </w:tcBorders>
            <w:shd w:val="clear" w:color="auto" w:fill="auto"/>
            <w:hideMark/>
          </w:tcPr>
          <w:p w14:paraId="724B2926" w14:textId="77777777" w:rsidR="00EE18FD" w:rsidRPr="00393E79" w:rsidRDefault="00EE18FD" w:rsidP="00745795">
            <w:pPr>
              <w:rPr>
                <w:color w:val="000000"/>
                <w:sz w:val="20"/>
                <w:szCs w:val="20"/>
              </w:rPr>
            </w:pPr>
          </w:p>
        </w:tc>
      </w:tr>
      <w:tr w:rsidR="00EE18FD" w:rsidRPr="00393E79" w14:paraId="4898D9C2" w14:textId="77777777" w:rsidTr="00745795">
        <w:trPr>
          <w:trHeight w:val="560"/>
        </w:trPr>
        <w:tc>
          <w:tcPr>
            <w:tcW w:w="8980" w:type="dxa"/>
            <w:tcBorders>
              <w:top w:val="nil"/>
              <w:left w:val="nil"/>
              <w:bottom w:val="nil"/>
              <w:right w:val="nil"/>
            </w:tcBorders>
            <w:shd w:val="clear" w:color="auto" w:fill="auto"/>
            <w:hideMark/>
          </w:tcPr>
          <w:p w14:paraId="07558772" w14:textId="77777777" w:rsidR="00EE18FD" w:rsidRPr="006F1BD4" w:rsidRDefault="00EE18FD" w:rsidP="00745795">
            <w:pPr>
              <w:rPr>
                <w:color w:val="000000"/>
                <w:sz w:val="20"/>
                <w:szCs w:val="20"/>
              </w:rPr>
            </w:pPr>
            <w:r w:rsidRPr="006F1BD4">
              <w:rPr>
                <w:color w:val="000000"/>
                <w:sz w:val="20"/>
                <w:szCs w:val="20"/>
              </w:rPr>
              <w:t>No cuts to social services, including services for domestic violence and for maternal, sexual, reproductive, mental health, and child care. (C3)</w:t>
            </w:r>
          </w:p>
        </w:tc>
        <w:tc>
          <w:tcPr>
            <w:tcW w:w="2360" w:type="dxa"/>
            <w:tcBorders>
              <w:top w:val="nil"/>
              <w:left w:val="nil"/>
              <w:bottom w:val="nil"/>
              <w:right w:val="nil"/>
            </w:tcBorders>
            <w:shd w:val="clear" w:color="auto" w:fill="auto"/>
            <w:hideMark/>
          </w:tcPr>
          <w:p w14:paraId="7739CB1F" w14:textId="77777777" w:rsidR="00EE18FD" w:rsidRPr="00393E79" w:rsidRDefault="00EE18FD" w:rsidP="00745795">
            <w:pPr>
              <w:rPr>
                <w:color w:val="000000"/>
                <w:sz w:val="20"/>
                <w:szCs w:val="20"/>
              </w:rPr>
            </w:pPr>
            <w:r w:rsidRPr="00393E79">
              <w:rPr>
                <w:color w:val="000000"/>
                <w:sz w:val="20"/>
                <w:szCs w:val="20"/>
              </w:rPr>
              <w:t>Sustain social, child and healthcare services</w:t>
            </w:r>
          </w:p>
        </w:tc>
        <w:tc>
          <w:tcPr>
            <w:tcW w:w="2240" w:type="dxa"/>
            <w:tcBorders>
              <w:top w:val="nil"/>
              <w:left w:val="nil"/>
              <w:bottom w:val="nil"/>
              <w:right w:val="nil"/>
            </w:tcBorders>
            <w:shd w:val="clear" w:color="auto" w:fill="auto"/>
            <w:hideMark/>
          </w:tcPr>
          <w:p w14:paraId="7F3252A1" w14:textId="77777777" w:rsidR="00EE18FD" w:rsidRPr="00393E79" w:rsidRDefault="00EE18FD" w:rsidP="00745795">
            <w:pPr>
              <w:rPr>
                <w:color w:val="000000"/>
                <w:sz w:val="20"/>
                <w:szCs w:val="20"/>
              </w:rPr>
            </w:pPr>
          </w:p>
        </w:tc>
      </w:tr>
      <w:tr w:rsidR="00EE18FD" w:rsidRPr="00393E79" w14:paraId="5B874F16" w14:textId="77777777" w:rsidTr="00745795">
        <w:trPr>
          <w:trHeight w:val="360"/>
        </w:trPr>
        <w:tc>
          <w:tcPr>
            <w:tcW w:w="8980" w:type="dxa"/>
            <w:tcBorders>
              <w:top w:val="nil"/>
              <w:left w:val="nil"/>
              <w:bottom w:val="nil"/>
              <w:right w:val="nil"/>
            </w:tcBorders>
            <w:shd w:val="clear" w:color="auto" w:fill="auto"/>
            <w:hideMark/>
          </w:tcPr>
          <w:p w14:paraId="2AE6B747" w14:textId="77777777" w:rsidR="00EE18FD" w:rsidRPr="006F1BD4" w:rsidRDefault="00EE18FD" w:rsidP="00745795">
            <w:pPr>
              <w:rPr>
                <w:color w:val="000000"/>
                <w:sz w:val="20"/>
                <w:szCs w:val="20"/>
              </w:rPr>
            </w:pPr>
            <w:r w:rsidRPr="006F1BD4">
              <w:rPr>
                <w:color w:val="000000"/>
                <w:sz w:val="20"/>
                <w:szCs w:val="20"/>
              </w:rPr>
              <w:t>Restructuring domestic tax rates and tax paying units</w:t>
            </w:r>
            <w:r>
              <w:rPr>
                <w:color w:val="000000"/>
                <w:sz w:val="20"/>
                <w:szCs w:val="20"/>
              </w:rPr>
              <w:t>.</w:t>
            </w:r>
            <w:r w:rsidRPr="006F1BD4">
              <w:rPr>
                <w:color w:val="000000"/>
                <w:sz w:val="20"/>
                <w:szCs w:val="20"/>
              </w:rPr>
              <w:t xml:space="preserve"> (C1)</w:t>
            </w:r>
          </w:p>
        </w:tc>
        <w:tc>
          <w:tcPr>
            <w:tcW w:w="2360" w:type="dxa"/>
            <w:tcBorders>
              <w:top w:val="nil"/>
              <w:left w:val="nil"/>
              <w:bottom w:val="nil"/>
              <w:right w:val="nil"/>
            </w:tcBorders>
            <w:shd w:val="clear" w:color="auto" w:fill="auto"/>
            <w:hideMark/>
          </w:tcPr>
          <w:p w14:paraId="7011E36D" w14:textId="77777777" w:rsidR="00EE18FD" w:rsidRPr="00393E79" w:rsidRDefault="00EE18FD" w:rsidP="00745795">
            <w:pPr>
              <w:rPr>
                <w:color w:val="000000"/>
                <w:sz w:val="20"/>
                <w:szCs w:val="20"/>
              </w:rPr>
            </w:pPr>
            <w:r w:rsidRPr="00393E79">
              <w:rPr>
                <w:color w:val="000000"/>
                <w:sz w:val="20"/>
                <w:szCs w:val="20"/>
              </w:rPr>
              <w:t>Restructure tax regimes</w:t>
            </w:r>
          </w:p>
        </w:tc>
        <w:tc>
          <w:tcPr>
            <w:tcW w:w="2240" w:type="dxa"/>
            <w:tcBorders>
              <w:top w:val="nil"/>
              <w:left w:val="nil"/>
              <w:bottom w:val="nil"/>
              <w:right w:val="nil"/>
            </w:tcBorders>
            <w:shd w:val="clear" w:color="auto" w:fill="auto"/>
            <w:hideMark/>
          </w:tcPr>
          <w:p w14:paraId="794EB51F" w14:textId="77777777" w:rsidR="00EE18FD" w:rsidRPr="00393E79" w:rsidRDefault="00EE18FD" w:rsidP="00745795">
            <w:pPr>
              <w:rPr>
                <w:color w:val="000000"/>
                <w:sz w:val="20"/>
                <w:szCs w:val="20"/>
              </w:rPr>
            </w:pPr>
            <w:r w:rsidRPr="00393E79">
              <w:rPr>
                <w:color w:val="000000"/>
                <w:sz w:val="20"/>
                <w:szCs w:val="20"/>
              </w:rPr>
              <w:t xml:space="preserve"> </w:t>
            </w:r>
          </w:p>
        </w:tc>
      </w:tr>
      <w:tr w:rsidR="00EE18FD" w:rsidRPr="00393E79" w14:paraId="75C46BAA" w14:textId="77777777" w:rsidTr="00745795">
        <w:trPr>
          <w:trHeight w:val="840"/>
        </w:trPr>
        <w:tc>
          <w:tcPr>
            <w:tcW w:w="8980" w:type="dxa"/>
            <w:tcBorders>
              <w:top w:val="nil"/>
              <w:left w:val="nil"/>
              <w:bottom w:val="nil"/>
              <w:right w:val="nil"/>
            </w:tcBorders>
            <w:shd w:val="clear" w:color="auto" w:fill="auto"/>
            <w:hideMark/>
          </w:tcPr>
          <w:p w14:paraId="70F1DD53" w14:textId="77777777" w:rsidR="00EE18FD" w:rsidRPr="006F1BD4" w:rsidRDefault="00EE18FD" w:rsidP="00745795">
            <w:pPr>
              <w:rPr>
                <w:color w:val="000000"/>
                <w:sz w:val="20"/>
                <w:szCs w:val="20"/>
              </w:rPr>
            </w:pPr>
            <w:r w:rsidRPr="006F1BD4">
              <w:rPr>
                <w:color w:val="000000"/>
                <w:sz w:val="20"/>
                <w:szCs w:val="20"/>
              </w:rPr>
              <w:t>Increase awareness of co-operative business models and create tools to support businesses that want to convert to this model including empowering the Business Development Bank of Canada to support co-operative conversions. (C1)</w:t>
            </w:r>
          </w:p>
        </w:tc>
        <w:tc>
          <w:tcPr>
            <w:tcW w:w="2360" w:type="dxa"/>
            <w:tcBorders>
              <w:top w:val="nil"/>
              <w:left w:val="nil"/>
              <w:bottom w:val="nil"/>
              <w:right w:val="nil"/>
            </w:tcBorders>
            <w:shd w:val="clear" w:color="auto" w:fill="auto"/>
            <w:hideMark/>
          </w:tcPr>
          <w:p w14:paraId="09C4AD4B" w14:textId="77777777" w:rsidR="00EE18FD" w:rsidRPr="00393E79" w:rsidRDefault="00EE18FD" w:rsidP="00745795">
            <w:pPr>
              <w:rPr>
                <w:color w:val="000000"/>
                <w:sz w:val="20"/>
                <w:szCs w:val="20"/>
              </w:rPr>
            </w:pPr>
            <w:r w:rsidRPr="00393E79">
              <w:rPr>
                <w:color w:val="000000"/>
                <w:sz w:val="20"/>
                <w:szCs w:val="20"/>
              </w:rPr>
              <w:t>Mandate development bank to support collective and social enterprises</w:t>
            </w:r>
          </w:p>
        </w:tc>
        <w:tc>
          <w:tcPr>
            <w:tcW w:w="2240" w:type="dxa"/>
            <w:tcBorders>
              <w:top w:val="nil"/>
              <w:left w:val="nil"/>
              <w:bottom w:val="nil"/>
              <w:right w:val="nil"/>
            </w:tcBorders>
            <w:shd w:val="clear" w:color="auto" w:fill="auto"/>
            <w:hideMark/>
          </w:tcPr>
          <w:p w14:paraId="5938DEB3" w14:textId="77777777" w:rsidR="00EE18FD" w:rsidRPr="00393E79" w:rsidRDefault="00EE18FD" w:rsidP="00745795">
            <w:pPr>
              <w:rPr>
                <w:color w:val="000000"/>
                <w:sz w:val="20"/>
                <w:szCs w:val="20"/>
              </w:rPr>
            </w:pPr>
            <w:r w:rsidRPr="00393E79">
              <w:rPr>
                <w:color w:val="000000"/>
                <w:sz w:val="20"/>
                <w:szCs w:val="20"/>
              </w:rPr>
              <w:t xml:space="preserve"> </w:t>
            </w:r>
          </w:p>
        </w:tc>
      </w:tr>
      <w:tr w:rsidR="00EE18FD" w:rsidRPr="00393E79" w14:paraId="5DF028F7" w14:textId="77777777" w:rsidTr="00745795">
        <w:trPr>
          <w:trHeight w:val="600"/>
        </w:trPr>
        <w:tc>
          <w:tcPr>
            <w:tcW w:w="8980" w:type="dxa"/>
            <w:tcBorders>
              <w:top w:val="nil"/>
              <w:left w:val="nil"/>
              <w:bottom w:val="nil"/>
              <w:right w:val="nil"/>
            </w:tcBorders>
            <w:shd w:val="clear" w:color="auto" w:fill="auto"/>
            <w:hideMark/>
          </w:tcPr>
          <w:p w14:paraId="0B635584" w14:textId="77777777" w:rsidR="00EE18FD" w:rsidRPr="006F1BD4" w:rsidRDefault="00EE18FD" w:rsidP="00745795">
            <w:pPr>
              <w:rPr>
                <w:color w:val="000000"/>
                <w:sz w:val="20"/>
                <w:szCs w:val="20"/>
              </w:rPr>
            </w:pPr>
            <w:r w:rsidRPr="006F1BD4">
              <w:rPr>
                <w:color w:val="000000"/>
                <w:sz w:val="20"/>
                <w:szCs w:val="20"/>
              </w:rPr>
              <w:t>Gender balance in national COVID-19 economic recovery task forces, and establishing a Gender Advisory Council. (C1)</w:t>
            </w:r>
          </w:p>
        </w:tc>
        <w:tc>
          <w:tcPr>
            <w:tcW w:w="2360" w:type="dxa"/>
            <w:tcBorders>
              <w:top w:val="nil"/>
              <w:left w:val="nil"/>
              <w:bottom w:val="nil"/>
              <w:right w:val="nil"/>
            </w:tcBorders>
            <w:shd w:val="clear" w:color="auto" w:fill="auto"/>
            <w:hideMark/>
          </w:tcPr>
          <w:p w14:paraId="7CD46D0F" w14:textId="77777777" w:rsidR="00EE18FD" w:rsidRPr="00393E79" w:rsidRDefault="00EE18FD" w:rsidP="00745795">
            <w:pPr>
              <w:rPr>
                <w:color w:val="000000"/>
                <w:sz w:val="20"/>
                <w:szCs w:val="20"/>
              </w:rPr>
            </w:pPr>
            <w:r w:rsidRPr="00393E79">
              <w:rPr>
                <w:color w:val="000000"/>
                <w:sz w:val="20"/>
                <w:szCs w:val="20"/>
              </w:rPr>
              <w:t>Engage women in consultation</w:t>
            </w:r>
          </w:p>
        </w:tc>
        <w:tc>
          <w:tcPr>
            <w:tcW w:w="2240" w:type="dxa"/>
            <w:tcBorders>
              <w:top w:val="nil"/>
              <w:left w:val="nil"/>
              <w:bottom w:val="nil"/>
              <w:right w:val="nil"/>
            </w:tcBorders>
            <w:shd w:val="clear" w:color="auto" w:fill="auto"/>
            <w:hideMark/>
          </w:tcPr>
          <w:p w14:paraId="7C68DCEB" w14:textId="77777777" w:rsidR="00EE18FD" w:rsidRPr="00393E79" w:rsidRDefault="00EE18FD" w:rsidP="00745795">
            <w:pPr>
              <w:rPr>
                <w:color w:val="000000"/>
                <w:sz w:val="20"/>
                <w:szCs w:val="20"/>
              </w:rPr>
            </w:pPr>
            <w:r w:rsidRPr="00393E79">
              <w:rPr>
                <w:color w:val="000000"/>
                <w:sz w:val="20"/>
                <w:szCs w:val="20"/>
              </w:rPr>
              <w:t>Inclusive decision-making</w:t>
            </w:r>
          </w:p>
        </w:tc>
      </w:tr>
      <w:tr w:rsidR="00EE18FD" w:rsidRPr="00393E79" w14:paraId="541A617B" w14:textId="77777777" w:rsidTr="00745795">
        <w:trPr>
          <w:trHeight w:val="600"/>
        </w:trPr>
        <w:tc>
          <w:tcPr>
            <w:tcW w:w="8980" w:type="dxa"/>
            <w:tcBorders>
              <w:top w:val="nil"/>
              <w:left w:val="nil"/>
              <w:bottom w:val="nil"/>
              <w:right w:val="nil"/>
            </w:tcBorders>
            <w:shd w:val="clear" w:color="auto" w:fill="auto"/>
            <w:hideMark/>
          </w:tcPr>
          <w:p w14:paraId="616086D6" w14:textId="77777777" w:rsidR="00EE18FD" w:rsidRPr="006F1BD4" w:rsidRDefault="00EE18FD" w:rsidP="00745795">
            <w:pPr>
              <w:rPr>
                <w:color w:val="000000"/>
                <w:sz w:val="20"/>
                <w:szCs w:val="20"/>
              </w:rPr>
            </w:pPr>
            <w:r w:rsidRPr="006F1BD4">
              <w:rPr>
                <w:color w:val="000000"/>
                <w:sz w:val="20"/>
                <w:szCs w:val="20"/>
              </w:rPr>
              <w:t>Mandate the collection of disaggregated data on the impacts of the COVID-19 pandemic along these multiple dimensions of social identities. (C1)</w:t>
            </w:r>
          </w:p>
        </w:tc>
        <w:tc>
          <w:tcPr>
            <w:tcW w:w="2360" w:type="dxa"/>
            <w:tcBorders>
              <w:top w:val="nil"/>
              <w:left w:val="nil"/>
              <w:bottom w:val="nil"/>
              <w:right w:val="nil"/>
            </w:tcBorders>
            <w:shd w:val="clear" w:color="auto" w:fill="auto"/>
            <w:hideMark/>
          </w:tcPr>
          <w:p w14:paraId="4F21AA4A" w14:textId="77777777" w:rsidR="00EE18FD" w:rsidRPr="00393E79" w:rsidRDefault="00EE18FD" w:rsidP="00745795">
            <w:pPr>
              <w:rPr>
                <w:color w:val="000000"/>
                <w:sz w:val="20"/>
                <w:szCs w:val="20"/>
              </w:rPr>
            </w:pPr>
            <w:r w:rsidRPr="00393E79">
              <w:rPr>
                <w:color w:val="000000"/>
                <w:sz w:val="20"/>
                <w:szCs w:val="20"/>
              </w:rPr>
              <w:t>Disaggregated data</w:t>
            </w:r>
          </w:p>
        </w:tc>
        <w:tc>
          <w:tcPr>
            <w:tcW w:w="2240" w:type="dxa"/>
            <w:tcBorders>
              <w:top w:val="nil"/>
              <w:left w:val="nil"/>
              <w:bottom w:val="nil"/>
              <w:right w:val="nil"/>
            </w:tcBorders>
            <w:shd w:val="clear" w:color="auto" w:fill="auto"/>
            <w:hideMark/>
          </w:tcPr>
          <w:p w14:paraId="598EBDF6" w14:textId="77777777" w:rsidR="00EE18FD" w:rsidRPr="00393E79" w:rsidRDefault="00EE18FD" w:rsidP="00745795">
            <w:pPr>
              <w:rPr>
                <w:color w:val="000000"/>
                <w:sz w:val="20"/>
                <w:szCs w:val="20"/>
              </w:rPr>
            </w:pPr>
            <w:r w:rsidRPr="00393E79">
              <w:rPr>
                <w:color w:val="000000"/>
                <w:sz w:val="20"/>
                <w:szCs w:val="20"/>
              </w:rPr>
              <w:t>Evidence-based policy</w:t>
            </w:r>
          </w:p>
        </w:tc>
      </w:tr>
    </w:tbl>
    <w:p w14:paraId="131A80BB" w14:textId="77777777" w:rsidR="00EE18FD" w:rsidRPr="002A6388" w:rsidRDefault="00EE18FD" w:rsidP="00EE18FD">
      <w:pPr>
        <w:ind w:right="-1276"/>
      </w:pPr>
    </w:p>
    <w:p w14:paraId="4787E14E" w14:textId="2C01C75C" w:rsidR="00EE18FD" w:rsidRDefault="00EE18FD" w:rsidP="001B160F"/>
    <w:p w14:paraId="5B49CC51" w14:textId="39302C99" w:rsidR="00EE18FD" w:rsidRDefault="00EE18FD" w:rsidP="001B160F"/>
    <w:p w14:paraId="082BB603" w14:textId="0FF24F0F" w:rsidR="00EE18FD" w:rsidRDefault="00EE18FD" w:rsidP="001B160F"/>
    <w:p w14:paraId="5DCFAE3E" w14:textId="035C586B" w:rsidR="00EE18FD" w:rsidRDefault="00EE18FD" w:rsidP="001B160F"/>
    <w:p w14:paraId="0E7A8226" w14:textId="77777777" w:rsidR="00EE18FD" w:rsidRDefault="00EE18FD" w:rsidP="001B160F">
      <w:pPr>
        <w:sectPr w:rsidR="00EE18FD" w:rsidSect="00EE18FD">
          <w:pgSz w:w="15840" w:h="12240" w:orient="landscape"/>
          <w:pgMar w:top="1440" w:right="1440" w:bottom="1440" w:left="1440" w:header="708" w:footer="708" w:gutter="0"/>
          <w:cols w:space="708"/>
          <w:titlePg/>
          <w:docGrid w:linePitch="360"/>
        </w:sectPr>
      </w:pPr>
    </w:p>
    <w:p w14:paraId="08B8B6D3" w14:textId="50EE40CD" w:rsidR="00EE18FD" w:rsidRDefault="00615C6E" w:rsidP="001B160F">
      <w:r>
        <w:rPr>
          <w:noProof/>
        </w:rPr>
        <w:object w:dxaOrig="9480" w:dyaOrig="12920" w14:anchorId="627992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4.25pt;height:645.85pt;mso-width-percent:0;mso-height-percent:0;mso-width-percent:0;mso-height-percent:0" o:ole="">
            <v:imagedata r:id="rId17" o:title=""/>
          </v:shape>
          <o:OLEObject Type="Embed" ProgID="Word.Document.12" ShapeID="_x0000_i1025" DrawAspect="Content" ObjectID="_1671258560" r:id="rId18">
            <o:FieldCodes>\s</o:FieldCodes>
          </o:OLEObject>
        </w:object>
      </w:r>
    </w:p>
    <w:p w14:paraId="46C60137" w14:textId="42203522" w:rsidR="00EE18FD" w:rsidRPr="00EE18FD" w:rsidRDefault="00EE18FD" w:rsidP="00EE18FD">
      <w:pPr>
        <w:spacing w:line="480" w:lineRule="auto"/>
        <w:rPr>
          <w:b/>
        </w:rPr>
      </w:pPr>
      <w:r w:rsidRPr="00EE18FD">
        <w:rPr>
          <w:b/>
        </w:rPr>
        <w:lastRenderedPageBreak/>
        <w:t>[Supplementary materials</w:t>
      </w:r>
      <w:r>
        <w:rPr>
          <w:b/>
        </w:rPr>
        <w:t xml:space="preserve"> to journal article</w:t>
      </w:r>
      <w:r w:rsidRPr="00EE18FD">
        <w:rPr>
          <w:b/>
        </w:rPr>
        <w:t xml:space="preserve">]  </w:t>
      </w:r>
    </w:p>
    <w:p w14:paraId="35296559" w14:textId="77777777" w:rsidR="00EE18FD" w:rsidRDefault="00EE18FD" w:rsidP="00EE18FD">
      <w:pPr>
        <w:autoSpaceDE w:val="0"/>
        <w:autoSpaceDN w:val="0"/>
        <w:adjustRightInd w:val="0"/>
        <w:rPr>
          <w:rFonts w:eastAsiaTheme="minorEastAsia"/>
          <w:color w:val="000000"/>
          <w:sz w:val="20"/>
          <w:szCs w:val="20"/>
          <w:lang w:val="en-US" w:eastAsia="ja-JP"/>
        </w:rPr>
      </w:pPr>
      <w:r w:rsidRPr="00D5142D">
        <w:rPr>
          <w:b/>
          <w:color w:val="000000" w:themeColor="text1"/>
        </w:rPr>
        <w:t>Appendix A. Definitions of key terms</w:t>
      </w:r>
    </w:p>
    <w:p w14:paraId="1021D8B5" w14:textId="77777777" w:rsidR="00EE18FD" w:rsidRPr="00D5142D" w:rsidRDefault="00EE18FD" w:rsidP="00EE18FD">
      <w:pPr>
        <w:autoSpaceDE w:val="0"/>
        <w:autoSpaceDN w:val="0"/>
        <w:adjustRightInd w:val="0"/>
        <w:rPr>
          <w:rFonts w:eastAsiaTheme="minorEastAsia"/>
          <w:color w:val="000000"/>
          <w:sz w:val="20"/>
          <w:szCs w:val="20"/>
          <w:lang w:val="en-US" w:eastAsia="ja-JP"/>
        </w:rPr>
      </w:pPr>
    </w:p>
    <w:p w14:paraId="7D835544" w14:textId="77777777" w:rsidR="00EE18FD" w:rsidRDefault="00EE18FD" w:rsidP="00EE18FD">
      <w:pPr>
        <w:spacing w:line="480" w:lineRule="auto"/>
        <w:rPr>
          <w:color w:val="000000" w:themeColor="text1"/>
        </w:rPr>
      </w:pPr>
      <w:r w:rsidRPr="00007321">
        <w:rPr>
          <w:i/>
          <w:color w:val="000000" w:themeColor="text1"/>
        </w:rPr>
        <w:t>Gender</w:t>
      </w:r>
      <w:r w:rsidRPr="003D179C">
        <w:rPr>
          <w:color w:val="000000" w:themeColor="text1"/>
        </w:rPr>
        <w:t xml:space="preserve"> refers to a culturally entrenched understanding of behavior, role expectations, conventions, and norms. This study uses an inclusive definition of gender, including individuals who are cis, femme, non-binary and </w:t>
      </w:r>
      <w:r w:rsidRPr="004C5650">
        <w:rPr>
          <w:color w:val="000000" w:themeColor="text1"/>
        </w:rPr>
        <w:t>Two-Spirit people</w:t>
      </w:r>
      <w:r>
        <w:rPr>
          <w:color w:val="000000" w:themeColor="text1"/>
        </w:rPr>
        <w:t xml:space="preserve"> (that is people who embody male and female and sometimes intersex qualities)</w:t>
      </w:r>
      <w:r w:rsidRPr="003D179C">
        <w:rPr>
          <w:color w:val="000000" w:themeColor="text1"/>
        </w:rPr>
        <w:t xml:space="preserve">. </w:t>
      </w:r>
      <w:r w:rsidRPr="00007321">
        <w:rPr>
          <w:color w:val="000000" w:themeColor="text1"/>
        </w:rPr>
        <w:t>Th</w:t>
      </w:r>
      <w:r>
        <w:rPr>
          <w:color w:val="000000" w:themeColor="text1"/>
        </w:rPr>
        <w:t>e</w:t>
      </w:r>
      <w:r w:rsidRPr="003D179C">
        <w:rPr>
          <w:color w:val="000000" w:themeColor="text1"/>
        </w:rPr>
        <w:t xml:space="preserve"> definition responds to a shortcoming in the literature when gender is proxied by binary variables predicated on sex (</w:t>
      </w:r>
      <w:proofErr w:type="spellStart"/>
      <w:r w:rsidRPr="003D179C">
        <w:rPr>
          <w:color w:val="000000" w:themeColor="text1"/>
        </w:rPr>
        <w:t>Ahl</w:t>
      </w:r>
      <w:proofErr w:type="spellEnd"/>
      <w:r w:rsidRPr="003D179C">
        <w:rPr>
          <w:color w:val="000000" w:themeColor="text1"/>
        </w:rPr>
        <w:t xml:space="preserve"> &amp; Nelson, 2010). </w:t>
      </w:r>
      <w:r w:rsidRPr="003D179C">
        <w:rPr>
          <w:i/>
          <w:color w:val="000000" w:themeColor="text1"/>
        </w:rPr>
        <w:t>Inclusion</w:t>
      </w:r>
      <w:r w:rsidRPr="003D179C">
        <w:rPr>
          <w:color w:val="000000" w:themeColor="text1"/>
        </w:rPr>
        <w:t xml:space="preserve"> means achieving equity and ensuring self-worth and sense of belonging” (</w:t>
      </w:r>
      <w:proofErr w:type="spellStart"/>
      <w:r w:rsidRPr="003D179C">
        <w:rPr>
          <w:color w:val="000000" w:themeColor="text1"/>
        </w:rPr>
        <w:t>Cerna</w:t>
      </w:r>
      <w:proofErr w:type="spellEnd"/>
      <w:r w:rsidRPr="003D179C">
        <w:rPr>
          <w:color w:val="000000" w:themeColor="text1"/>
        </w:rPr>
        <w:t xml:space="preserve">, 2020, </w:t>
      </w:r>
      <w:proofErr w:type="spellStart"/>
      <w:r w:rsidRPr="003D179C">
        <w:rPr>
          <w:color w:val="000000" w:themeColor="text1"/>
        </w:rPr>
        <w:t>n.p</w:t>
      </w:r>
      <w:proofErr w:type="spellEnd"/>
      <w:r w:rsidRPr="003D179C">
        <w:rPr>
          <w:color w:val="000000" w:themeColor="text1"/>
        </w:rPr>
        <w:t xml:space="preserve">.). </w:t>
      </w:r>
    </w:p>
    <w:p w14:paraId="326B16C7" w14:textId="77777777" w:rsidR="00EE18FD" w:rsidRDefault="00EE18FD" w:rsidP="00EE18FD">
      <w:pPr>
        <w:spacing w:line="480" w:lineRule="auto"/>
        <w:ind w:firstLine="720"/>
        <w:rPr>
          <w:color w:val="000000" w:themeColor="text1"/>
        </w:rPr>
      </w:pPr>
      <w:r w:rsidRPr="003D179C">
        <w:rPr>
          <w:i/>
          <w:color w:val="000000" w:themeColor="text1"/>
        </w:rPr>
        <w:t>Intersectional</w:t>
      </w:r>
      <w:r w:rsidRPr="003D179C">
        <w:rPr>
          <w:color w:val="000000" w:themeColor="text1"/>
        </w:rPr>
        <w:t xml:space="preserve"> refers to identities, structures and context that lend to discrimination, a metaphor </w:t>
      </w:r>
      <w:r>
        <w:rPr>
          <w:color w:val="000000" w:themeColor="text1"/>
        </w:rPr>
        <w:t>to</w:t>
      </w:r>
      <w:r w:rsidRPr="003D179C">
        <w:rPr>
          <w:color w:val="000000" w:themeColor="text1"/>
        </w:rPr>
        <w:t xml:space="preserve"> enhance understanding about how aspects of a person’s social and political identities create unique modes of discrimination, oppression and privilege (Crenshaw, 1989).</w:t>
      </w:r>
      <w:r>
        <w:rPr>
          <w:rStyle w:val="FootnoteReference"/>
          <w:color w:val="000000" w:themeColor="text1"/>
        </w:rPr>
        <w:t xml:space="preserve"> </w:t>
      </w:r>
      <w:r w:rsidRPr="003D179C">
        <w:rPr>
          <w:color w:val="000000" w:themeColor="text1"/>
        </w:rPr>
        <w:t xml:space="preserve"> </w:t>
      </w:r>
      <w:r w:rsidRPr="006F1BD4">
        <w:t xml:space="preserve">Historically, intersectionality was used to describe the ways in which women who are Black were segregated from employment of Black men’s jobs and white women’s jobs, and then excluded as plaintiffs that sought to broaden race and gender employment claims (Crenshaw, 2016, </w:t>
      </w:r>
      <w:proofErr w:type="spellStart"/>
      <w:r w:rsidRPr="006F1BD4">
        <w:t>n.p</w:t>
      </w:r>
      <w:proofErr w:type="spellEnd"/>
      <w:r w:rsidRPr="006F1BD4">
        <w:t>.). The metaphor has been adapted to discussions about feminism, anti-poverty, anti-aggression, gender-based violence, social justice, etc. For the purpose of this study, intersectionality considers the ways in which policies fail to consider the impacts of the pandemic on women entrepreneurs</w:t>
      </w:r>
      <w:r w:rsidRPr="004C5650">
        <w:t xml:space="preserve">.  </w:t>
      </w:r>
    </w:p>
    <w:p w14:paraId="51559A8C" w14:textId="77777777" w:rsidR="00EE18FD" w:rsidRDefault="00EE18FD" w:rsidP="00EE18FD">
      <w:pPr>
        <w:spacing w:line="480" w:lineRule="auto"/>
        <w:ind w:firstLine="720"/>
        <w:rPr>
          <w:color w:val="000000" w:themeColor="text1"/>
        </w:rPr>
      </w:pPr>
      <w:r w:rsidRPr="003D179C">
        <w:rPr>
          <w:color w:val="000000" w:themeColor="text1"/>
        </w:rPr>
        <w:t xml:space="preserve">For the purposes of this study, </w:t>
      </w:r>
      <w:r w:rsidRPr="00C3129B">
        <w:rPr>
          <w:i/>
          <w:color w:val="000000" w:themeColor="text1"/>
        </w:rPr>
        <w:t>feminism</w:t>
      </w:r>
      <w:r w:rsidRPr="003D179C">
        <w:rPr>
          <w:color w:val="000000" w:themeColor="text1"/>
        </w:rPr>
        <w:t xml:space="preserve"> is defined as the recognition of “unequal conditions and the desire to change them” (</w:t>
      </w:r>
      <w:proofErr w:type="spellStart"/>
      <w:r w:rsidRPr="003D179C">
        <w:rPr>
          <w:color w:val="000000" w:themeColor="text1"/>
        </w:rPr>
        <w:t>Ahl</w:t>
      </w:r>
      <w:proofErr w:type="spellEnd"/>
      <w:r w:rsidRPr="003D179C">
        <w:rPr>
          <w:color w:val="000000" w:themeColor="text1"/>
        </w:rPr>
        <w:t>, 2004, p. 16). Feminist scholarship focuses on structural, institutional, and interpersonal elements of oppression with a focus on action that is “rooted in an ethical and moral commitment to social justice” (</w:t>
      </w:r>
      <w:proofErr w:type="spellStart"/>
      <w:r w:rsidRPr="003D179C">
        <w:rPr>
          <w:color w:val="000000" w:themeColor="text1"/>
        </w:rPr>
        <w:t>Kilty</w:t>
      </w:r>
      <w:proofErr w:type="spellEnd"/>
      <w:r w:rsidRPr="003D179C">
        <w:rPr>
          <w:color w:val="000000" w:themeColor="text1"/>
        </w:rPr>
        <w:t xml:space="preserve"> </w:t>
      </w:r>
      <w:r w:rsidRPr="004C5650">
        <w:rPr>
          <w:color w:val="000000" w:themeColor="text1"/>
        </w:rPr>
        <w:t>&amp;</w:t>
      </w:r>
      <w:r w:rsidRPr="003D179C">
        <w:rPr>
          <w:color w:val="000000" w:themeColor="text1"/>
        </w:rPr>
        <w:t xml:space="preserve"> </w:t>
      </w:r>
      <w:proofErr w:type="spellStart"/>
      <w:r w:rsidRPr="003D179C">
        <w:rPr>
          <w:color w:val="000000" w:themeColor="text1"/>
        </w:rPr>
        <w:t>Crépault</w:t>
      </w:r>
      <w:proofErr w:type="spellEnd"/>
      <w:r w:rsidRPr="003D179C">
        <w:rPr>
          <w:color w:val="000000" w:themeColor="text1"/>
        </w:rPr>
        <w:t xml:space="preserve">, 2016, p. 616). </w:t>
      </w:r>
      <w:r>
        <w:rPr>
          <w:color w:val="000000" w:themeColor="text1"/>
        </w:rPr>
        <w:t xml:space="preserve"> </w:t>
      </w:r>
      <w:r w:rsidRPr="003D179C">
        <w:rPr>
          <w:i/>
          <w:color w:val="000000" w:themeColor="text1"/>
        </w:rPr>
        <w:lastRenderedPageBreak/>
        <w:t>Feminist policy</w:t>
      </w:r>
      <w:r w:rsidRPr="003D179C">
        <w:rPr>
          <w:color w:val="000000" w:themeColor="text1"/>
        </w:rPr>
        <w:t xml:space="preserve"> is defined as:</w:t>
      </w:r>
      <w:r>
        <w:rPr>
          <w:color w:val="000000" w:themeColor="text1"/>
        </w:rPr>
        <w:t xml:space="preserve"> </w:t>
      </w:r>
      <w:r w:rsidRPr="000812C9">
        <w:rPr>
          <w:color w:val="000000" w:themeColor="text1"/>
        </w:rPr>
        <w:t>“a political framework centred around the wellbeing of marginalised people and invokes processes of self-reflection regarding foreign policy’s hierarchical global systems. …It is a multidimensional policy framework that aims to elevate women’s and marginalised groups’ experiences and agency to scrutinise the destructive forces of patriarchy, colonisation, heteronormativity, capitalism, racism, imperialism, and militarism</w:t>
      </w:r>
      <w:r w:rsidRPr="003D179C">
        <w:rPr>
          <w:color w:val="000000" w:themeColor="text1"/>
        </w:rPr>
        <w:t xml:space="preserve">” (Centre for Feminist Foreign Policy, 2020). </w:t>
      </w:r>
      <w:r>
        <w:rPr>
          <w:color w:val="000000" w:themeColor="text1"/>
        </w:rPr>
        <w:t xml:space="preserve"> </w:t>
      </w:r>
    </w:p>
    <w:p w14:paraId="5C16C6EC" w14:textId="77777777" w:rsidR="00EE18FD" w:rsidRPr="005C7D55" w:rsidRDefault="00EE18FD" w:rsidP="00EE18FD">
      <w:pPr>
        <w:spacing w:line="480" w:lineRule="auto"/>
        <w:ind w:firstLine="720"/>
        <w:rPr>
          <w:color w:val="000000" w:themeColor="text1"/>
        </w:rPr>
      </w:pPr>
      <w:r w:rsidRPr="003D179C">
        <w:rPr>
          <w:color w:val="000000" w:themeColor="text1"/>
        </w:rPr>
        <w:t xml:space="preserve">Women-centric or </w:t>
      </w:r>
      <w:r w:rsidRPr="003D179C">
        <w:rPr>
          <w:i/>
          <w:color w:val="000000" w:themeColor="text1"/>
        </w:rPr>
        <w:t>women-focused policies</w:t>
      </w:r>
      <w:r w:rsidRPr="003D179C">
        <w:rPr>
          <w:color w:val="000000" w:themeColor="text1"/>
        </w:rPr>
        <w:t xml:space="preserve"> are predicated on gender-based interventions that are targeted at entrepreneurs who identify as women. </w:t>
      </w:r>
      <w:r w:rsidRPr="003D179C">
        <w:rPr>
          <w:i/>
          <w:color w:val="000000" w:themeColor="text1"/>
        </w:rPr>
        <w:t>Gender mainstreaming</w:t>
      </w:r>
      <w:r w:rsidRPr="003D179C">
        <w:rPr>
          <w:color w:val="000000" w:themeColor="text1"/>
        </w:rPr>
        <w:t xml:space="preserve"> refers to “the integration of gender equality concerns in the analyses and formulation of policies, programming and projects” (</w:t>
      </w:r>
      <w:proofErr w:type="spellStart"/>
      <w:r w:rsidRPr="003D179C">
        <w:rPr>
          <w:color w:val="000000" w:themeColor="text1"/>
        </w:rPr>
        <w:t>Mukhopdhyay</w:t>
      </w:r>
      <w:proofErr w:type="spellEnd"/>
      <w:r w:rsidRPr="003D179C">
        <w:rPr>
          <w:color w:val="000000" w:themeColor="text1"/>
        </w:rPr>
        <w:t xml:space="preserve">, 2016, p. 77). Gender mainstreaming, concerns whether policy supports for women are provided through women-only or mixed gender mainstreamed programming (Wilson et al., 2004). </w:t>
      </w:r>
    </w:p>
    <w:p w14:paraId="70DA324F" w14:textId="77777777" w:rsidR="00EE18FD" w:rsidRDefault="00EE18FD" w:rsidP="00EE18FD"/>
    <w:p w14:paraId="7DC8F416" w14:textId="77777777" w:rsidR="00EE18FD" w:rsidRDefault="00EE18FD" w:rsidP="00EE18FD">
      <w:pPr>
        <w:rPr>
          <w:b/>
        </w:rPr>
      </w:pPr>
      <w:r>
        <w:rPr>
          <w:b/>
        </w:rPr>
        <w:br w:type="page"/>
      </w:r>
    </w:p>
    <w:p w14:paraId="2148E5B5" w14:textId="77777777" w:rsidR="00EE18FD" w:rsidRPr="005C7D55" w:rsidRDefault="00EE18FD" w:rsidP="00EE18FD">
      <w:pPr>
        <w:rPr>
          <w:b/>
        </w:rPr>
      </w:pPr>
      <w:r w:rsidRPr="005C7D55">
        <w:rPr>
          <w:b/>
        </w:rPr>
        <w:lastRenderedPageBreak/>
        <w:t xml:space="preserve">Appendix B.  Application of </w:t>
      </w:r>
      <w:r>
        <w:rPr>
          <w:b/>
        </w:rPr>
        <w:t xml:space="preserve">Feminist Entrepreneurship Policy Framework </w:t>
      </w:r>
    </w:p>
    <w:p w14:paraId="04A11205" w14:textId="77777777" w:rsidR="00EE18FD" w:rsidRPr="00FE68E4" w:rsidRDefault="00EE18FD" w:rsidP="00EE18FD"/>
    <w:p w14:paraId="323D0550" w14:textId="77777777" w:rsidR="00EE18FD" w:rsidRPr="00440D74" w:rsidRDefault="00EE18FD" w:rsidP="00EE18FD">
      <w:pPr>
        <w:spacing w:line="480" w:lineRule="auto"/>
        <w:jc w:val="both"/>
        <w:rPr>
          <w:lang w:val="en-US"/>
        </w:rPr>
      </w:pPr>
      <w:r>
        <w:rPr>
          <w:lang w:val="en-US"/>
        </w:rPr>
        <w:t xml:space="preserve">To illustrate the relevance and application of the proposed </w:t>
      </w:r>
      <w:r>
        <w:rPr>
          <w:rFonts w:cs="Courier New"/>
        </w:rPr>
        <w:t xml:space="preserve">parameters of feminist entrepreneurship policy </w:t>
      </w:r>
      <w:r>
        <w:rPr>
          <w:lang w:val="en-US"/>
        </w:rPr>
        <w:t xml:space="preserve">and </w:t>
      </w:r>
      <w:r w:rsidRPr="00B85068">
        <w:rPr>
          <w:rFonts w:cs="Courier New"/>
        </w:rPr>
        <w:t xml:space="preserve">Feminist </w:t>
      </w:r>
      <w:r>
        <w:rPr>
          <w:rFonts w:cs="Courier New"/>
        </w:rPr>
        <w:t xml:space="preserve">Entrepreneurship </w:t>
      </w:r>
      <w:r w:rsidRPr="00B85068">
        <w:rPr>
          <w:rFonts w:cs="Courier New"/>
        </w:rPr>
        <w:t>Policy Framework</w:t>
      </w:r>
      <w:r>
        <w:rPr>
          <w:rFonts w:cs="Courier New"/>
        </w:rPr>
        <w:t xml:space="preserve">, this appendix provides </w:t>
      </w:r>
      <w:r>
        <w:t xml:space="preserve">an assessment of a </w:t>
      </w:r>
      <w:r w:rsidRPr="00FE68E4">
        <w:rPr>
          <w:i/>
        </w:rPr>
        <w:t xml:space="preserve">Women </w:t>
      </w:r>
      <w:r>
        <w:rPr>
          <w:i/>
        </w:rPr>
        <w:t>E</w:t>
      </w:r>
      <w:r w:rsidRPr="00FE68E4">
        <w:rPr>
          <w:i/>
        </w:rPr>
        <w:t xml:space="preserve">ntrepreneurship </w:t>
      </w:r>
      <w:r>
        <w:rPr>
          <w:i/>
        </w:rPr>
        <w:t>S</w:t>
      </w:r>
      <w:r w:rsidRPr="00FE68E4">
        <w:rPr>
          <w:i/>
        </w:rPr>
        <w:t>trategy</w:t>
      </w:r>
      <w:r w:rsidRPr="00FE68E4">
        <w:t xml:space="preserve"> (</w:t>
      </w:r>
      <w:r>
        <w:t xml:space="preserve">Canada, 2018). To situate this assessment, the evolution of women’s enterprise policies in Canada follows. Limitations are noted. </w:t>
      </w:r>
      <w:r w:rsidRPr="00FE68E4">
        <w:rPr>
          <w:lang w:val="en-US"/>
        </w:rPr>
        <w:t xml:space="preserve">Table </w:t>
      </w:r>
      <w:r>
        <w:rPr>
          <w:lang w:val="en-US"/>
        </w:rPr>
        <w:t xml:space="preserve">1 contrasts women’s enterprise policies predicated on </w:t>
      </w:r>
      <w:r w:rsidRPr="00FE68E4">
        <w:rPr>
          <w:lang w:val="en-US"/>
        </w:rPr>
        <w:t xml:space="preserve">entrepreneurship as a </w:t>
      </w:r>
      <w:r>
        <w:rPr>
          <w:lang w:val="en-US"/>
        </w:rPr>
        <w:t>means</w:t>
      </w:r>
      <w:r w:rsidRPr="00FE68E4">
        <w:rPr>
          <w:lang w:val="en-US"/>
        </w:rPr>
        <w:t xml:space="preserve"> to support economic</w:t>
      </w:r>
      <w:r>
        <w:rPr>
          <w:lang w:val="en-US"/>
        </w:rPr>
        <w:t xml:space="preserve"> growth and SME policies as a means to </w:t>
      </w:r>
      <w:r w:rsidRPr="00A84640">
        <w:rPr>
          <w:lang w:val="en-US"/>
        </w:rPr>
        <w:t>effect</w:t>
      </w:r>
      <w:r>
        <w:rPr>
          <w:lang w:val="en-US"/>
        </w:rPr>
        <w:t xml:space="preserve"> social change </w:t>
      </w:r>
      <w:r w:rsidRPr="00FE68E4">
        <w:rPr>
          <w:lang w:val="en-US"/>
        </w:rPr>
        <w:t>(</w:t>
      </w:r>
      <w:proofErr w:type="spellStart"/>
      <w:r>
        <w:rPr>
          <w:lang w:val="en-US"/>
        </w:rPr>
        <w:t>Calás</w:t>
      </w:r>
      <w:proofErr w:type="spellEnd"/>
      <w:r w:rsidRPr="00FE68E4">
        <w:rPr>
          <w:lang w:val="en-US"/>
        </w:rPr>
        <w:t xml:space="preserve"> et al., 2009)</w:t>
      </w:r>
      <w:r>
        <w:rPr>
          <w:lang w:val="en-US"/>
        </w:rPr>
        <w:t>.</w:t>
      </w:r>
      <w:r>
        <w:t xml:space="preserve"> </w:t>
      </w:r>
      <w:r w:rsidRPr="00FE68E4">
        <w:t xml:space="preserve">Recommendations to </w:t>
      </w:r>
      <w:r>
        <w:t>inform</w:t>
      </w:r>
      <w:r w:rsidRPr="00FE68E4">
        <w:t xml:space="preserve"> </w:t>
      </w:r>
      <w:r>
        <w:t xml:space="preserve">gender-inclusive SME measures </w:t>
      </w:r>
      <w:r w:rsidRPr="00FE68E4">
        <w:t xml:space="preserve">are </w:t>
      </w:r>
      <w:r>
        <w:t xml:space="preserve">advanced. </w:t>
      </w:r>
    </w:p>
    <w:p w14:paraId="6A018A14" w14:textId="77777777" w:rsidR="00EE18FD" w:rsidRPr="00C62101" w:rsidRDefault="00EE18FD" w:rsidP="00EE18FD">
      <w:pPr>
        <w:spacing w:line="480" w:lineRule="auto"/>
        <w:jc w:val="both"/>
        <w:rPr>
          <w:i/>
        </w:rPr>
      </w:pPr>
      <w:r w:rsidRPr="009E78A3">
        <w:t>B1.</w:t>
      </w:r>
      <w:r>
        <w:rPr>
          <w:i/>
        </w:rPr>
        <w:t xml:space="preserve"> </w:t>
      </w:r>
      <w:r>
        <w:rPr>
          <w:i/>
        </w:rPr>
        <w:tab/>
        <w:t>Context</w:t>
      </w:r>
    </w:p>
    <w:p w14:paraId="581B0E0F" w14:textId="77777777" w:rsidR="00EE18FD" w:rsidRPr="00C62101" w:rsidRDefault="00EE18FD" w:rsidP="00EE18FD">
      <w:pPr>
        <w:spacing w:line="480" w:lineRule="auto"/>
        <w:jc w:val="both"/>
      </w:pPr>
      <w:r w:rsidRPr="006F1BD4">
        <w:t>Canada is described as progressive with women’s entrepreneurship and feminist policies.</w:t>
      </w:r>
      <w:r w:rsidRPr="006F1BD4">
        <w:rPr>
          <w:i/>
        </w:rPr>
        <w:t xml:space="preserve"> Global Entrepreneurship Monitor</w:t>
      </w:r>
      <w:r w:rsidRPr="006F1BD4">
        <w:t xml:space="preserve"> describes Canada as supportive of women entrepreneurs (Elam et al., 2019). Canada is the sole economy to advance a cross-federal </w:t>
      </w:r>
      <w:r w:rsidRPr="006F1BD4">
        <w:rPr>
          <w:i/>
        </w:rPr>
        <w:t xml:space="preserve">Women </w:t>
      </w:r>
      <w:r>
        <w:rPr>
          <w:i/>
        </w:rPr>
        <w:t>E</w:t>
      </w:r>
      <w:r w:rsidRPr="006F1BD4">
        <w:rPr>
          <w:i/>
        </w:rPr>
        <w:t>ntrepreneurship S</w:t>
      </w:r>
      <w:r w:rsidRPr="006F1BD4">
        <w:t xml:space="preserve">trategy (Government of Canada, 2018). Federal policies and budgets must undergo gender-based analysis plus (GBA+) (Status of </w:t>
      </w:r>
      <w:r>
        <w:t xml:space="preserve">Women </w:t>
      </w:r>
      <w:r w:rsidRPr="006F1BD4">
        <w:t>Canada, 2020). Since 1982, gender equality has been enshrined in the Canadian Charter of Rights and Freedoms. Canada is also recogni</w:t>
      </w:r>
      <w:r>
        <w:t>z</w:t>
      </w:r>
      <w:r w:rsidRPr="006F1BD4">
        <w:t>ed as a leader in advancing legislation to protect the rights of LGBTQ2+ individuals.</w:t>
      </w:r>
      <w:r>
        <w:t xml:space="preserve"> </w:t>
      </w:r>
      <w:r w:rsidRPr="00FE68E4">
        <w:t>Since 2</w:t>
      </w:r>
      <w:r>
        <w:t>01</w:t>
      </w:r>
      <w:r w:rsidRPr="00FE68E4">
        <w:t>6, Canada has integrated equality, women’s economic empowerment and LGBTQ</w:t>
      </w:r>
      <w:r w:rsidRPr="00F10C46">
        <w:t>2</w:t>
      </w:r>
      <w:r w:rsidRPr="006F1BD4">
        <w:t>+</w:t>
      </w:r>
      <w:r w:rsidRPr="00FE68E4">
        <w:t xml:space="preserve"> rights as elements in </w:t>
      </w:r>
      <w:r>
        <w:t xml:space="preserve">its </w:t>
      </w:r>
      <w:r w:rsidRPr="00FE68E4">
        <w:t>domestic and foreign policies.</w:t>
      </w:r>
      <w:r>
        <w:t xml:space="preserve"> To date, f</w:t>
      </w:r>
      <w:r w:rsidRPr="00FE68E4">
        <w:t xml:space="preserve">eminist </w:t>
      </w:r>
      <w:r>
        <w:t>measures</w:t>
      </w:r>
      <w:r w:rsidRPr="00FE68E4">
        <w:t xml:space="preserve"> include </w:t>
      </w:r>
      <w:r w:rsidRPr="00A84640">
        <w:rPr>
          <w:i/>
        </w:rPr>
        <w:t xml:space="preserve">Feminist </w:t>
      </w:r>
      <w:r>
        <w:rPr>
          <w:i/>
        </w:rPr>
        <w:t>i</w:t>
      </w:r>
      <w:r w:rsidRPr="00A84640">
        <w:rPr>
          <w:i/>
        </w:rPr>
        <w:t xml:space="preserve">nternational </w:t>
      </w:r>
      <w:r>
        <w:rPr>
          <w:i/>
        </w:rPr>
        <w:t>a</w:t>
      </w:r>
      <w:r w:rsidRPr="00A84640">
        <w:rPr>
          <w:i/>
        </w:rPr>
        <w:t xml:space="preserve">ssistance </w:t>
      </w:r>
      <w:r>
        <w:rPr>
          <w:i/>
        </w:rPr>
        <w:t>p</w:t>
      </w:r>
      <w:r w:rsidRPr="00A84640">
        <w:rPr>
          <w:i/>
        </w:rPr>
        <w:t>olicy</w:t>
      </w:r>
      <w:r w:rsidRPr="00FE68E4">
        <w:t xml:space="preserve">, </w:t>
      </w:r>
      <w:r w:rsidRPr="00A84640">
        <w:rPr>
          <w:i/>
        </w:rPr>
        <w:t xml:space="preserve">Trade </w:t>
      </w:r>
      <w:r>
        <w:rPr>
          <w:i/>
        </w:rPr>
        <w:t>d</w:t>
      </w:r>
      <w:r w:rsidRPr="00A84640">
        <w:rPr>
          <w:i/>
        </w:rPr>
        <w:t xml:space="preserve">iversification </w:t>
      </w:r>
      <w:r>
        <w:rPr>
          <w:i/>
        </w:rPr>
        <w:t>s</w:t>
      </w:r>
      <w:r w:rsidRPr="00A84640">
        <w:rPr>
          <w:i/>
        </w:rPr>
        <w:t>trategy</w:t>
      </w:r>
      <w:r w:rsidRPr="00FE68E4">
        <w:t xml:space="preserve">, and </w:t>
      </w:r>
      <w:r w:rsidRPr="009E78A3">
        <w:rPr>
          <w:i/>
        </w:rPr>
        <w:t>Gender and Trade Advisory Committee</w:t>
      </w:r>
      <w:r w:rsidRPr="00FE68E4">
        <w:t xml:space="preserve"> (2020).</w:t>
      </w:r>
      <w:r>
        <w:t xml:space="preserve">  </w:t>
      </w:r>
    </w:p>
    <w:p w14:paraId="20F74BC3" w14:textId="77777777" w:rsidR="00EE18FD" w:rsidRPr="00C62101" w:rsidRDefault="00EE18FD" w:rsidP="00EE18FD">
      <w:pPr>
        <w:spacing w:line="480" w:lineRule="auto"/>
        <w:jc w:val="both"/>
        <w:rPr>
          <w:i/>
        </w:rPr>
      </w:pPr>
      <w:r w:rsidRPr="009E78A3">
        <w:t xml:space="preserve">B2. </w:t>
      </w:r>
      <w:r>
        <w:rPr>
          <w:i/>
        </w:rPr>
        <w:tab/>
      </w:r>
      <w:r w:rsidRPr="00FE68E4">
        <w:rPr>
          <w:i/>
        </w:rPr>
        <w:t>Evolution of women’s enterpri</w:t>
      </w:r>
      <w:r>
        <w:rPr>
          <w:i/>
        </w:rPr>
        <w:t>s</w:t>
      </w:r>
      <w:r w:rsidRPr="00FE68E4">
        <w:rPr>
          <w:i/>
        </w:rPr>
        <w:t>e policies</w:t>
      </w:r>
    </w:p>
    <w:p w14:paraId="4A224A69" w14:textId="77777777" w:rsidR="00EE18FD" w:rsidRPr="00FE68E4" w:rsidRDefault="00EE18FD" w:rsidP="00EE18FD">
      <w:pPr>
        <w:spacing w:line="480" w:lineRule="auto"/>
        <w:ind w:firstLine="720"/>
        <w:jc w:val="both"/>
      </w:pPr>
      <w:r w:rsidRPr="00FE68E4">
        <w:lastRenderedPageBreak/>
        <w:t>Following decades of advocacy</w:t>
      </w:r>
      <w:r>
        <w:t xml:space="preserve"> (</w:t>
      </w:r>
      <w:proofErr w:type="spellStart"/>
      <w:r>
        <w:t>Orser</w:t>
      </w:r>
      <w:proofErr w:type="spellEnd"/>
      <w:r>
        <w:t>, 2017)</w:t>
      </w:r>
      <w:r w:rsidRPr="00FE68E4">
        <w:t xml:space="preserve">, </w:t>
      </w:r>
      <w:r>
        <w:t xml:space="preserve">in March 2015, </w:t>
      </w:r>
      <w:r w:rsidRPr="00FE68E4">
        <w:t xml:space="preserve">the </w:t>
      </w:r>
      <w:r>
        <w:t xml:space="preserve">federal </w:t>
      </w:r>
      <w:r w:rsidRPr="00FE68E4">
        <w:t xml:space="preserve">government announced the </w:t>
      </w:r>
      <w:r w:rsidRPr="00FE68E4">
        <w:rPr>
          <w:i/>
        </w:rPr>
        <w:t xml:space="preserve">Action </w:t>
      </w:r>
      <w:r>
        <w:rPr>
          <w:i/>
        </w:rPr>
        <w:t>p</w:t>
      </w:r>
      <w:r w:rsidRPr="00F10C46">
        <w:rPr>
          <w:i/>
        </w:rPr>
        <w:t xml:space="preserve">lan for </w:t>
      </w:r>
      <w:r>
        <w:rPr>
          <w:i/>
        </w:rPr>
        <w:t>w</w:t>
      </w:r>
      <w:r w:rsidRPr="00F10C46">
        <w:rPr>
          <w:i/>
        </w:rPr>
        <w:t xml:space="preserve">omen </w:t>
      </w:r>
      <w:r>
        <w:rPr>
          <w:i/>
        </w:rPr>
        <w:t>e</w:t>
      </w:r>
      <w:r w:rsidRPr="00F10C46">
        <w:rPr>
          <w:i/>
        </w:rPr>
        <w:t>ntrepreneur</w:t>
      </w:r>
      <w:r>
        <w:rPr>
          <w:i/>
        </w:rPr>
        <w:t>s</w:t>
      </w:r>
      <w:r w:rsidRPr="00F10C46">
        <w:t xml:space="preserve"> spearheaded</w:t>
      </w:r>
      <w:r w:rsidRPr="00FE68E4">
        <w:t xml:space="preserve"> by [</w:t>
      </w:r>
      <w:r>
        <w:t xml:space="preserve">the </w:t>
      </w:r>
      <w:r w:rsidRPr="00FE68E4">
        <w:t xml:space="preserve">then] Status of Women Canada. </w:t>
      </w:r>
      <w:r>
        <w:t>Launched</w:t>
      </w:r>
      <w:r w:rsidRPr="00FE68E4">
        <w:t xml:space="preserve"> in a joint meeting of The Honourable Prime Minister Justin Trudeau and President Donald</w:t>
      </w:r>
      <w:r>
        <w:t xml:space="preserve"> </w:t>
      </w:r>
      <w:r w:rsidRPr="00FE68E4">
        <w:t xml:space="preserve">Trump, </w:t>
      </w:r>
      <w:r>
        <w:t>i</w:t>
      </w:r>
      <w:r w:rsidRPr="00FE68E4">
        <w:t>n March 2017, the government announced</w:t>
      </w:r>
      <w:r>
        <w:t xml:space="preserve"> that</w:t>
      </w:r>
      <w:r w:rsidRPr="00FE68E4">
        <w:t xml:space="preserve"> </w:t>
      </w:r>
      <w:r>
        <w:t>t</w:t>
      </w:r>
      <w:r w:rsidRPr="00FE68E4">
        <w:t xml:space="preserve">he Business Council of Canada would manage a </w:t>
      </w:r>
      <w:r w:rsidRPr="00FE68E4">
        <w:rPr>
          <w:i/>
        </w:rPr>
        <w:t>Canada-United States</w:t>
      </w:r>
      <w:r w:rsidRPr="00FE68E4">
        <w:t xml:space="preserve"> </w:t>
      </w:r>
      <w:r>
        <w:rPr>
          <w:i/>
        </w:rPr>
        <w:t>c</w:t>
      </w:r>
      <w:r w:rsidRPr="00FE68E4">
        <w:rPr>
          <w:i/>
        </w:rPr>
        <w:t xml:space="preserve">ouncil for </w:t>
      </w:r>
      <w:r>
        <w:rPr>
          <w:i/>
        </w:rPr>
        <w:t>a</w:t>
      </w:r>
      <w:r w:rsidRPr="00FE68E4">
        <w:rPr>
          <w:i/>
        </w:rPr>
        <w:t xml:space="preserve">dvancement of </w:t>
      </w:r>
      <w:r>
        <w:rPr>
          <w:i/>
        </w:rPr>
        <w:t>w</w:t>
      </w:r>
      <w:r w:rsidRPr="00FE68E4">
        <w:rPr>
          <w:i/>
        </w:rPr>
        <w:t xml:space="preserve">omen </w:t>
      </w:r>
      <w:r>
        <w:rPr>
          <w:i/>
        </w:rPr>
        <w:t>e</w:t>
      </w:r>
      <w:r w:rsidRPr="00FE68E4">
        <w:rPr>
          <w:i/>
        </w:rPr>
        <w:t xml:space="preserve">ntrepreneurs and </w:t>
      </w:r>
      <w:r>
        <w:rPr>
          <w:i/>
        </w:rPr>
        <w:t>b</w:t>
      </w:r>
      <w:r w:rsidRPr="00FE68E4">
        <w:rPr>
          <w:i/>
        </w:rPr>
        <w:t xml:space="preserve">usiness </w:t>
      </w:r>
      <w:r>
        <w:rPr>
          <w:i/>
        </w:rPr>
        <w:t>l</w:t>
      </w:r>
      <w:r w:rsidRPr="00FE68E4">
        <w:rPr>
          <w:i/>
        </w:rPr>
        <w:t>eaders</w:t>
      </w:r>
      <w:r w:rsidRPr="00FE68E4">
        <w:t xml:space="preserve"> (</w:t>
      </w:r>
      <w:r>
        <w:t xml:space="preserve">herein referred to as </w:t>
      </w:r>
      <w:r w:rsidRPr="00FE68E4">
        <w:t>the Council). Women entrepreneurs were represented by women</w:t>
      </w:r>
      <w:r>
        <w:t xml:space="preserve"> who led large</w:t>
      </w:r>
      <w:r w:rsidRPr="00FE68E4">
        <w:t xml:space="preserve"> businesses.</w:t>
      </w:r>
      <w:r>
        <w:t xml:space="preserve"> The</w:t>
      </w:r>
      <w:r w:rsidRPr="00FE68E4">
        <w:t xml:space="preserve"> Council did not include gender or feminist </w:t>
      </w:r>
      <w:r>
        <w:t xml:space="preserve">enterprise </w:t>
      </w:r>
      <w:r w:rsidRPr="00FE68E4">
        <w:t xml:space="preserve">experts, including contributors to </w:t>
      </w:r>
      <w:r>
        <w:t xml:space="preserve">the </w:t>
      </w:r>
      <w:r w:rsidRPr="00FE68E4">
        <w:t xml:space="preserve">taskforces or reports that called for </w:t>
      </w:r>
      <w:r>
        <w:t>market</w:t>
      </w:r>
      <w:r w:rsidRPr="00FE68E4">
        <w:t xml:space="preserve"> intervention. McKinsey &amp; Company (2017)</w:t>
      </w:r>
      <w:r>
        <w:t xml:space="preserve"> was contracted to write</w:t>
      </w:r>
      <w:r w:rsidRPr="00FE68E4">
        <w:t xml:space="preserve"> a series of related reports. None </w:t>
      </w:r>
      <w:r>
        <w:t xml:space="preserve">offered </w:t>
      </w:r>
      <w:r w:rsidRPr="00FE68E4">
        <w:t>criticism of SME policies nor evidence of engagement with feminist</w:t>
      </w:r>
      <w:r>
        <w:t xml:space="preserve"> and</w:t>
      </w:r>
      <w:r w:rsidRPr="00FE68E4">
        <w:t xml:space="preserve"> grassroots </w:t>
      </w:r>
      <w:r>
        <w:t>leaders</w:t>
      </w:r>
      <w:r w:rsidRPr="00FE68E4">
        <w:t xml:space="preserve">. </w:t>
      </w:r>
      <w:r>
        <w:t>The resulting i</w:t>
      </w:r>
      <w:r w:rsidRPr="00FE68E4">
        <w:t>mpacts were negligible.</w:t>
      </w:r>
    </w:p>
    <w:p w14:paraId="208D7E6E" w14:textId="77777777" w:rsidR="00EE18FD" w:rsidRDefault="00EE18FD" w:rsidP="00EE18FD">
      <w:pPr>
        <w:spacing w:line="480" w:lineRule="auto"/>
        <w:ind w:firstLine="720"/>
        <w:jc w:val="both"/>
      </w:pPr>
      <w:r w:rsidRPr="00FE68E4">
        <w:t xml:space="preserve">In 2018, the government announced the </w:t>
      </w:r>
      <w:r w:rsidRPr="00FE68E4">
        <w:rPr>
          <w:i/>
        </w:rPr>
        <w:t xml:space="preserve">Women </w:t>
      </w:r>
      <w:r>
        <w:rPr>
          <w:i/>
        </w:rPr>
        <w:t>E</w:t>
      </w:r>
      <w:r w:rsidRPr="00FE68E4">
        <w:rPr>
          <w:i/>
        </w:rPr>
        <w:t xml:space="preserve">ntrepreneurship </w:t>
      </w:r>
      <w:r>
        <w:rPr>
          <w:i/>
        </w:rPr>
        <w:t>S</w:t>
      </w:r>
      <w:r w:rsidRPr="00FE68E4">
        <w:rPr>
          <w:i/>
        </w:rPr>
        <w:t>trategy</w:t>
      </w:r>
      <w:r w:rsidRPr="00FE68E4">
        <w:t xml:space="preserve"> (WES). The </w:t>
      </w:r>
      <w:r>
        <w:t xml:space="preserve">now </w:t>
      </w:r>
      <w:r w:rsidRPr="00FE68E4">
        <w:t>$5 billion (CDN</w:t>
      </w:r>
      <w:r>
        <w:t>, 2020</w:t>
      </w:r>
      <w:r w:rsidRPr="00FE68E4">
        <w:t xml:space="preserve">) investment </w:t>
      </w:r>
      <w:r>
        <w:t xml:space="preserve">incorporated </w:t>
      </w:r>
      <w:r w:rsidRPr="00FE68E4">
        <w:t>four pillars:</w:t>
      </w:r>
      <w:r>
        <w:t xml:space="preserve"> (1) a </w:t>
      </w:r>
      <w:r w:rsidRPr="00FE68E4">
        <w:t xml:space="preserve">women entrepreneurship fund; </w:t>
      </w:r>
      <w:r>
        <w:t xml:space="preserve">(2) an </w:t>
      </w:r>
      <w:r w:rsidRPr="00FE68E4">
        <w:t xml:space="preserve">ecosystem fund to strengthen capacity within </w:t>
      </w:r>
      <w:r>
        <w:t xml:space="preserve">the </w:t>
      </w:r>
      <w:r w:rsidRPr="00FE68E4">
        <w:t>entrepreneur</w:t>
      </w:r>
      <w:r>
        <w:t xml:space="preserve">ial </w:t>
      </w:r>
      <w:r w:rsidRPr="00FE68E4">
        <w:t xml:space="preserve">ecosystem; </w:t>
      </w:r>
      <w:r>
        <w:t xml:space="preserve">(3) </w:t>
      </w:r>
      <w:r w:rsidRPr="00FE68E4">
        <w:t>Women’s Entrepreneurship Knowledge Hub; and</w:t>
      </w:r>
      <w:r>
        <w:t xml:space="preserve"> (4)</w:t>
      </w:r>
      <w:r w:rsidRPr="00FE68E4">
        <w:t xml:space="preserve"> </w:t>
      </w:r>
      <w:r>
        <w:t xml:space="preserve">Expert </w:t>
      </w:r>
      <w:r w:rsidRPr="00FE68E4">
        <w:t xml:space="preserve">Advisory Panel. The </w:t>
      </w:r>
      <w:r>
        <w:t xml:space="preserve">federal </w:t>
      </w:r>
      <w:r w:rsidRPr="00FE68E4">
        <w:t>government subsequently committed to increase the participation of businesses led by Canadians from under-represented groups, including women, in the government marketplace</w:t>
      </w:r>
      <w:r>
        <w:t xml:space="preserve"> (OECD, 2020a)</w:t>
      </w:r>
      <w:r w:rsidRPr="00FE68E4">
        <w:t>.</w:t>
      </w:r>
    </w:p>
    <w:p w14:paraId="6F380518" w14:textId="77777777" w:rsidR="00EE18FD" w:rsidRDefault="00EE18FD" w:rsidP="00EE18FD">
      <w:pPr>
        <w:spacing w:line="480" w:lineRule="auto"/>
        <w:ind w:firstLine="720"/>
        <w:jc w:val="both"/>
      </w:pPr>
      <w:r>
        <w:t>I</w:t>
      </w:r>
      <w:r w:rsidRPr="00FE68E4">
        <w:t>n March 2020</w:t>
      </w:r>
      <w:r>
        <w:t>,</w:t>
      </w:r>
      <w:r w:rsidRPr="00FE68E4">
        <w:t xml:space="preserve"> the</w:t>
      </w:r>
      <w:r>
        <w:t xml:space="preserve"> government </w:t>
      </w:r>
      <w:r w:rsidRPr="00FE68E4">
        <w:t>introduced relief measures</w:t>
      </w:r>
      <w:r>
        <w:t xml:space="preserve"> </w:t>
      </w:r>
      <w:r w:rsidRPr="00FE68E4">
        <w:t xml:space="preserve">including </w:t>
      </w:r>
      <w:r>
        <w:t>funding</w:t>
      </w:r>
      <w:r w:rsidRPr="00FE68E4">
        <w:t xml:space="preserve"> targeted </w:t>
      </w:r>
      <w:r>
        <w:t xml:space="preserve">specifically </w:t>
      </w:r>
      <w:r w:rsidRPr="00FE68E4">
        <w:t>at SMEs (OECD, 2020b). Provisions included salaries and wages subsidies</w:t>
      </w:r>
      <w:r>
        <w:t>,</w:t>
      </w:r>
      <w:r w:rsidRPr="00FE68E4">
        <w:t xml:space="preserve"> emergency rent subsid</w:t>
      </w:r>
      <w:r>
        <w:t>ies</w:t>
      </w:r>
      <w:r w:rsidRPr="00FE68E4">
        <w:t xml:space="preserve"> and mortgage support</w:t>
      </w:r>
      <w:r>
        <w:t>,</w:t>
      </w:r>
      <w:r w:rsidRPr="00FE68E4">
        <w:t xml:space="preserve"> and credit support. The </w:t>
      </w:r>
      <w:r w:rsidRPr="00FE68E4">
        <w:rPr>
          <w:i/>
        </w:rPr>
        <w:t xml:space="preserve">Canada </w:t>
      </w:r>
      <w:r>
        <w:rPr>
          <w:i/>
        </w:rPr>
        <w:t>E</w:t>
      </w:r>
      <w:r w:rsidRPr="00FE68E4">
        <w:rPr>
          <w:i/>
        </w:rPr>
        <w:t xml:space="preserve">mergency </w:t>
      </w:r>
      <w:r>
        <w:rPr>
          <w:i/>
        </w:rPr>
        <w:t>B</w:t>
      </w:r>
      <w:r w:rsidRPr="00FE68E4">
        <w:rPr>
          <w:i/>
        </w:rPr>
        <w:t xml:space="preserve">usiness </w:t>
      </w:r>
      <w:r>
        <w:rPr>
          <w:i/>
        </w:rPr>
        <w:t>A</w:t>
      </w:r>
      <w:r w:rsidRPr="00FE68E4">
        <w:rPr>
          <w:i/>
        </w:rPr>
        <w:t>ccount</w:t>
      </w:r>
      <w:r w:rsidRPr="00FE68E4">
        <w:t xml:space="preserve"> (CEBA), for example, </w:t>
      </w:r>
      <w:r>
        <w:t xml:space="preserve">has </w:t>
      </w:r>
      <w:r w:rsidRPr="00FE68E4">
        <w:t>provided over 790,000 small businesses and non-profits with partially forgivable interest-free loans</w:t>
      </w:r>
      <w:r>
        <w:t xml:space="preserve"> (Government of Canada, 2020)</w:t>
      </w:r>
      <w:r w:rsidRPr="00FE68E4">
        <w:t xml:space="preserve">. </w:t>
      </w:r>
    </w:p>
    <w:p w14:paraId="53286054" w14:textId="77777777" w:rsidR="00EE18FD" w:rsidRPr="00FE68E4" w:rsidRDefault="00EE18FD" w:rsidP="00EE18FD">
      <w:pPr>
        <w:spacing w:line="480" w:lineRule="auto"/>
        <w:ind w:firstLine="720"/>
        <w:jc w:val="both"/>
      </w:pPr>
      <w:r w:rsidRPr="00FE68E4">
        <w:lastRenderedPageBreak/>
        <w:t>In July 2020, the government announced $15 million</w:t>
      </w:r>
      <w:r>
        <w:t xml:space="preserve"> (CDN)</w:t>
      </w:r>
      <w:r w:rsidRPr="00FE68E4">
        <w:t xml:space="preserve"> targeted at women enterprise </w:t>
      </w:r>
      <w:r>
        <w:t xml:space="preserve">support </w:t>
      </w:r>
      <w:r w:rsidRPr="00FE68E4">
        <w:t>organi</w:t>
      </w:r>
      <w:r>
        <w:t>z</w:t>
      </w:r>
      <w:r w:rsidRPr="00FE68E4">
        <w:t>ations. Funding was, in part, delivered through four Western Women Enterprise Initiative</w:t>
      </w:r>
      <w:r>
        <w:t xml:space="preserve"> </w:t>
      </w:r>
      <w:r w:rsidRPr="00FE68E4">
        <w:t xml:space="preserve">centres </w:t>
      </w:r>
      <w:r>
        <w:t>that had</w:t>
      </w:r>
      <w:r w:rsidRPr="00FE68E4">
        <w:t xml:space="preserve"> loan adjudication capacity. </w:t>
      </w:r>
      <w:r>
        <w:t>These r</w:t>
      </w:r>
      <w:r w:rsidRPr="00FE68E4">
        <w:t xml:space="preserve">egional loan adjudication capabilities offset centralist (e.g., Toronto-centric) investments. </w:t>
      </w:r>
      <w:r w:rsidRPr="00FE68E4">
        <w:rPr>
          <w:lang w:val="en-US"/>
        </w:rPr>
        <w:t>In September 2020</w:t>
      </w:r>
      <w:r w:rsidRPr="00FE68E4">
        <w:rPr>
          <w:i/>
          <w:lang w:val="en-US"/>
        </w:rPr>
        <w:t xml:space="preserve"> </w:t>
      </w:r>
      <w:r>
        <w:rPr>
          <w:iCs/>
          <w:lang w:val="en-US"/>
        </w:rPr>
        <w:t>t</w:t>
      </w:r>
      <w:r w:rsidRPr="006F1BD4">
        <w:rPr>
          <w:iCs/>
          <w:lang w:val="en-US"/>
        </w:rPr>
        <w:t>he</w:t>
      </w:r>
      <w:r w:rsidRPr="00880D65">
        <w:rPr>
          <w:i/>
          <w:lang w:val="en-US"/>
        </w:rPr>
        <w:t xml:space="preserve"> </w:t>
      </w:r>
      <w:r w:rsidRPr="00FE68E4">
        <w:rPr>
          <w:i/>
          <w:lang w:val="en-US"/>
        </w:rPr>
        <w:t xml:space="preserve">Black </w:t>
      </w:r>
      <w:r>
        <w:rPr>
          <w:i/>
          <w:lang w:val="en-US"/>
        </w:rPr>
        <w:t>E</w:t>
      </w:r>
      <w:r w:rsidRPr="00FE68E4">
        <w:rPr>
          <w:i/>
          <w:lang w:val="en-US"/>
        </w:rPr>
        <w:t>ntrepreneurship</w:t>
      </w:r>
      <w:r>
        <w:rPr>
          <w:i/>
          <w:lang w:val="en-US"/>
        </w:rPr>
        <w:t xml:space="preserve"> Program</w:t>
      </w:r>
      <w:r w:rsidRPr="00FE68E4">
        <w:rPr>
          <w:i/>
          <w:lang w:val="en-US"/>
        </w:rPr>
        <w:t xml:space="preserve"> </w:t>
      </w:r>
      <w:r w:rsidRPr="00FE68E4">
        <w:rPr>
          <w:lang w:val="en-US"/>
        </w:rPr>
        <w:t xml:space="preserve">was </w:t>
      </w:r>
      <w:r>
        <w:rPr>
          <w:lang w:val="en-US"/>
        </w:rPr>
        <w:t>announced.</w:t>
      </w:r>
      <w:r w:rsidRPr="00FE68E4">
        <w:rPr>
          <w:lang w:val="en-US"/>
        </w:rPr>
        <w:t xml:space="preserve"> </w:t>
      </w:r>
      <w:r>
        <w:rPr>
          <w:lang w:val="en-US"/>
        </w:rPr>
        <w:t>Similar to the pillars of the Women Entrepreneurship Strategy, the initiative</w:t>
      </w:r>
      <w:r w:rsidRPr="00FE68E4">
        <w:rPr>
          <w:lang w:val="en-US"/>
        </w:rPr>
        <w:t xml:space="preserve"> includes national ecosystem funding, </w:t>
      </w:r>
      <w:r>
        <w:rPr>
          <w:lang w:val="en-US"/>
        </w:rPr>
        <w:t xml:space="preserve">a </w:t>
      </w:r>
      <w:r w:rsidRPr="00FE68E4">
        <w:rPr>
          <w:lang w:val="en-US"/>
        </w:rPr>
        <w:t xml:space="preserve">Black </w:t>
      </w:r>
      <w:r>
        <w:rPr>
          <w:lang w:val="en-US"/>
        </w:rPr>
        <w:t>e</w:t>
      </w:r>
      <w:r w:rsidRPr="00FE68E4">
        <w:rPr>
          <w:lang w:val="en-US"/>
        </w:rPr>
        <w:t xml:space="preserve">ntrepreneur loan fund, and </w:t>
      </w:r>
      <w:r>
        <w:rPr>
          <w:lang w:val="en-US"/>
        </w:rPr>
        <w:t xml:space="preserve">a </w:t>
      </w:r>
      <w:r w:rsidRPr="00FE68E4">
        <w:rPr>
          <w:lang w:val="en-US"/>
        </w:rPr>
        <w:t xml:space="preserve">Black </w:t>
      </w:r>
      <w:r>
        <w:rPr>
          <w:lang w:val="en-US"/>
        </w:rPr>
        <w:t>e</w:t>
      </w:r>
      <w:r w:rsidRPr="00FE68E4">
        <w:rPr>
          <w:lang w:val="en-US"/>
        </w:rPr>
        <w:t xml:space="preserve">ntrepreneurship </w:t>
      </w:r>
      <w:r>
        <w:rPr>
          <w:lang w:val="en-US"/>
        </w:rPr>
        <w:t>k</w:t>
      </w:r>
      <w:r w:rsidRPr="00FE68E4">
        <w:rPr>
          <w:lang w:val="en-US"/>
        </w:rPr>
        <w:t xml:space="preserve">nowledge </w:t>
      </w:r>
      <w:r>
        <w:rPr>
          <w:lang w:val="en-US"/>
        </w:rPr>
        <w:t>h</w:t>
      </w:r>
      <w:r w:rsidRPr="00FE68E4">
        <w:rPr>
          <w:lang w:val="en-US"/>
        </w:rPr>
        <w:t xml:space="preserve">ub. </w:t>
      </w:r>
      <w:r>
        <w:rPr>
          <w:lang w:val="en-US"/>
        </w:rPr>
        <w:t xml:space="preserve">The government has also </w:t>
      </w:r>
      <w:r w:rsidRPr="00FE68E4">
        <w:rPr>
          <w:lang w:val="en-US"/>
        </w:rPr>
        <w:t>commit</w:t>
      </w:r>
      <w:r>
        <w:rPr>
          <w:lang w:val="en-US"/>
        </w:rPr>
        <w:t xml:space="preserve">ted to </w:t>
      </w:r>
      <w:r w:rsidRPr="00FE68E4">
        <w:rPr>
          <w:lang w:val="en-US"/>
        </w:rPr>
        <w:t>increas</w:t>
      </w:r>
      <w:r>
        <w:rPr>
          <w:lang w:val="en-US"/>
        </w:rPr>
        <w:t>ing</w:t>
      </w:r>
      <w:r w:rsidRPr="00FE68E4">
        <w:rPr>
          <w:lang w:val="en-US"/>
        </w:rPr>
        <w:t xml:space="preserve"> Black entrepreneurs’ access to federal contracts</w:t>
      </w:r>
      <w:r>
        <w:rPr>
          <w:lang w:val="en-US"/>
        </w:rPr>
        <w:t xml:space="preserve"> (CBC.ca, 2020)</w:t>
      </w:r>
      <w:r w:rsidRPr="00FE68E4">
        <w:rPr>
          <w:lang w:val="en-US"/>
        </w:rPr>
        <w:t>.</w:t>
      </w:r>
    </w:p>
    <w:p w14:paraId="4F046509" w14:textId="77777777" w:rsidR="00EE18FD" w:rsidRDefault="00EE18FD" w:rsidP="00EE18FD">
      <w:pPr>
        <w:spacing w:line="480" w:lineRule="auto"/>
        <w:ind w:firstLine="720"/>
        <w:jc w:val="both"/>
      </w:pPr>
      <w:r w:rsidRPr="00FE68E4">
        <w:t xml:space="preserve">In December 2020, the </w:t>
      </w:r>
      <w:r>
        <w:t>government</w:t>
      </w:r>
      <w:r w:rsidRPr="00FE68E4">
        <w:t xml:space="preserve"> </w:t>
      </w:r>
      <w:r>
        <w:t>announced within an economic statement</w:t>
      </w:r>
      <w:r w:rsidRPr="00FE68E4">
        <w:t xml:space="preserve"> a </w:t>
      </w:r>
      <w:r>
        <w:t>‘</w:t>
      </w:r>
      <w:r w:rsidRPr="00FE68E4">
        <w:t>feminist</w:t>
      </w:r>
      <w:r>
        <w:t>’</w:t>
      </w:r>
      <w:r w:rsidRPr="00FE68E4">
        <w:t xml:space="preserve"> recovery plan under </w:t>
      </w:r>
      <w:r>
        <w:t xml:space="preserve">the refrain to </w:t>
      </w:r>
      <w:r w:rsidRPr="00FE68E4">
        <w:t xml:space="preserve">“build back better” </w:t>
      </w:r>
      <w:r>
        <w:t>to</w:t>
      </w:r>
      <w:r w:rsidRPr="00FE68E4">
        <w:t xml:space="preserve"> address structural challenges that impede inclusive economic progress.</w:t>
      </w:r>
      <w:r>
        <w:t xml:space="preserve"> </w:t>
      </w:r>
      <w:r w:rsidRPr="00FE68E4">
        <w:t xml:space="preserve">The </w:t>
      </w:r>
      <w:r>
        <w:t xml:space="preserve">economic </w:t>
      </w:r>
      <w:r w:rsidRPr="00FE68E4">
        <w:t xml:space="preserve">statement specified </w:t>
      </w:r>
      <w:r>
        <w:t xml:space="preserve">that </w:t>
      </w:r>
      <w:r w:rsidRPr="00FE68E4">
        <w:t xml:space="preserve">policies and investments </w:t>
      </w:r>
      <w:r>
        <w:t xml:space="preserve">are to </w:t>
      </w:r>
      <w:r w:rsidRPr="00FE68E4">
        <w:t xml:space="preserve">be evaluated and tracked based on how measures affect women, men, youth, members of the LGBTQ2+ community, persons with disabilities, racialized Canadians, and Indigenous peoples. The </w:t>
      </w:r>
      <w:r>
        <w:t>report</w:t>
      </w:r>
      <w:r w:rsidRPr="00FE68E4">
        <w:t xml:space="preserve"> </w:t>
      </w:r>
      <w:r>
        <w:t xml:space="preserve">also </w:t>
      </w:r>
      <w:r w:rsidRPr="00FE68E4">
        <w:t xml:space="preserve">introduced a </w:t>
      </w:r>
      <w:r w:rsidRPr="00FE68E4">
        <w:rPr>
          <w:i/>
        </w:rPr>
        <w:t>gender-results framework</w:t>
      </w:r>
      <w:r w:rsidRPr="00FE68E4">
        <w:t xml:space="preserve"> t</w:t>
      </w:r>
      <w:r>
        <w:t>hat</w:t>
      </w:r>
      <w:r w:rsidRPr="00FE68E4">
        <w:t xml:space="preserve"> prioritize</w:t>
      </w:r>
      <w:r>
        <w:t>s</w:t>
      </w:r>
      <w:r w:rsidRPr="00FE68E4">
        <w:t xml:space="preserve">: education and skills development; equal and </w:t>
      </w:r>
      <w:r w:rsidRPr="00D836A6">
        <w:t xml:space="preserve">full </w:t>
      </w:r>
      <w:r w:rsidRPr="00D836A6">
        <w:rPr>
          <w:lang w:val="en-US"/>
        </w:rPr>
        <w:t>participation</w:t>
      </w:r>
      <w:r w:rsidRPr="00D836A6">
        <w:t xml:space="preserve"> in the economy; gender-based violence and harassment; security of person and access to justice; poverty</w:t>
      </w:r>
      <w:r w:rsidRPr="00FE68E4">
        <w:t xml:space="preserve"> and health outcomes; gender equality around the world; and gender equality in leadership (Government of Canada, 2020, p. xi).</w:t>
      </w:r>
      <w:r>
        <w:t xml:space="preserve"> </w:t>
      </w:r>
    </w:p>
    <w:p w14:paraId="76A4E109" w14:textId="77777777" w:rsidR="00EE18FD" w:rsidRDefault="00EE18FD" w:rsidP="00EE18FD">
      <w:pPr>
        <w:spacing w:line="480" w:lineRule="auto"/>
        <w:ind w:firstLine="720"/>
        <w:jc w:val="both"/>
        <w:rPr>
          <w:lang w:val="en-US"/>
        </w:rPr>
      </w:pPr>
      <w:r w:rsidRPr="00FE68E4">
        <w:rPr>
          <w:lang w:val="en-US"/>
        </w:rPr>
        <w:t xml:space="preserve">Gender differences in uptake of relief measures </w:t>
      </w:r>
      <w:r>
        <w:rPr>
          <w:lang w:val="en-US"/>
        </w:rPr>
        <w:t xml:space="preserve">were also </w:t>
      </w:r>
      <w:r w:rsidRPr="00FE68E4">
        <w:rPr>
          <w:lang w:val="en-US"/>
        </w:rPr>
        <w:t xml:space="preserve">reported. </w:t>
      </w:r>
      <w:r>
        <w:rPr>
          <w:lang w:val="en-US"/>
        </w:rPr>
        <w:t>As of f</w:t>
      </w:r>
      <w:r w:rsidRPr="00FE68E4">
        <w:rPr>
          <w:lang w:val="en-US"/>
        </w:rPr>
        <w:t>all 2020, half (54</w:t>
      </w:r>
      <w:r>
        <w:rPr>
          <w:lang w:val="en-US"/>
        </w:rPr>
        <w:t>%</w:t>
      </w:r>
      <w:r w:rsidRPr="00FE68E4">
        <w:rPr>
          <w:lang w:val="en-US"/>
        </w:rPr>
        <w:t xml:space="preserve">) of </w:t>
      </w:r>
      <w:r>
        <w:rPr>
          <w:lang w:val="en-US"/>
        </w:rPr>
        <w:t>businesses</w:t>
      </w:r>
      <w:r w:rsidRPr="00FE68E4">
        <w:rPr>
          <w:lang w:val="en-US"/>
        </w:rPr>
        <w:t xml:space="preserve"> in Canada had applied for and received relief CEBA</w:t>
      </w:r>
      <w:r>
        <w:rPr>
          <w:lang w:val="en-US"/>
        </w:rPr>
        <w:t xml:space="preserve"> funding</w:t>
      </w:r>
      <w:r w:rsidRPr="00FE68E4">
        <w:rPr>
          <w:lang w:val="en-US"/>
        </w:rPr>
        <w:t xml:space="preserve">. </w:t>
      </w:r>
      <w:r>
        <w:rPr>
          <w:lang w:val="en-US"/>
        </w:rPr>
        <w:t xml:space="preserve">Women-owned were less likely to apply for CEBA funds relative to other under-represented groups of entrepreneurs: </w:t>
      </w:r>
      <w:r w:rsidRPr="00FE68E4">
        <w:rPr>
          <w:lang w:val="en-US"/>
        </w:rPr>
        <w:t>“Businesses that were majority owned by Indigenous persons (56 per cent), immigrants (61 percent), members of LGBTQ2</w:t>
      </w:r>
      <w:r>
        <w:rPr>
          <w:lang w:val="en-US"/>
        </w:rPr>
        <w:t>+</w:t>
      </w:r>
      <w:r w:rsidRPr="00FE68E4">
        <w:rPr>
          <w:lang w:val="en-US"/>
        </w:rPr>
        <w:t xml:space="preserve"> communities (57 percent) and visible minorities </w:t>
      </w:r>
      <w:r w:rsidRPr="00FE68E4">
        <w:rPr>
          <w:lang w:val="en-US"/>
        </w:rPr>
        <w:lastRenderedPageBreak/>
        <w:t>(61 per cent) were more likely to report applying for and receiving the CEBA than those that were majority-owned by women (50 per cent) and persons with a disability (49 per cent).” (Government of Canada, 2020, p. 28).</w:t>
      </w:r>
      <w:r>
        <w:rPr>
          <w:lang w:val="en-US"/>
        </w:rPr>
        <w:t xml:space="preserve"> </w:t>
      </w:r>
    </w:p>
    <w:p w14:paraId="2E59FD26" w14:textId="77777777" w:rsidR="00EE18FD" w:rsidRDefault="00EE18FD" w:rsidP="00EE18FD">
      <w:pPr>
        <w:spacing w:line="480" w:lineRule="auto"/>
        <w:ind w:firstLine="720"/>
        <w:jc w:val="both"/>
        <w:rPr>
          <w:lang w:val="en-US"/>
        </w:rPr>
      </w:pPr>
      <w:r>
        <w:rPr>
          <w:lang w:val="en-US"/>
        </w:rPr>
        <w:t>Policy recommendations to strengthen Canadian recovery measures are summarized in Table B1. The left column lists the key parameters of entrepreneurial feminist policy advanced in this study. The middle column identifies elements of the Women’s Entrepreneurship Policy (WES, Canada, 2018) that align with each of the ten parameters. The WES framework is predicated on the paradigm of entrepreneurship as a positive economic activity (</w:t>
      </w:r>
      <w:proofErr w:type="spellStart"/>
      <w:r>
        <w:rPr>
          <w:lang w:val="en-US"/>
        </w:rPr>
        <w:t>Calas</w:t>
      </w:r>
      <w:proofErr w:type="spellEnd"/>
      <w:r>
        <w:rPr>
          <w:lang w:val="en-US"/>
        </w:rPr>
        <w:t xml:space="preserve"> et al., 2009). The table enables readers to differentiate  two theoretical approaches and implications of women’s enterprise versus feminist SME policies. </w:t>
      </w:r>
    </w:p>
    <w:p w14:paraId="4D515D6A" w14:textId="77777777" w:rsidR="00EE18FD" w:rsidRDefault="00EE18FD" w:rsidP="00EE18FD">
      <w:pPr>
        <w:spacing w:line="480" w:lineRule="auto"/>
        <w:ind w:firstLine="720"/>
        <w:jc w:val="both"/>
        <w:rPr>
          <w:lang w:val="en-US"/>
        </w:rPr>
      </w:pPr>
      <w:r>
        <w:rPr>
          <w:lang w:val="en-US"/>
        </w:rPr>
        <w:t>T</w:t>
      </w:r>
      <w:r w:rsidRPr="00A60C52">
        <w:rPr>
          <w:lang w:val="en-US"/>
        </w:rPr>
        <w:t xml:space="preserve">able </w:t>
      </w:r>
      <w:r>
        <w:rPr>
          <w:lang w:val="en-US"/>
        </w:rPr>
        <w:t>1 indicates</w:t>
      </w:r>
      <w:r w:rsidRPr="00A60C52">
        <w:rPr>
          <w:lang w:val="en-US"/>
        </w:rPr>
        <w:t xml:space="preserve"> that the Women Entrepreneurship Strategy </w:t>
      </w:r>
      <w:r>
        <w:rPr>
          <w:lang w:val="en-US"/>
        </w:rPr>
        <w:t xml:space="preserve">(Canada, 2018) </w:t>
      </w:r>
      <w:r w:rsidRPr="00A60C52">
        <w:rPr>
          <w:lang w:val="en-US"/>
        </w:rPr>
        <w:t>is predicated on neo-liberal feminis</w:t>
      </w:r>
      <w:r>
        <w:rPr>
          <w:lang w:val="en-US"/>
        </w:rPr>
        <w:t>m</w:t>
      </w:r>
      <w:r w:rsidRPr="00A60C52">
        <w:rPr>
          <w:lang w:val="en-US"/>
        </w:rPr>
        <w:t xml:space="preserve"> or </w:t>
      </w:r>
      <w:r>
        <w:rPr>
          <w:lang w:val="en-US"/>
        </w:rPr>
        <w:t xml:space="preserve">a </w:t>
      </w:r>
      <w:r w:rsidRPr="00A60C52">
        <w:rPr>
          <w:lang w:val="en-US"/>
        </w:rPr>
        <w:t xml:space="preserve"> “deficiency model” of enterprise policy</w:t>
      </w:r>
      <w:r>
        <w:rPr>
          <w:lang w:val="en-US"/>
        </w:rPr>
        <w:t>. The theoretical underpinning is neo-liberal feminist perspective (</w:t>
      </w:r>
      <w:proofErr w:type="spellStart"/>
      <w:r>
        <w:rPr>
          <w:lang w:val="en-US"/>
        </w:rPr>
        <w:t>Ahl</w:t>
      </w:r>
      <w:proofErr w:type="spellEnd"/>
      <w:r>
        <w:rPr>
          <w:lang w:val="en-US"/>
        </w:rPr>
        <w:t xml:space="preserve">, 2006). This perspective assumes that </w:t>
      </w:r>
      <w:r w:rsidRPr="00A60C52">
        <w:rPr>
          <w:lang w:val="en-US"/>
        </w:rPr>
        <w:t>entrepreneurship as the product of individual opportunity recognition, often driven by the desire to maximize personal wealth (</w:t>
      </w:r>
      <w:proofErr w:type="spellStart"/>
      <w:r w:rsidRPr="00A60C52">
        <w:rPr>
          <w:lang w:val="en-US"/>
        </w:rPr>
        <w:t>Calás</w:t>
      </w:r>
      <w:proofErr w:type="spellEnd"/>
      <w:r w:rsidRPr="00A60C52">
        <w:rPr>
          <w:lang w:val="en-US"/>
        </w:rPr>
        <w:t xml:space="preserve">, </w:t>
      </w:r>
      <w:proofErr w:type="spellStart"/>
      <w:r w:rsidRPr="00A60C52">
        <w:rPr>
          <w:lang w:val="en-US"/>
        </w:rPr>
        <w:t>Smircich</w:t>
      </w:r>
      <w:proofErr w:type="spellEnd"/>
      <w:r w:rsidRPr="00A60C52">
        <w:rPr>
          <w:lang w:val="en-US"/>
        </w:rPr>
        <w:t xml:space="preserve">, </w:t>
      </w:r>
      <w:r>
        <w:rPr>
          <w:lang w:val="en-US"/>
        </w:rPr>
        <w:t>&amp;</w:t>
      </w:r>
      <w:r w:rsidRPr="00A60C52">
        <w:rPr>
          <w:lang w:val="en-US"/>
        </w:rPr>
        <w:t xml:space="preserve"> Bourne 2009).</w:t>
      </w:r>
      <w:r>
        <w:rPr>
          <w:lang w:val="en-US"/>
        </w:rPr>
        <w:t xml:space="preserve"> </w:t>
      </w:r>
      <w:r w:rsidRPr="00A60C52">
        <w:rPr>
          <w:lang w:val="en-US"/>
        </w:rPr>
        <w:t>The perspective assumes that</w:t>
      </w:r>
      <w:r>
        <w:rPr>
          <w:lang w:val="en-US"/>
        </w:rPr>
        <w:t>,</w:t>
      </w:r>
      <w:r w:rsidRPr="00A60C52">
        <w:rPr>
          <w:lang w:val="en-US"/>
        </w:rPr>
        <w:t xml:space="preserve"> “women’s entrepreneurship is akin to venture creation and individual choice.” (Coleman et al., p. 5).</w:t>
      </w:r>
      <w:r>
        <w:rPr>
          <w:lang w:val="en-US"/>
        </w:rPr>
        <w:t xml:space="preserve"> The right column contrasts SME policies predicated on entrepreneurial feminist theory.</w:t>
      </w:r>
      <w:r w:rsidRPr="00A60C52">
        <w:rPr>
          <w:lang w:val="en-US"/>
        </w:rPr>
        <w:t xml:space="preserve"> </w:t>
      </w:r>
      <w:r>
        <w:rPr>
          <w:lang w:val="en-US"/>
        </w:rPr>
        <w:t xml:space="preserve">The principles of entrepreneurial feminism are described in the journal article. Suggested modifications to the WES strategy that align with feminist entrepreneurship policy are reported in the right column. The table indicates that SME policy measures predicated on the two perspectives differ with respect to mandate, focus of inclusion and extent to which interventions seek to redress power differentials within entrepreneurial ecosystems.  </w:t>
      </w:r>
    </w:p>
    <w:p w14:paraId="457997B4" w14:textId="77777777" w:rsidR="00EE18FD" w:rsidRDefault="00EE18FD" w:rsidP="00EE18FD">
      <w:pPr>
        <w:spacing w:line="480" w:lineRule="auto"/>
        <w:ind w:firstLine="720"/>
        <w:jc w:val="both"/>
        <w:rPr>
          <w:lang w:val="en-US"/>
        </w:rPr>
      </w:pPr>
    </w:p>
    <w:p w14:paraId="64BDB951" w14:textId="77777777" w:rsidR="00EE18FD" w:rsidRDefault="00EE18FD" w:rsidP="00EE18FD">
      <w:pPr>
        <w:spacing w:after="120"/>
        <w:rPr>
          <w:lang w:val="en-US"/>
        </w:rPr>
      </w:pPr>
    </w:p>
    <w:p w14:paraId="5D7B4BF7" w14:textId="77777777" w:rsidR="00EE18FD" w:rsidRDefault="00EE18FD" w:rsidP="00EE18FD">
      <w:r>
        <w:br w:type="page"/>
      </w:r>
    </w:p>
    <w:p w14:paraId="5E1E2004" w14:textId="77777777" w:rsidR="00EE18FD" w:rsidRPr="00FE68E4" w:rsidRDefault="00EE18FD" w:rsidP="00EE18FD">
      <w:pPr>
        <w:spacing w:after="120"/>
      </w:pPr>
      <w:r w:rsidRPr="00FE68E4">
        <w:lastRenderedPageBreak/>
        <w:t xml:space="preserve">Table </w:t>
      </w:r>
      <w:r>
        <w:t>1.</w:t>
      </w:r>
      <w:r w:rsidRPr="00FE68E4">
        <w:t xml:space="preserve"> </w:t>
      </w:r>
      <w:r>
        <w:t xml:space="preserve">Canada Women Entrepreneurship Strategy: Comparison of neo-liberal and entrepreneurial feminist SME recovery policies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6"/>
        <w:gridCol w:w="3969"/>
      </w:tblGrid>
      <w:tr w:rsidR="00EE18FD" w:rsidRPr="00FE68E4" w14:paraId="7E1BCD63" w14:textId="77777777" w:rsidTr="00745795">
        <w:trPr>
          <w:trHeight w:val="354"/>
        </w:trPr>
        <w:tc>
          <w:tcPr>
            <w:tcW w:w="1701" w:type="dxa"/>
            <w:vMerge w:val="restart"/>
            <w:shd w:val="clear" w:color="auto" w:fill="auto"/>
          </w:tcPr>
          <w:p w14:paraId="44BF18C3" w14:textId="77777777" w:rsidR="00EE18FD" w:rsidRPr="00BF44EE" w:rsidRDefault="00EE18FD" w:rsidP="00745795">
            <w:pPr>
              <w:spacing w:before="60" w:after="60"/>
              <w:rPr>
                <w:sz w:val="20"/>
                <w:szCs w:val="20"/>
              </w:rPr>
            </w:pPr>
            <w:r w:rsidRPr="00BF44EE">
              <w:rPr>
                <w:sz w:val="20"/>
                <w:szCs w:val="20"/>
              </w:rPr>
              <w:t xml:space="preserve">Paradigm </w:t>
            </w:r>
          </w:p>
          <w:p w14:paraId="7225CC79" w14:textId="77777777" w:rsidR="00EE18FD" w:rsidRPr="00BF44EE" w:rsidRDefault="00EE18FD" w:rsidP="00745795">
            <w:pPr>
              <w:rPr>
                <w:sz w:val="20"/>
                <w:szCs w:val="20"/>
              </w:rPr>
            </w:pPr>
          </w:p>
          <w:p w14:paraId="2F2243C8" w14:textId="77777777" w:rsidR="00EE18FD" w:rsidRPr="00BF44EE" w:rsidRDefault="00EE18FD" w:rsidP="00745795">
            <w:pPr>
              <w:rPr>
                <w:sz w:val="20"/>
                <w:szCs w:val="20"/>
              </w:rPr>
            </w:pPr>
            <w:r w:rsidRPr="00BF44EE">
              <w:rPr>
                <w:sz w:val="20"/>
                <w:szCs w:val="20"/>
              </w:rPr>
              <w:t xml:space="preserve"> </w:t>
            </w:r>
          </w:p>
        </w:tc>
        <w:tc>
          <w:tcPr>
            <w:tcW w:w="3686" w:type="dxa"/>
          </w:tcPr>
          <w:p w14:paraId="508F1304" w14:textId="77777777" w:rsidR="00EE18FD" w:rsidRPr="00BF44EE" w:rsidRDefault="00EE18FD" w:rsidP="00745795">
            <w:pPr>
              <w:spacing w:before="60" w:after="60"/>
              <w:jc w:val="center"/>
              <w:rPr>
                <w:sz w:val="20"/>
                <w:szCs w:val="20"/>
              </w:rPr>
            </w:pPr>
            <w:r w:rsidRPr="00BF44EE">
              <w:rPr>
                <w:sz w:val="20"/>
                <w:szCs w:val="20"/>
              </w:rPr>
              <w:t>Neo-liberal feminism</w:t>
            </w:r>
          </w:p>
        </w:tc>
        <w:tc>
          <w:tcPr>
            <w:tcW w:w="3969" w:type="dxa"/>
          </w:tcPr>
          <w:p w14:paraId="1BD9659C" w14:textId="77777777" w:rsidR="00EE18FD" w:rsidRPr="00BF44EE" w:rsidRDefault="00EE18FD" w:rsidP="00745795">
            <w:pPr>
              <w:spacing w:before="60" w:after="60"/>
              <w:jc w:val="center"/>
              <w:rPr>
                <w:sz w:val="20"/>
                <w:szCs w:val="20"/>
              </w:rPr>
            </w:pPr>
            <w:r w:rsidRPr="00BF44EE">
              <w:rPr>
                <w:sz w:val="20"/>
                <w:szCs w:val="20"/>
              </w:rPr>
              <w:t>Entrepreneurial feminism</w:t>
            </w:r>
          </w:p>
        </w:tc>
      </w:tr>
      <w:tr w:rsidR="00EE18FD" w:rsidRPr="00FE68E4" w14:paraId="2460B9F3" w14:textId="77777777" w:rsidTr="00745795">
        <w:trPr>
          <w:trHeight w:val="532"/>
        </w:trPr>
        <w:tc>
          <w:tcPr>
            <w:tcW w:w="1701" w:type="dxa"/>
            <w:vMerge/>
            <w:shd w:val="clear" w:color="auto" w:fill="auto"/>
          </w:tcPr>
          <w:p w14:paraId="0BA34641" w14:textId="77777777" w:rsidR="00EE18FD" w:rsidRPr="00BF44EE" w:rsidRDefault="00EE18FD" w:rsidP="00745795">
            <w:pPr>
              <w:rPr>
                <w:sz w:val="20"/>
                <w:szCs w:val="20"/>
              </w:rPr>
            </w:pPr>
          </w:p>
        </w:tc>
        <w:tc>
          <w:tcPr>
            <w:tcW w:w="3686" w:type="dxa"/>
          </w:tcPr>
          <w:p w14:paraId="11CAE5B0" w14:textId="77777777" w:rsidR="00EE18FD" w:rsidRPr="00BF44EE" w:rsidRDefault="00EE18FD" w:rsidP="00745795">
            <w:pPr>
              <w:jc w:val="center"/>
              <w:rPr>
                <w:sz w:val="20"/>
                <w:szCs w:val="20"/>
              </w:rPr>
            </w:pPr>
            <w:r w:rsidRPr="00BF44EE">
              <w:rPr>
                <w:sz w:val="20"/>
                <w:szCs w:val="20"/>
              </w:rPr>
              <w:t>Government of Canada</w:t>
            </w:r>
          </w:p>
          <w:p w14:paraId="2FDA3BA6" w14:textId="77777777" w:rsidR="00EE18FD" w:rsidRPr="00BF44EE" w:rsidRDefault="00EE18FD" w:rsidP="00745795">
            <w:pPr>
              <w:rPr>
                <w:sz w:val="20"/>
                <w:szCs w:val="20"/>
              </w:rPr>
            </w:pPr>
            <w:r w:rsidRPr="00BF44EE">
              <w:rPr>
                <w:sz w:val="20"/>
                <w:szCs w:val="20"/>
              </w:rPr>
              <w:t>Women Entrepreneurship Strategy (2018)</w:t>
            </w:r>
          </w:p>
        </w:tc>
        <w:tc>
          <w:tcPr>
            <w:tcW w:w="3969" w:type="dxa"/>
          </w:tcPr>
          <w:p w14:paraId="622F174F" w14:textId="77777777" w:rsidR="00EE18FD" w:rsidRPr="00BF44EE" w:rsidRDefault="00EE18FD" w:rsidP="00745795">
            <w:pPr>
              <w:jc w:val="center"/>
              <w:rPr>
                <w:sz w:val="20"/>
                <w:szCs w:val="20"/>
              </w:rPr>
            </w:pPr>
            <w:r w:rsidRPr="00BF44EE">
              <w:rPr>
                <w:sz w:val="20"/>
                <w:szCs w:val="20"/>
              </w:rPr>
              <w:t xml:space="preserve">Gender-responsive </w:t>
            </w:r>
          </w:p>
          <w:p w14:paraId="439E20E5" w14:textId="77777777" w:rsidR="00EE18FD" w:rsidRPr="00BF44EE" w:rsidRDefault="00EE18FD" w:rsidP="00745795">
            <w:pPr>
              <w:jc w:val="center"/>
              <w:rPr>
                <w:sz w:val="20"/>
                <w:szCs w:val="20"/>
              </w:rPr>
            </w:pPr>
            <w:r w:rsidRPr="00BF44EE">
              <w:rPr>
                <w:sz w:val="20"/>
                <w:szCs w:val="20"/>
              </w:rPr>
              <w:t>COVID-19 recovery measures</w:t>
            </w:r>
          </w:p>
        </w:tc>
      </w:tr>
      <w:tr w:rsidR="00EE18FD" w:rsidRPr="00FE68E4" w14:paraId="1AED18B0" w14:textId="77777777" w:rsidTr="00745795">
        <w:trPr>
          <w:trHeight w:val="532"/>
        </w:trPr>
        <w:tc>
          <w:tcPr>
            <w:tcW w:w="1701" w:type="dxa"/>
            <w:shd w:val="clear" w:color="auto" w:fill="auto"/>
          </w:tcPr>
          <w:p w14:paraId="2DCA6111" w14:textId="77777777" w:rsidR="00EE18FD" w:rsidRPr="00BF44EE" w:rsidRDefault="00EE18FD" w:rsidP="00745795">
            <w:pPr>
              <w:rPr>
                <w:rFonts w:eastAsiaTheme="minorHAnsi"/>
                <w:sz w:val="20"/>
                <w:szCs w:val="20"/>
              </w:rPr>
            </w:pPr>
            <w:r w:rsidRPr="00BF44EE">
              <w:rPr>
                <w:sz w:val="20"/>
                <w:szCs w:val="20"/>
              </w:rPr>
              <w:t xml:space="preserve">P1. Centre policies on gender equality, women’s economic empowerment and LGBTQ2+ rights  </w:t>
            </w:r>
          </w:p>
        </w:tc>
        <w:tc>
          <w:tcPr>
            <w:tcW w:w="3686" w:type="dxa"/>
          </w:tcPr>
          <w:p w14:paraId="47FA8F15" w14:textId="77777777" w:rsidR="00EE18FD" w:rsidRPr="00BF44EE" w:rsidRDefault="00EE18FD" w:rsidP="00745795">
            <w:pPr>
              <w:rPr>
                <w:sz w:val="20"/>
                <w:szCs w:val="20"/>
              </w:rPr>
            </w:pPr>
            <w:r w:rsidRPr="00BF44EE">
              <w:rPr>
                <w:sz w:val="20"/>
                <w:szCs w:val="20"/>
              </w:rPr>
              <w:t>Women defined in binary terms. No provisions for LBBTQ2+ or Indigenous entrepreneurs. No recognition about liabilities of newness in start-up among nascent women entrepreneurs, particularly among vulnerable groups.</w:t>
            </w:r>
          </w:p>
        </w:tc>
        <w:tc>
          <w:tcPr>
            <w:tcW w:w="3969" w:type="dxa"/>
          </w:tcPr>
          <w:p w14:paraId="72500486" w14:textId="77777777" w:rsidR="00EE18FD" w:rsidRPr="00BF44EE" w:rsidRDefault="00EE18FD" w:rsidP="00EE18FD">
            <w:pPr>
              <w:pStyle w:val="ListParagraph"/>
              <w:numPr>
                <w:ilvl w:val="0"/>
                <w:numId w:val="42"/>
              </w:numPr>
              <w:rPr>
                <w:sz w:val="20"/>
                <w:szCs w:val="20"/>
              </w:rPr>
            </w:pPr>
            <w:r w:rsidRPr="00BF44EE">
              <w:rPr>
                <w:sz w:val="20"/>
                <w:szCs w:val="20"/>
              </w:rPr>
              <w:t xml:space="preserve">Specify women’s economic empowerment as a policy objective not artifact of economic growth. </w:t>
            </w:r>
          </w:p>
          <w:p w14:paraId="02CA781A" w14:textId="77777777" w:rsidR="00EE18FD" w:rsidRPr="00BF44EE" w:rsidRDefault="00EE18FD" w:rsidP="00EE18FD">
            <w:pPr>
              <w:pStyle w:val="ListParagraph"/>
              <w:numPr>
                <w:ilvl w:val="0"/>
                <w:numId w:val="42"/>
              </w:numPr>
              <w:rPr>
                <w:sz w:val="20"/>
                <w:szCs w:val="20"/>
              </w:rPr>
            </w:pPr>
            <w:r w:rsidRPr="00BF44EE">
              <w:rPr>
                <w:sz w:val="20"/>
                <w:szCs w:val="20"/>
              </w:rPr>
              <w:t xml:space="preserve">Recognise that market investments do not automatically enhance gender equality.   </w:t>
            </w:r>
          </w:p>
          <w:p w14:paraId="2C6E34D2" w14:textId="77777777" w:rsidR="00EE18FD" w:rsidRPr="00BF44EE" w:rsidRDefault="00EE18FD" w:rsidP="00EE18FD">
            <w:pPr>
              <w:pStyle w:val="ListParagraph"/>
              <w:numPr>
                <w:ilvl w:val="0"/>
                <w:numId w:val="42"/>
              </w:numPr>
              <w:rPr>
                <w:sz w:val="20"/>
                <w:szCs w:val="20"/>
              </w:rPr>
            </w:pPr>
            <w:r w:rsidRPr="00BF44EE">
              <w:rPr>
                <w:sz w:val="20"/>
                <w:szCs w:val="20"/>
              </w:rPr>
              <w:t xml:space="preserve">Weight assessment to benefit historically  under-representative groups of women. </w:t>
            </w:r>
          </w:p>
        </w:tc>
      </w:tr>
      <w:tr w:rsidR="00EE18FD" w:rsidRPr="00FE68E4" w14:paraId="780ADD9A" w14:textId="77777777" w:rsidTr="00745795">
        <w:trPr>
          <w:trHeight w:val="808"/>
        </w:trPr>
        <w:tc>
          <w:tcPr>
            <w:tcW w:w="1701" w:type="dxa"/>
            <w:shd w:val="clear" w:color="auto" w:fill="auto"/>
          </w:tcPr>
          <w:p w14:paraId="14D8CB7E" w14:textId="77777777" w:rsidR="00EE18FD" w:rsidRPr="00BF44EE" w:rsidRDefault="00EE18FD" w:rsidP="00745795">
            <w:pPr>
              <w:rPr>
                <w:sz w:val="20"/>
                <w:szCs w:val="20"/>
              </w:rPr>
            </w:pPr>
            <w:r w:rsidRPr="00BF44EE">
              <w:rPr>
                <w:sz w:val="20"/>
                <w:szCs w:val="20"/>
              </w:rPr>
              <w:t xml:space="preserve">P2. Redress power differentials </w:t>
            </w:r>
          </w:p>
        </w:tc>
        <w:tc>
          <w:tcPr>
            <w:tcW w:w="3686" w:type="dxa"/>
          </w:tcPr>
          <w:p w14:paraId="5C03530D" w14:textId="77777777" w:rsidR="00EE18FD" w:rsidRPr="00BF44EE" w:rsidRDefault="00EE18FD" w:rsidP="00745795">
            <w:pPr>
              <w:rPr>
                <w:sz w:val="20"/>
                <w:szCs w:val="20"/>
              </w:rPr>
            </w:pPr>
            <w:r w:rsidRPr="00BF44EE">
              <w:rPr>
                <w:sz w:val="20"/>
                <w:szCs w:val="20"/>
              </w:rPr>
              <w:t>Emphasis on high-growth, women-owned and women-led firms benefits privileged women. Limited consultations among under-represented women entrepreneurs and across geographic regions.</w:t>
            </w:r>
          </w:p>
        </w:tc>
        <w:tc>
          <w:tcPr>
            <w:tcW w:w="3969" w:type="dxa"/>
          </w:tcPr>
          <w:p w14:paraId="0695EEFF" w14:textId="77777777" w:rsidR="00EE18FD" w:rsidRPr="00BF44EE" w:rsidRDefault="00EE18FD" w:rsidP="00EE18FD">
            <w:pPr>
              <w:pStyle w:val="ListParagraph"/>
              <w:numPr>
                <w:ilvl w:val="0"/>
                <w:numId w:val="42"/>
              </w:numPr>
              <w:rPr>
                <w:sz w:val="20"/>
                <w:szCs w:val="20"/>
              </w:rPr>
            </w:pPr>
            <w:r w:rsidRPr="00BF44EE">
              <w:rPr>
                <w:sz w:val="20"/>
                <w:szCs w:val="20"/>
              </w:rPr>
              <w:t xml:space="preserve">Engage in ongoing consultations to tweak policies/funding (e.g., adjust unanticipated exclusions, such as gig and contract workers). </w:t>
            </w:r>
          </w:p>
          <w:p w14:paraId="40FE54E0" w14:textId="77777777" w:rsidR="00EE18FD" w:rsidRPr="00BF44EE" w:rsidRDefault="00EE18FD" w:rsidP="00EE18FD">
            <w:pPr>
              <w:pStyle w:val="ListParagraph"/>
              <w:numPr>
                <w:ilvl w:val="0"/>
                <w:numId w:val="42"/>
              </w:numPr>
              <w:rPr>
                <w:sz w:val="20"/>
                <w:szCs w:val="20"/>
              </w:rPr>
            </w:pPr>
            <w:r w:rsidRPr="00BF44EE">
              <w:rPr>
                <w:sz w:val="20"/>
                <w:szCs w:val="20"/>
              </w:rPr>
              <w:t xml:space="preserve">Recognise gendered power differentials within the ecosystem, including in financial, education, and economic development intermediaries. </w:t>
            </w:r>
          </w:p>
        </w:tc>
      </w:tr>
      <w:tr w:rsidR="00EE18FD" w:rsidRPr="00FE68E4" w14:paraId="53095631" w14:textId="77777777" w:rsidTr="00745795">
        <w:trPr>
          <w:trHeight w:val="1071"/>
        </w:trPr>
        <w:tc>
          <w:tcPr>
            <w:tcW w:w="1701" w:type="dxa"/>
            <w:shd w:val="clear" w:color="auto" w:fill="auto"/>
          </w:tcPr>
          <w:p w14:paraId="53E4610B" w14:textId="77777777" w:rsidR="00EE18FD" w:rsidRPr="00BF44EE" w:rsidRDefault="00EE18FD" w:rsidP="00745795">
            <w:pPr>
              <w:rPr>
                <w:sz w:val="20"/>
                <w:szCs w:val="20"/>
              </w:rPr>
            </w:pPr>
            <w:r w:rsidRPr="00BF44EE">
              <w:rPr>
                <w:sz w:val="20"/>
                <w:szCs w:val="20"/>
              </w:rPr>
              <w:t xml:space="preserve">P3. Acknowledge gendered processes within venture creation and occupational stereotypes </w:t>
            </w:r>
          </w:p>
        </w:tc>
        <w:tc>
          <w:tcPr>
            <w:tcW w:w="3686" w:type="dxa"/>
          </w:tcPr>
          <w:p w14:paraId="7B6BC5D3" w14:textId="77777777" w:rsidR="00EE18FD" w:rsidRPr="00BF44EE" w:rsidRDefault="00EE18FD" w:rsidP="00745795">
            <w:pPr>
              <w:rPr>
                <w:sz w:val="20"/>
                <w:szCs w:val="20"/>
              </w:rPr>
            </w:pPr>
            <w:r w:rsidRPr="00BF44EE">
              <w:rPr>
                <w:sz w:val="20"/>
                <w:szCs w:val="20"/>
              </w:rPr>
              <w:t xml:space="preserve">Reinforcement of stereotypical entrepreneur as profit-seeking, growth-oriented ‘captains of industry’ who prioritize wealth over social outcomes. Biased towards applicants who best project ‘hockey stick’ estimates of revenue growth (e.g., gazelles) versus sustainable, small firms, self-employed and applicants more characteristics of women-owned SMEs. Eligibility encourage firms to promote women to C-suite to meet criteria.  </w:t>
            </w:r>
          </w:p>
        </w:tc>
        <w:tc>
          <w:tcPr>
            <w:tcW w:w="3969" w:type="dxa"/>
          </w:tcPr>
          <w:p w14:paraId="70911FE4" w14:textId="77777777" w:rsidR="00EE18FD" w:rsidRPr="00BF44EE" w:rsidRDefault="00EE18FD" w:rsidP="00EE18FD">
            <w:pPr>
              <w:pStyle w:val="ListParagraph"/>
              <w:numPr>
                <w:ilvl w:val="0"/>
                <w:numId w:val="42"/>
              </w:numPr>
              <w:rPr>
                <w:sz w:val="20"/>
                <w:szCs w:val="20"/>
              </w:rPr>
            </w:pPr>
            <w:r w:rsidRPr="00BF44EE">
              <w:rPr>
                <w:sz w:val="20"/>
                <w:szCs w:val="20"/>
              </w:rPr>
              <w:t xml:space="preserve">Hold innovation/small business support intermediaries accountable for engagement of women entrepreneurs. </w:t>
            </w:r>
          </w:p>
          <w:p w14:paraId="0A8171EE" w14:textId="77777777" w:rsidR="00EE18FD" w:rsidRPr="00BF44EE" w:rsidRDefault="00EE18FD" w:rsidP="00EE18FD">
            <w:pPr>
              <w:pStyle w:val="ListParagraph"/>
              <w:numPr>
                <w:ilvl w:val="0"/>
                <w:numId w:val="42"/>
              </w:numPr>
              <w:rPr>
                <w:sz w:val="20"/>
                <w:szCs w:val="20"/>
              </w:rPr>
            </w:pPr>
            <w:r w:rsidRPr="00BF44EE">
              <w:rPr>
                <w:sz w:val="20"/>
                <w:szCs w:val="20"/>
              </w:rPr>
              <w:t xml:space="preserve">Mandate gender-inclusive programs, curricula, role models, innovations, client selection and investment criteria. </w:t>
            </w:r>
          </w:p>
          <w:p w14:paraId="22FC73EE" w14:textId="77777777" w:rsidR="00EE18FD" w:rsidRPr="00BF44EE" w:rsidRDefault="00EE18FD" w:rsidP="00EE18FD">
            <w:pPr>
              <w:pStyle w:val="ListParagraph"/>
              <w:numPr>
                <w:ilvl w:val="0"/>
                <w:numId w:val="42"/>
              </w:numPr>
              <w:rPr>
                <w:sz w:val="20"/>
                <w:szCs w:val="20"/>
              </w:rPr>
            </w:pPr>
            <w:r w:rsidRPr="00BF44EE">
              <w:rPr>
                <w:sz w:val="20"/>
                <w:szCs w:val="20"/>
              </w:rPr>
              <w:t xml:space="preserve">National strategy and funding to support care and essential work (e.g., child care, elder care, salary supplements). </w:t>
            </w:r>
          </w:p>
          <w:p w14:paraId="49F83B57" w14:textId="77777777" w:rsidR="00EE18FD" w:rsidRPr="00BF44EE" w:rsidRDefault="00EE18FD" w:rsidP="00EE18FD">
            <w:pPr>
              <w:pStyle w:val="ListParagraph"/>
              <w:numPr>
                <w:ilvl w:val="0"/>
                <w:numId w:val="42"/>
              </w:numPr>
              <w:rPr>
                <w:sz w:val="20"/>
                <w:szCs w:val="20"/>
              </w:rPr>
            </w:pPr>
            <w:r w:rsidRPr="00BF44EE">
              <w:rPr>
                <w:sz w:val="20"/>
                <w:szCs w:val="20"/>
              </w:rPr>
              <w:t>Focus on women-owned versus women-led firms, with provision for cases of diluted ownership via investment (e.g., certification, supplier diversity programs).</w:t>
            </w:r>
          </w:p>
        </w:tc>
      </w:tr>
      <w:tr w:rsidR="00EE18FD" w:rsidRPr="00FE68E4" w14:paraId="12003D1B" w14:textId="77777777" w:rsidTr="00745795">
        <w:trPr>
          <w:trHeight w:val="540"/>
        </w:trPr>
        <w:tc>
          <w:tcPr>
            <w:tcW w:w="1701" w:type="dxa"/>
            <w:shd w:val="clear" w:color="auto" w:fill="auto"/>
            <w:hideMark/>
          </w:tcPr>
          <w:p w14:paraId="283C6A9F" w14:textId="77777777" w:rsidR="00EE18FD" w:rsidRPr="00BF44EE" w:rsidRDefault="00EE18FD" w:rsidP="00745795">
            <w:pPr>
              <w:rPr>
                <w:sz w:val="20"/>
                <w:szCs w:val="20"/>
              </w:rPr>
            </w:pPr>
            <w:r w:rsidRPr="00BF44EE">
              <w:rPr>
                <w:sz w:val="20"/>
                <w:szCs w:val="20"/>
              </w:rPr>
              <w:t>P4. Employ broad and inclusive definitions of innovation</w:t>
            </w:r>
          </w:p>
        </w:tc>
        <w:tc>
          <w:tcPr>
            <w:tcW w:w="3686" w:type="dxa"/>
          </w:tcPr>
          <w:p w14:paraId="30D320EB" w14:textId="77777777" w:rsidR="00EE18FD" w:rsidRPr="00BF44EE" w:rsidRDefault="00EE18FD" w:rsidP="00745795">
            <w:pPr>
              <w:rPr>
                <w:rFonts w:eastAsiaTheme="minorHAnsi"/>
                <w:sz w:val="20"/>
                <w:szCs w:val="20"/>
              </w:rPr>
            </w:pPr>
            <w:r w:rsidRPr="00BF44EE">
              <w:rPr>
                <w:sz w:val="20"/>
                <w:szCs w:val="20"/>
              </w:rPr>
              <w:t>Lack of integration with federal ($950 million CDN) I</w:t>
            </w:r>
            <w:r w:rsidRPr="00BF44EE">
              <w:rPr>
                <w:rFonts w:eastAsiaTheme="minorHAnsi"/>
                <w:sz w:val="20"/>
                <w:szCs w:val="20"/>
              </w:rPr>
              <w:t>nnovation Superclusters Initiative providing non-repayable contributions to five industry-led consortia. No alignment of funding to sectors in which women are disproportionately represented. No effort to recognise innovation by and important to women.</w:t>
            </w:r>
          </w:p>
        </w:tc>
        <w:tc>
          <w:tcPr>
            <w:tcW w:w="3969" w:type="dxa"/>
          </w:tcPr>
          <w:p w14:paraId="2EA291F7" w14:textId="77777777" w:rsidR="00EE18FD" w:rsidRPr="00BF44EE" w:rsidRDefault="00EE18FD" w:rsidP="00EE18FD">
            <w:pPr>
              <w:pStyle w:val="ListParagraph"/>
              <w:numPr>
                <w:ilvl w:val="0"/>
                <w:numId w:val="42"/>
              </w:numPr>
              <w:rPr>
                <w:sz w:val="20"/>
                <w:szCs w:val="20"/>
              </w:rPr>
            </w:pPr>
            <w:r w:rsidRPr="00BF44EE">
              <w:rPr>
                <w:sz w:val="20"/>
                <w:szCs w:val="20"/>
              </w:rPr>
              <w:t xml:space="preserve">Target funding to all types of innovation: process, marketing, organisational and product/services, avoiding bias to technologies that preference men-owned SME. Recognise women innovators, innovations important to women. </w:t>
            </w:r>
          </w:p>
          <w:p w14:paraId="2DC68C38" w14:textId="77777777" w:rsidR="00EE18FD" w:rsidRPr="00BF44EE" w:rsidRDefault="00EE18FD" w:rsidP="00EE18FD">
            <w:pPr>
              <w:pStyle w:val="ListParagraph"/>
              <w:numPr>
                <w:ilvl w:val="0"/>
                <w:numId w:val="42"/>
              </w:numPr>
              <w:rPr>
                <w:sz w:val="20"/>
                <w:szCs w:val="20"/>
              </w:rPr>
            </w:pPr>
            <w:r w:rsidRPr="00BF44EE">
              <w:rPr>
                <w:sz w:val="20"/>
                <w:szCs w:val="20"/>
              </w:rPr>
              <w:t xml:space="preserve">Fund gender-based analysis of engineering processes to identify biases. </w:t>
            </w:r>
          </w:p>
          <w:p w14:paraId="34FE11DE" w14:textId="77777777" w:rsidR="00EE18FD" w:rsidRPr="00BF44EE" w:rsidRDefault="00EE18FD" w:rsidP="00EE18FD">
            <w:pPr>
              <w:pStyle w:val="ListParagraph"/>
              <w:numPr>
                <w:ilvl w:val="0"/>
                <w:numId w:val="42"/>
              </w:numPr>
              <w:rPr>
                <w:sz w:val="20"/>
                <w:szCs w:val="20"/>
              </w:rPr>
            </w:pPr>
            <w:r w:rsidRPr="00BF44EE">
              <w:rPr>
                <w:sz w:val="20"/>
                <w:szCs w:val="20"/>
              </w:rPr>
              <w:t>Fund communications to inform leaders about gendered innovation systems.</w:t>
            </w:r>
          </w:p>
        </w:tc>
      </w:tr>
      <w:tr w:rsidR="00EE18FD" w:rsidRPr="00FE68E4" w14:paraId="2F90D9CC" w14:textId="77777777" w:rsidTr="00745795">
        <w:trPr>
          <w:trHeight w:val="506"/>
        </w:trPr>
        <w:tc>
          <w:tcPr>
            <w:tcW w:w="1701" w:type="dxa"/>
            <w:shd w:val="clear" w:color="auto" w:fill="auto"/>
          </w:tcPr>
          <w:p w14:paraId="2E34E4EA" w14:textId="77777777" w:rsidR="00EE18FD" w:rsidRPr="00BF44EE" w:rsidRDefault="00EE18FD" w:rsidP="00745795">
            <w:pPr>
              <w:rPr>
                <w:sz w:val="20"/>
                <w:szCs w:val="20"/>
              </w:rPr>
            </w:pPr>
            <w:r w:rsidRPr="00BF44EE">
              <w:rPr>
                <w:sz w:val="20"/>
                <w:szCs w:val="20"/>
              </w:rPr>
              <w:t xml:space="preserve">P5. Leverage opportunities to influence multiple policy outcomes, recognising women’s economic </w:t>
            </w:r>
            <w:r w:rsidRPr="00BF44EE">
              <w:rPr>
                <w:sz w:val="20"/>
                <w:szCs w:val="20"/>
              </w:rPr>
              <w:lastRenderedPageBreak/>
              <w:t>empowerment is an end in itself.</w:t>
            </w:r>
          </w:p>
        </w:tc>
        <w:tc>
          <w:tcPr>
            <w:tcW w:w="3686" w:type="dxa"/>
          </w:tcPr>
          <w:p w14:paraId="3E3EB003" w14:textId="77777777" w:rsidR="00EE18FD" w:rsidRPr="00BF44EE" w:rsidRDefault="00EE18FD" w:rsidP="00745795">
            <w:pPr>
              <w:rPr>
                <w:sz w:val="20"/>
                <w:szCs w:val="20"/>
              </w:rPr>
            </w:pPr>
            <w:r w:rsidRPr="00BF44EE">
              <w:rPr>
                <w:sz w:val="20"/>
                <w:szCs w:val="20"/>
              </w:rPr>
              <w:lastRenderedPageBreak/>
              <w:t>Policy predicated on economic growth: “</w:t>
            </w:r>
            <w:r w:rsidRPr="00BF44EE">
              <w:rPr>
                <w:rFonts w:eastAsiaTheme="minorHAnsi"/>
                <w:iCs/>
                <w:sz w:val="20"/>
                <w:szCs w:val="20"/>
              </w:rPr>
              <w:t>The full and equal participation of women in the economy is not just the right thing to do; it’s also good for the bottom line.</w:t>
            </w:r>
            <w:r w:rsidRPr="00BF44EE">
              <w:rPr>
                <w:iCs/>
                <w:sz w:val="20"/>
                <w:szCs w:val="20"/>
              </w:rPr>
              <w:t xml:space="preserve"> …investment that seeks to double the …advancing gender equality and women’s </w:t>
            </w:r>
            <w:r w:rsidRPr="00BF44EE">
              <w:rPr>
                <w:iCs/>
                <w:sz w:val="20"/>
                <w:szCs w:val="20"/>
              </w:rPr>
              <w:lastRenderedPageBreak/>
              <w:t>participation in the</w:t>
            </w:r>
            <w:r w:rsidRPr="00BF44EE">
              <w:rPr>
                <w:sz w:val="20"/>
                <w:szCs w:val="20"/>
              </w:rPr>
              <w:t xml:space="preserve"> </w:t>
            </w:r>
            <w:r w:rsidRPr="00BF44EE">
              <w:rPr>
                <w:iCs/>
                <w:sz w:val="20"/>
                <w:szCs w:val="20"/>
              </w:rPr>
              <w:t>economy, Canada could add up to $150 billion in GDP.”</w:t>
            </w:r>
            <w:r w:rsidRPr="00BF44EE">
              <w:rPr>
                <w:sz w:val="20"/>
                <w:szCs w:val="20"/>
              </w:rPr>
              <w:t> </w:t>
            </w:r>
          </w:p>
        </w:tc>
        <w:tc>
          <w:tcPr>
            <w:tcW w:w="3969" w:type="dxa"/>
          </w:tcPr>
          <w:p w14:paraId="05F3361D" w14:textId="77777777" w:rsidR="00EE18FD" w:rsidRPr="00BF44EE" w:rsidRDefault="00EE18FD" w:rsidP="00EE18FD">
            <w:pPr>
              <w:pStyle w:val="ListParagraph"/>
              <w:numPr>
                <w:ilvl w:val="0"/>
                <w:numId w:val="42"/>
              </w:numPr>
              <w:rPr>
                <w:sz w:val="20"/>
                <w:szCs w:val="20"/>
              </w:rPr>
            </w:pPr>
            <w:r w:rsidRPr="00BF44EE">
              <w:rPr>
                <w:sz w:val="20"/>
                <w:szCs w:val="20"/>
              </w:rPr>
              <w:lastRenderedPageBreak/>
              <w:t xml:space="preserve">Predicate policies on economic and social outcomes. </w:t>
            </w:r>
          </w:p>
          <w:p w14:paraId="5E6FB3E6" w14:textId="77777777" w:rsidR="00EE18FD" w:rsidRPr="00BF44EE" w:rsidRDefault="00EE18FD" w:rsidP="00EE18FD">
            <w:pPr>
              <w:pStyle w:val="ListParagraph"/>
              <w:numPr>
                <w:ilvl w:val="0"/>
                <w:numId w:val="42"/>
              </w:numPr>
              <w:rPr>
                <w:sz w:val="20"/>
                <w:szCs w:val="20"/>
              </w:rPr>
            </w:pPr>
            <w:r w:rsidRPr="00BF44EE">
              <w:rPr>
                <w:sz w:val="20"/>
                <w:szCs w:val="20"/>
              </w:rPr>
              <w:t>Establish targets for recovery fund uptake among women, including quotas based on representation of women-owned SMEs.</w:t>
            </w:r>
          </w:p>
          <w:p w14:paraId="7E5575B0" w14:textId="77777777" w:rsidR="00EE18FD" w:rsidRPr="00BF44EE" w:rsidRDefault="00EE18FD" w:rsidP="00EE18FD">
            <w:pPr>
              <w:pStyle w:val="ListParagraph"/>
              <w:numPr>
                <w:ilvl w:val="0"/>
                <w:numId w:val="42"/>
              </w:numPr>
              <w:rPr>
                <w:sz w:val="20"/>
                <w:szCs w:val="20"/>
              </w:rPr>
            </w:pPr>
            <w:r w:rsidRPr="00BF44EE">
              <w:rPr>
                <w:sz w:val="20"/>
                <w:szCs w:val="20"/>
              </w:rPr>
              <w:t xml:space="preserve">Specify and monitor economic and social impacts of investment. </w:t>
            </w:r>
          </w:p>
        </w:tc>
      </w:tr>
      <w:tr w:rsidR="00EE18FD" w:rsidRPr="00FE68E4" w14:paraId="45C60DDF" w14:textId="77777777" w:rsidTr="00745795">
        <w:trPr>
          <w:trHeight w:val="416"/>
        </w:trPr>
        <w:tc>
          <w:tcPr>
            <w:tcW w:w="1701" w:type="dxa"/>
            <w:shd w:val="clear" w:color="auto" w:fill="auto"/>
          </w:tcPr>
          <w:p w14:paraId="6300407F" w14:textId="77777777" w:rsidR="00EE18FD" w:rsidRPr="00BF44EE" w:rsidRDefault="00EE18FD" w:rsidP="00745795">
            <w:pPr>
              <w:rPr>
                <w:sz w:val="20"/>
                <w:szCs w:val="20"/>
              </w:rPr>
            </w:pPr>
            <w:r w:rsidRPr="00BF44EE">
              <w:rPr>
                <w:sz w:val="20"/>
                <w:szCs w:val="20"/>
              </w:rPr>
              <w:t xml:space="preserve">P6. Mandate gender/sex-disaggregated </w:t>
            </w:r>
          </w:p>
        </w:tc>
        <w:tc>
          <w:tcPr>
            <w:tcW w:w="3686" w:type="dxa"/>
          </w:tcPr>
          <w:p w14:paraId="1BB73CBA" w14:textId="77777777" w:rsidR="00EE18FD" w:rsidRPr="00BF44EE" w:rsidRDefault="00EE18FD" w:rsidP="00745795">
            <w:pPr>
              <w:rPr>
                <w:sz w:val="20"/>
                <w:szCs w:val="20"/>
              </w:rPr>
            </w:pPr>
            <w:r w:rsidRPr="00BF44EE">
              <w:rPr>
                <w:sz w:val="20"/>
                <w:szCs w:val="20"/>
              </w:rPr>
              <w:t>Lack of gender disaggregated data. Lack of adjudication transparency, lack of reporting on impacts of funding using comparative cohorts (non/funded SMEs and ecosystem support organisations).</w:t>
            </w:r>
          </w:p>
        </w:tc>
        <w:tc>
          <w:tcPr>
            <w:tcW w:w="3969" w:type="dxa"/>
          </w:tcPr>
          <w:p w14:paraId="5FA17752" w14:textId="77777777" w:rsidR="00EE18FD" w:rsidRPr="00BF44EE" w:rsidRDefault="00EE18FD" w:rsidP="00EE18FD">
            <w:pPr>
              <w:pStyle w:val="ListParagraph"/>
              <w:numPr>
                <w:ilvl w:val="0"/>
                <w:numId w:val="42"/>
              </w:numPr>
              <w:rPr>
                <w:sz w:val="20"/>
                <w:szCs w:val="20"/>
              </w:rPr>
            </w:pPr>
            <w:r w:rsidRPr="00BF44EE">
              <w:rPr>
                <w:sz w:val="20"/>
                <w:szCs w:val="20"/>
              </w:rPr>
              <w:t xml:space="preserve">Establish non-threatening protocols for stakeholders to volunteer self-identification. </w:t>
            </w:r>
          </w:p>
          <w:p w14:paraId="506B7721" w14:textId="77777777" w:rsidR="00EE18FD" w:rsidRPr="00BF44EE" w:rsidRDefault="00EE18FD" w:rsidP="00EE18FD">
            <w:pPr>
              <w:pStyle w:val="ListParagraph"/>
              <w:numPr>
                <w:ilvl w:val="0"/>
                <w:numId w:val="42"/>
              </w:numPr>
              <w:rPr>
                <w:sz w:val="20"/>
                <w:szCs w:val="20"/>
              </w:rPr>
            </w:pPr>
            <w:r w:rsidRPr="00BF44EE">
              <w:rPr>
                <w:sz w:val="20"/>
                <w:szCs w:val="20"/>
              </w:rPr>
              <w:t xml:space="preserve">Mandate and fund collection/reporting using gender/sex-disaggregated data. </w:t>
            </w:r>
          </w:p>
        </w:tc>
      </w:tr>
      <w:tr w:rsidR="00EE18FD" w:rsidRPr="00FE68E4" w14:paraId="574E4276" w14:textId="77777777" w:rsidTr="00745795">
        <w:trPr>
          <w:trHeight w:val="1047"/>
        </w:trPr>
        <w:tc>
          <w:tcPr>
            <w:tcW w:w="1701" w:type="dxa"/>
            <w:shd w:val="clear" w:color="auto" w:fill="auto"/>
          </w:tcPr>
          <w:p w14:paraId="5A0EF888" w14:textId="77777777" w:rsidR="00EE18FD" w:rsidRPr="00BF44EE" w:rsidRDefault="00EE18FD" w:rsidP="00745795">
            <w:pPr>
              <w:rPr>
                <w:rFonts w:eastAsiaTheme="minorHAnsi"/>
                <w:sz w:val="20"/>
                <w:szCs w:val="20"/>
              </w:rPr>
            </w:pPr>
            <w:r w:rsidRPr="00BF44EE">
              <w:rPr>
                <w:rFonts w:eastAsiaTheme="minorHAnsi"/>
                <w:sz w:val="20"/>
                <w:szCs w:val="20"/>
              </w:rPr>
              <w:t xml:space="preserve">P7. Construct coherent and integrated policy frameworks </w:t>
            </w:r>
          </w:p>
        </w:tc>
        <w:tc>
          <w:tcPr>
            <w:tcW w:w="3686" w:type="dxa"/>
          </w:tcPr>
          <w:p w14:paraId="0B614F0E" w14:textId="77777777" w:rsidR="00EE18FD" w:rsidRPr="00BF44EE" w:rsidRDefault="00EE18FD" w:rsidP="00745795">
            <w:pPr>
              <w:rPr>
                <w:rFonts w:eastAsiaTheme="minorHAnsi"/>
                <w:sz w:val="20"/>
                <w:szCs w:val="20"/>
              </w:rPr>
            </w:pPr>
            <w:r w:rsidRPr="00BF44EE">
              <w:rPr>
                <w:rFonts w:eastAsiaTheme="minorHAnsi"/>
                <w:sz w:val="20"/>
                <w:szCs w:val="20"/>
              </w:rPr>
              <w:t xml:space="preserve">WES </w:t>
            </w:r>
            <w:r>
              <w:rPr>
                <w:rFonts w:eastAsiaTheme="minorHAnsi"/>
                <w:sz w:val="20"/>
                <w:szCs w:val="20"/>
              </w:rPr>
              <w:t xml:space="preserve">strategy </w:t>
            </w:r>
            <w:r w:rsidRPr="00BF44EE">
              <w:rPr>
                <w:rFonts w:eastAsiaTheme="minorHAnsi"/>
                <w:sz w:val="20"/>
                <w:szCs w:val="20"/>
              </w:rPr>
              <w:t xml:space="preserve">is informed by cross-federal </w:t>
            </w:r>
            <w:r>
              <w:rPr>
                <w:rFonts w:eastAsiaTheme="minorHAnsi"/>
                <w:sz w:val="20"/>
                <w:szCs w:val="20"/>
              </w:rPr>
              <w:t xml:space="preserve">committee </w:t>
            </w:r>
            <w:r w:rsidRPr="00BF44EE">
              <w:rPr>
                <w:rFonts w:eastAsiaTheme="minorHAnsi"/>
                <w:sz w:val="20"/>
                <w:szCs w:val="20"/>
              </w:rPr>
              <w:t>of senior bureaucrats</w:t>
            </w:r>
            <w:r>
              <w:rPr>
                <w:rFonts w:eastAsiaTheme="minorHAnsi"/>
                <w:sz w:val="20"/>
                <w:szCs w:val="20"/>
              </w:rPr>
              <w:t>. P</w:t>
            </w:r>
            <w:r w:rsidRPr="00BF44EE">
              <w:rPr>
                <w:rFonts w:eastAsiaTheme="minorHAnsi"/>
                <w:sz w:val="20"/>
                <w:szCs w:val="20"/>
              </w:rPr>
              <w:t xml:space="preserve">olicies focus </w:t>
            </w:r>
            <w:r>
              <w:rPr>
                <w:rFonts w:eastAsiaTheme="minorHAnsi"/>
                <w:sz w:val="20"/>
                <w:szCs w:val="20"/>
              </w:rPr>
              <w:t xml:space="preserve">solely </w:t>
            </w:r>
            <w:r w:rsidRPr="00BF44EE">
              <w:rPr>
                <w:rFonts w:eastAsiaTheme="minorHAnsi"/>
                <w:sz w:val="20"/>
                <w:szCs w:val="20"/>
              </w:rPr>
              <w:t xml:space="preserve">on economic outcomes. No targets or </w:t>
            </w:r>
            <w:r>
              <w:rPr>
                <w:rFonts w:eastAsiaTheme="minorHAnsi"/>
                <w:sz w:val="20"/>
                <w:szCs w:val="20"/>
              </w:rPr>
              <w:t xml:space="preserve">mandated </w:t>
            </w:r>
            <w:r w:rsidRPr="00BF44EE">
              <w:rPr>
                <w:rFonts w:eastAsiaTheme="minorHAnsi"/>
                <w:sz w:val="20"/>
                <w:szCs w:val="20"/>
              </w:rPr>
              <w:t xml:space="preserve">reporting on status of women-owned SMEs </w:t>
            </w:r>
            <w:r>
              <w:rPr>
                <w:rFonts w:eastAsiaTheme="minorHAnsi"/>
                <w:sz w:val="20"/>
                <w:szCs w:val="20"/>
              </w:rPr>
              <w:t xml:space="preserve">(e.g., </w:t>
            </w:r>
            <w:r w:rsidRPr="00BF44EE">
              <w:rPr>
                <w:rFonts w:eastAsiaTheme="minorHAnsi"/>
                <w:sz w:val="20"/>
                <w:szCs w:val="20"/>
              </w:rPr>
              <w:t xml:space="preserve">federal </w:t>
            </w:r>
            <w:r>
              <w:rPr>
                <w:rFonts w:eastAsiaTheme="minorHAnsi"/>
                <w:sz w:val="20"/>
                <w:szCs w:val="20"/>
              </w:rPr>
              <w:t xml:space="preserve">SME </w:t>
            </w:r>
            <w:r w:rsidRPr="00BF44EE">
              <w:rPr>
                <w:rFonts w:eastAsiaTheme="minorHAnsi"/>
                <w:sz w:val="20"/>
                <w:szCs w:val="20"/>
              </w:rPr>
              <w:t xml:space="preserve">contracting </w:t>
            </w:r>
            <w:r>
              <w:rPr>
                <w:rFonts w:eastAsiaTheme="minorHAnsi"/>
                <w:sz w:val="20"/>
                <w:szCs w:val="20"/>
              </w:rPr>
              <w:t xml:space="preserve">re: </w:t>
            </w:r>
            <w:r w:rsidRPr="00BF44EE">
              <w:rPr>
                <w:rFonts w:eastAsiaTheme="minorHAnsi"/>
                <w:sz w:val="20"/>
                <w:szCs w:val="20"/>
              </w:rPr>
              <w:t xml:space="preserve">bid and success rates). </w:t>
            </w:r>
          </w:p>
        </w:tc>
        <w:tc>
          <w:tcPr>
            <w:tcW w:w="3969" w:type="dxa"/>
          </w:tcPr>
          <w:p w14:paraId="2F2270CD" w14:textId="77777777" w:rsidR="00EE18FD" w:rsidRPr="00BF44EE" w:rsidRDefault="00EE18FD" w:rsidP="00EE18FD">
            <w:pPr>
              <w:pStyle w:val="ListParagraph"/>
              <w:numPr>
                <w:ilvl w:val="0"/>
                <w:numId w:val="42"/>
              </w:numPr>
              <w:rPr>
                <w:rFonts w:eastAsiaTheme="minorHAnsi"/>
                <w:sz w:val="20"/>
                <w:szCs w:val="20"/>
              </w:rPr>
            </w:pPr>
            <w:r w:rsidRPr="00BF44EE">
              <w:rPr>
                <w:rFonts w:eastAsiaTheme="minorHAnsi"/>
                <w:sz w:val="20"/>
                <w:szCs w:val="20"/>
              </w:rPr>
              <w:t xml:space="preserve">Integrate policy domains within recovery policies, including provision for family care, affordable healthcare, gender-based violence.    </w:t>
            </w:r>
          </w:p>
        </w:tc>
      </w:tr>
      <w:tr w:rsidR="00EE18FD" w:rsidRPr="00FE68E4" w14:paraId="755E5291" w14:textId="77777777" w:rsidTr="00745795">
        <w:trPr>
          <w:trHeight w:val="914"/>
        </w:trPr>
        <w:tc>
          <w:tcPr>
            <w:tcW w:w="1701" w:type="dxa"/>
            <w:shd w:val="clear" w:color="auto" w:fill="auto"/>
          </w:tcPr>
          <w:p w14:paraId="70588879" w14:textId="77777777" w:rsidR="00EE18FD" w:rsidRPr="00BF44EE" w:rsidRDefault="00EE18FD" w:rsidP="00745795">
            <w:pPr>
              <w:rPr>
                <w:sz w:val="20"/>
                <w:szCs w:val="20"/>
              </w:rPr>
            </w:pPr>
            <w:r w:rsidRPr="00BF44EE">
              <w:rPr>
                <w:sz w:val="20"/>
                <w:szCs w:val="20"/>
              </w:rPr>
              <w:t xml:space="preserve">P8. Facilitate broad and meaningful consultations: “Nothing about us, without us” </w:t>
            </w:r>
          </w:p>
        </w:tc>
        <w:tc>
          <w:tcPr>
            <w:tcW w:w="3686" w:type="dxa"/>
          </w:tcPr>
          <w:p w14:paraId="0F788179" w14:textId="77777777" w:rsidR="00EE18FD" w:rsidRPr="00BF44EE" w:rsidRDefault="00EE18FD" w:rsidP="00745795">
            <w:pPr>
              <w:rPr>
                <w:sz w:val="20"/>
                <w:szCs w:val="20"/>
              </w:rPr>
            </w:pPr>
            <w:r w:rsidRPr="00BF44EE">
              <w:rPr>
                <w:sz w:val="20"/>
                <w:szCs w:val="20"/>
              </w:rPr>
              <w:t>Expert Advisory Panel limited to 7 members and 3 ex-officio members.</w:t>
            </w:r>
            <w:r>
              <w:rPr>
                <w:sz w:val="20"/>
                <w:szCs w:val="20"/>
              </w:rPr>
              <w:t xml:space="preserve"> </w:t>
            </w:r>
          </w:p>
        </w:tc>
        <w:tc>
          <w:tcPr>
            <w:tcW w:w="3969" w:type="dxa"/>
          </w:tcPr>
          <w:p w14:paraId="1D0BA7A5" w14:textId="77777777" w:rsidR="00EE18FD" w:rsidRPr="00BF44EE" w:rsidRDefault="00EE18FD" w:rsidP="00EE18FD">
            <w:pPr>
              <w:pStyle w:val="ListParagraph"/>
              <w:numPr>
                <w:ilvl w:val="0"/>
                <w:numId w:val="42"/>
              </w:numPr>
              <w:rPr>
                <w:sz w:val="20"/>
                <w:szCs w:val="20"/>
              </w:rPr>
            </w:pPr>
            <w:r w:rsidRPr="00BF44EE">
              <w:rPr>
                <w:sz w:val="20"/>
                <w:szCs w:val="20"/>
              </w:rPr>
              <w:t xml:space="preserve">Mandate ongoing consultations with groups of women stakeholders. </w:t>
            </w:r>
          </w:p>
          <w:p w14:paraId="632B309E" w14:textId="77777777" w:rsidR="00EE18FD" w:rsidRPr="00BF44EE" w:rsidRDefault="00EE18FD" w:rsidP="00EE18FD">
            <w:pPr>
              <w:pStyle w:val="ListParagraph"/>
              <w:numPr>
                <w:ilvl w:val="0"/>
                <w:numId w:val="42"/>
              </w:numPr>
              <w:rPr>
                <w:sz w:val="20"/>
                <w:szCs w:val="20"/>
              </w:rPr>
            </w:pPr>
            <w:r w:rsidRPr="00BF44EE">
              <w:rPr>
                <w:sz w:val="20"/>
                <w:szCs w:val="20"/>
              </w:rPr>
              <w:t>Ensure transparency in access to consultation processes</w:t>
            </w:r>
          </w:p>
          <w:p w14:paraId="0AF508C6" w14:textId="77777777" w:rsidR="00EE18FD" w:rsidRPr="00BF44EE" w:rsidRDefault="00EE18FD" w:rsidP="00EE18FD">
            <w:pPr>
              <w:pStyle w:val="ListParagraph"/>
              <w:numPr>
                <w:ilvl w:val="0"/>
                <w:numId w:val="42"/>
              </w:numPr>
              <w:rPr>
                <w:sz w:val="20"/>
                <w:szCs w:val="20"/>
              </w:rPr>
            </w:pPr>
            <w:r w:rsidRPr="00BF44EE">
              <w:rPr>
                <w:sz w:val="20"/>
                <w:szCs w:val="20"/>
              </w:rPr>
              <w:t>Establish consultation performance benchmarks and reporting.</w:t>
            </w:r>
          </w:p>
        </w:tc>
      </w:tr>
      <w:tr w:rsidR="00EE18FD" w:rsidRPr="00FE68E4" w14:paraId="5995B19F" w14:textId="77777777" w:rsidTr="00745795">
        <w:trPr>
          <w:trHeight w:val="962"/>
        </w:trPr>
        <w:tc>
          <w:tcPr>
            <w:tcW w:w="1701" w:type="dxa"/>
            <w:shd w:val="clear" w:color="auto" w:fill="auto"/>
          </w:tcPr>
          <w:p w14:paraId="3E927F2F" w14:textId="77777777" w:rsidR="00EE18FD" w:rsidRPr="00BF44EE" w:rsidRDefault="00EE18FD" w:rsidP="00745795">
            <w:pPr>
              <w:rPr>
                <w:sz w:val="20"/>
                <w:szCs w:val="20"/>
              </w:rPr>
            </w:pPr>
            <w:r w:rsidRPr="00BF44EE">
              <w:rPr>
                <w:sz w:val="20"/>
                <w:szCs w:val="20"/>
              </w:rPr>
              <w:t xml:space="preserve">P9. Fund ecosystem intermediaries   </w:t>
            </w:r>
          </w:p>
        </w:tc>
        <w:tc>
          <w:tcPr>
            <w:tcW w:w="3686" w:type="dxa"/>
          </w:tcPr>
          <w:p w14:paraId="15260751" w14:textId="77777777" w:rsidR="00EE18FD" w:rsidRPr="00BF44EE" w:rsidRDefault="00EE18FD" w:rsidP="00745795">
            <w:pPr>
              <w:rPr>
                <w:sz w:val="20"/>
                <w:szCs w:val="20"/>
              </w:rPr>
            </w:pPr>
            <w:r w:rsidRPr="00BF44EE">
              <w:rPr>
                <w:sz w:val="20"/>
                <w:szCs w:val="20"/>
              </w:rPr>
              <w:t>Funding to women’s enterprise organizations were provided. Grant and contribution versus standard procurement adjudication lacked transparency lending to the potential political influence.</w:t>
            </w:r>
          </w:p>
        </w:tc>
        <w:tc>
          <w:tcPr>
            <w:tcW w:w="3969" w:type="dxa"/>
          </w:tcPr>
          <w:p w14:paraId="6EF36EB6" w14:textId="77777777" w:rsidR="00EE18FD" w:rsidRPr="00BF44EE" w:rsidRDefault="00EE18FD" w:rsidP="00EE18FD">
            <w:pPr>
              <w:pStyle w:val="ListParagraph"/>
              <w:numPr>
                <w:ilvl w:val="0"/>
                <w:numId w:val="42"/>
              </w:numPr>
              <w:rPr>
                <w:sz w:val="20"/>
                <w:szCs w:val="20"/>
              </w:rPr>
            </w:pPr>
            <w:r w:rsidRPr="00BF44EE">
              <w:rPr>
                <w:sz w:val="20"/>
                <w:szCs w:val="20"/>
              </w:rPr>
              <w:t xml:space="preserve">Ongoing, multi-year funding support of women’s enterprise, feminist and grassroots SME organisations. </w:t>
            </w:r>
          </w:p>
          <w:p w14:paraId="0BEB367B" w14:textId="77777777" w:rsidR="00EE18FD" w:rsidRPr="00BF44EE" w:rsidRDefault="00EE18FD" w:rsidP="00EE18FD">
            <w:pPr>
              <w:pStyle w:val="ListParagraph"/>
              <w:numPr>
                <w:ilvl w:val="0"/>
                <w:numId w:val="42"/>
              </w:numPr>
              <w:rPr>
                <w:sz w:val="20"/>
                <w:szCs w:val="20"/>
              </w:rPr>
            </w:pPr>
            <w:r w:rsidRPr="00BF44EE">
              <w:rPr>
                <w:sz w:val="20"/>
                <w:szCs w:val="20"/>
              </w:rPr>
              <w:t>Ease burden of reporting associated with small, multi-year contracts.</w:t>
            </w:r>
          </w:p>
        </w:tc>
      </w:tr>
      <w:tr w:rsidR="00EE18FD" w:rsidRPr="00FE68E4" w14:paraId="6D7C431C" w14:textId="77777777" w:rsidTr="00745795">
        <w:trPr>
          <w:trHeight w:val="680"/>
        </w:trPr>
        <w:tc>
          <w:tcPr>
            <w:tcW w:w="1701" w:type="dxa"/>
            <w:shd w:val="clear" w:color="auto" w:fill="auto"/>
          </w:tcPr>
          <w:p w14:paraId="5ECC0FA7" w14:textId="77777777" w:rsidR="00EE18FD" w:rsidRPr="00BF44EE" w:rsidRDefault="00EE18FD" w:rsidP="00745795">
            <w:pPr>
              <w:rPr>
                <w:sz w:val="20"/>
                <w:szCs w:val="20"/>
              </w:rPr>
            </w:pPr>
            <w:r w:rsidRPr="00BF44EE">
              <w:rPr>
                <w:sz w:val="20"/>
                <w:szCs w:val="20"/>
              </w:rPr>
              <w:t xml:space="preserve">P10: Create mechanisms that enable women to act as change  </w:t>
            </w:r>
          </w:p>
        </w:tc>
        <w:tc>
          <w:tcPr>
            <w:tcW w:w="3686" w:type="dxa"/>
          </w:tcPr>
          <w:p w14:paraId="55817347" w14:textId="77777777" w:rsidR="00EE18FD" w:rsidRPr="00BF44EE" w:rsidRDefault="00EE18FD" w:rsidP="00745795">
            <w:pPr>
              <w:rPr>
                <w:sz w:val="20"/>
                <w:szCs w:val="20"/>
              </w:rPr>
            </w:pPr>
            <w:r w:rsidRPr="00BF44EE">
              <w:rPr>
                <w:sz w:val="20"/>
                <w:szCs w:val="20"/>
              </w:rPr>
              <w:t>Funding to one women-focused capital fund (</w:t>
            </w:r>
            <w:proofErr w:type="spellStart"/>
            <w:r w:rsidRPr="00BF44EE">
              <w:rPr>
                <w:sz w:val="20"/>
                <w:szCs w:val="20"/>
              </w:rPr>
              <w:t>SheEO</w:t>
            </w:r>
            <w:proofErr w:type="spellEnd"/>
            <w:r w:rsidRPr="00BF44EE">
              <w:rPr>
                <w:sz w:val="20"/>
                <w:szCs w:val="20"/>
              </w:rPr>
              <w:t xml:space="preserve">) with few recipient firms. No funding to feminist disruptive organizations. Loan fund did not prioritise entrepreneurial feminists, defined as business owners who employ enterprise to effect change for women and girls. </w:t>
            </w:r>
          </w:p>
        </w:tc>
        <w:tc>
          <w:tcPr>
            <w:tcW w:w="3969" w:type="dxa"/>
          </w:tcPr>
          <w:p w14:paraId="62303D10" w14:textId="77777777" w:rsidR="00EE18FD" w:rsidRPr="00BF44EE" w:rsidRDefault="00EE18FD" w:rsidP="00EE18FD">
            <w:pPr>
              <w:pStyle w:val="ListParagraph"/>
              <w:numPr>
                <w:ilvl w:val="0"/>
                <w:numId w:val="42"/>
              </w:numPr>
              <w:rPr>
                <w:sz w:val="20"/>
                <w:szCs w:val="20"/>
              </w:rPr>
            </w:pPr>
            <w:r w:rsidRPr="00BF44EE">
              <w:rPr>
                <w:sz w:val="20"/>
                <w:szCs w:val="20"/>
              </w:rPr>
              <w:t xml:space="preserve">Communicate funding prioritise entrepreneurs and enterprises with multiple bottom-lines (e.g., people, profit, planet). </w:t>
            </w:r>
          </w:p>
          <w:p w14:paraId="6FA37995" w14:textId="77777777" w:rsidR="00EE18FD" w:rsidRPr="00BF44EE" w:rsidRDefault="00EE18FD" w:rsidP="00EE18FD">
            <w:pPr>
              <w:pStyle w:val="ListParagraph"/>
              <w:numPr>
                <w:ilvl w:val="0"/>
                <w:numId w:val="42"/>
              </w:numPr>
              <w:rPr>
                <w:sz w:val="20"/>
                <w:szCs w:val="20"/>
              </w:rPr>
            </w:pPr>
            <w:r w:rsidRPr="00BF44EE">
              <w:rPr>
                <w:sz w:val="20"/>
                <w:szCs w:val="20"/>
              </w:rPr>
              <w:t xml:space="preserve">Role models of hybrid enterprises with demonstrated capabilities to engage many, diverse women entrepreneurs. </w:t>
            </w:r>
          </w:p>
        </w:tc>
      </w:tr>
    </w:tbl>
    <w:p w14:paraId="53277E49" w14:textId="77777777" w:rsidR="00EE18FD" w:rsidRPr="00FE68E4" w:rsidRDefault="00EE18FD" w:rsidP="00EE18FD">
      <w:pPr>
        <w:spacing w:line="480" w:lineRule="auto"/>
      </w:pPr>
    </w:p>
    <w:p w14:paraId="2D248CC3" w14:textId="77777777" w:rsidR="00EE18FD" w:rsidRDefault="00EE18FD" w:rsidP="00EE18FD">
      <w:pPr>
        <w:rPr>
          <w:rFonts w:cs="Courier New"/>
        </w:rPr>
      </w:pPr>
    </w:p>
    <w:p w14:paraId="6E38F14D" w14:textId="77777777" w:rsidR="00EE18FD" w:rsidRDefault="00EE18FD" w:rsidP="00EE18FD">
      <w:pPr>
        <w:ind w:left="-1276"/>
        <w:rPr>
          <w:rFonts w:cs="Courier New"/>
        </w:rPr>
      </w:pPr>
    </w:p>
    <w:p w14:paraId="198DF65C" w14:textId="77777777" w:rsidR="00EE18FD" w:rsidRDefault="00EE18FD" w:rsidP="00EE18FD"/>
    <w:p w14:paraId="7630E3BC" w14:textId="77777777" w:rsidR="00EE18FD" w:rsidRPr="002A6388" w:rsidRDefault="00EE18FD" w:rsidP="00EE18FD">
      <w:pPr>
        <w:tabs>
          <w:tab w:val="left" w:pos="2530"/>
        </w:tabs>
      </w:pPr>
    </w:p>
    <w:p w14:paraId="48786324" w14:textId="4D802642" w:rsidR="00EE18FD" w:rsidRDefault="00EE18FD" w:rsidP="001B160F"/>
    <w:p w14:paraId="48488512" w14:textId="2125EE3D" w:rsidR="00EE18FD" w:rsidRDefault="00EE18FD" w:rsidP="001B160F"/>
    <w:p w14:paraId="473166D0" w14:textId="4D420C6F" w:rsidR="00EE18FD" w:rsidRDefault="00EE18FD" w:rsidP="001B160F"/>
    <w:p w14:paraId="79E3D41D" w14:textId="344D5BEA" w:rsidR="00EE18FD" w:rsidRDefault="00EE18FD" w:rsidP="001B160F"/>
    <w:p w14:paraId="16CBF1C2" w14:textId="29065979" w:rsidR="00EE18FD" w:rsidRDefault="00EE18FD" w:rsidP="001B160F"/>
    <w:p w14:paraId="73A3410F" w14:textId="77777777" w:rsidR="00EE18FD" w:rsidRDefault="00EE18FD" w:rsidP="001B160F"/>
    <w:sectPr w:rsidR="00EE18FD" w:rsidSect="00EE18FD">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0732F" w14:textId="77777777" w:rsidR="00615C6E" w:rsidRDefault="00615C6E">
      <w:r>
        <w:separator/>
      </w:r>
    </w:p>
    <w:p w14:paraId="15FF942A" w14:textId="77777777" w:rsidR="00615C6E" w:rsidRDefault="00615C6E"/>
    <w:p w14:paraId="08E3CAAE" w14:textId="77777777" w:rsidR="00615C6E" w:rsidRDefault="00615C6E"/>
  </w:endnote>
  <w:endnote w:type="continuationSeparator" w:id="0">
    <w:p w14:paraId="16D916E5" w14:textId="77777777" w:rsidR="00615C6E" w:rsidRDefault="00615C6E">
      <w:r>
        <w:continuationSeparator/>
      </w:r>
    </w:p>
    <w:p w14:paraId="21501EC4" w14:textId="77777777" w:rsidR="00615C6E" w:rsidRDefault="00615C6E"/>
    <w:p w14:paraId="19B91B4C" w14:textId="77777777" w:rsidR="00615C6E" w:rsidRDefault="00615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Roboto">
    <w:altName w:val="Arial"/>
    <w:panose1 w:val="020B0604020202020204"/>
    <w:charset w:val="00"/>
    <w:family w:val="swiss"/>
    <w:notTrueType/>
    <w:pitch w:val="default"/>
    <w:sig w:usb0="00000003" w:usb1="00000000" w:usb2="00000000" w:usb3="00000000" w:csb0="00000001" w:csb1="00000000"/>
  </w:font>
  <w:font w:name="Roboto Black">
    <w:altName w:val="Arial"/>
    <w:panose1 w:val="020B0604020202020204"/>
    <w:charset w:val="00"/>
    <w:family w:val="swiss"/>
    <w:pitch w:val="default"/>
    <w:sig w:usb0="00000003" w:usb1="00000000" w:usb2="00000000" w:usb3="00000000" w:csb0="00000001" w:csb1="00000000"/>
  </w:font>
  <w:font w:name="Oxfam TSTAR PRO Headline">
    <w:altName w:val="Calibri"/>
    <w:panose1 w:val="020B0604020202020204"/>
    <w:charset w:val="00"/>
    <w:family w:val="swiss"/>
    <w:pitch w:val="default"/>
    <w:sig w:usb0="00000003" w:usb1="00000000" w:usb2="00000000" w:usb3="00000000" w:csb0="00000001" w:csb1="00000000"/>
  </w:font>
  <w:font w:name="Oxfam TSTAR PRO">
    <w:altName w:val="Calibri"/>
    <w:panose1 w:val="020B0604020202020204"/>
    <w:charset w:val="00"/>
    <w:family w:val="swiss"/>
    <w:pitch w:val="default"/>
    <w:sig w:usb0="00000003" w:usb1="00000000" w:usb2="00000000" w:usb3="00000000" w:csb0="00000001" w:csb1="00000000"/>
  </w:font>
  <w:font w:name="Open Sans">
    <w:altName w:val="Calibri"/>
    <w:panose1 w:val="020B0604020202020204"/>
    <w:charset w:val="00"/>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5990077"/>
      <w:docPartObj>
        <w:docPartGallery w:val="Page Numbers (Bottom of Page)"/>
        <w:docPartUnique/>
      </w:docPartObj>
    </w:sdtPr>
    <w:sdtContent>
      <w:p w14:paraId="5D64ED58" w14:textId="7D6FF6E0" w:rsidR="00745795" w:rsidRDefault="00745795" w:rsidP="00EE18FD">
        <w:pPr>
          <w:pStyle w:val="Footer"/>
          <w:framePr w:wrap="none" w:vAnchor="text" w:hAnchor="margin" w:xAlign="right" w:y="1"/>
          <w:rPr>
            <w:rStyle w:val="PageNumber"/>
            <w:lang w:eastAsia="en-US"/>
          </w:rPr>
        </w:pPr>
        <w:r>
          <w:rPr>
            <w:rStyle w:val="PageNumber"/>
          </w:rPr>
          <w:fldChar w:fldCharType="begin"/>
        </w:r>
        <w:r>
          <w:rPr>
            <w:rStyle w:val="PageNumber"/>
          </w:rPr>
          <w:instrText xml:space="preserve"> PAGE </w:instrText>
        </w:r>
        <w:r>
          <w:rPr>
            <w:rStyle w:val="PageNumber"/>
          </w:rPr>
          <w:fldChar w:fldCharType="end"/>
        </w:r>
      </w:p>
    </w:sdtContent>
  </w:sdt>
  <w:p w14:paraId="07B306D7" w14:textId="134BC8D9" w:rsidR="00745795" w:rsidRDefault="00745795" w:rsidP="001B160F">
    <w:pPr>
      <w:pStyle w:val="Footer"/>
      <w:ind w:right="360"/>
      <w:rPr>
        <w:rStyle w:val="PageNumber"/>
      </w:rPr>
    </w:pPr>
  </w:p>
  <w:p w14:paraId="7A1A1F59" w14:textId="77777777" w:rsidR="00745795" w:rsidRDefault="00745795" w:rsidP="00B64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0796497"/>
      <w:docPartObj>
        <w:docPartGallery w:val="Page Numbers (Bottom of Page)"/>
        <w:docPartUnique/>
      </w:docPartObj>
    </w:sdtPr>
    <w:sdtContent>
      <w:p w14:paraId="429F8E9E" w14:textId="2213E6BB" w:rsidR="00745795" w:rsidRDefault="00745795" w:rsidP="00EE18FD">
        <w:pPr>
          <w:pStyle w:val="Footer"/>
          <w:framePr w:wrap="none" w:vAnchor="text" w:hAnchor="margin" w:xAlign="right" w:y="1"/>
          <w:rPr>
            <w:rStyle w:val="PageNumber"/>
            <w:lang w:eastAsia="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8E7D85" w14:textId="22B2DB9B" w:rsidR="00745795" w:rsidRPr="00661368" w:rsidRDefault="00745795" w:rsidP="001B160F">
    <w:pPr>
      <w:pStyle w:val="Footer"/>
      <w:ind w:right="360"/>
      <w:jc w:val="center"/>
      <w:rPr>
        <w:rStyle w:val="PageNumber"/>
        <w:sz w:val="20"/>
        <w:szCs w:val="20"/>
      </w:rPr>
    </w:pPr>
  </w:p>
  <w:p w14:paraId="2C7222FF" w14:textId="77777777" w:rsidR="00745795" w:rsidRDefault="00745795" w:rsidP="00B64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7A2D7" w14:textId="77777777" w:rsidR="00615C6E" w:rsidRDefault="00615C6E">
      <w:r>
        <w:separator/>
      </w:r>
    </w:p>
    <w:p w14:paraId="069EEDF9" w14:textId="77777777" w:rsidR="00615C6E" w:rsidRDefault="00615C6E"/>
    <w:p w14:paraId="1A1C1119" w14:textId="77777777" w:rsidR="00615C6E" w:rsidRDefault="00615C6E"/>
  </w:footnote>
  <w:footnote w:type="continuationSeparator" w:id="0">
    <w:p w14:paraId="491F5CCD" w14:textId="77777777" w:rsidR="00615C6E" w:rsidRDefault="00615C6E">
      <w:r>
        <w:continuationSeparator/>
      </w:r>
    </w:p>
    <w:p w14:paraId="5338043B" w14:textId="77777777" w:rsidR="00615C6E" w:rsidRDefault="00615C6E"/>
    <w:p w14:paraId="27072A85" w14:textId="77777777" w:rsidR="00615C6E" w:rsidRDefault="00615C6E"/>
  </w:footnote>
  <w:footnote w:id="1">
    <w:p w14:paraId="36BF3461" w14:textId="77777777" w:rsidR="00745795" w:rsidRPr="00546DDB" w:rsidRDefault="00745795" w:rsidP="00EE18FD">
      <w:pPr>
        <w:pStyle w:val="FootnoteText"/>
        <w:spacing w:after="0" w:line="240" w:lineRule="auto"/>
        <w:rPr>
          <w:sz w:val="22"/>
          <w:szCs w:val="22"/>
          <w:lang w:val="en-US"/>
        </w:rPr>
      </w:pPr>
      <w:r w:rsidRPr="00546DDB">
        <w:rPr>
          <w:rStyle w:val="FootnoteReference"/>
          <w:rFonts w:ascii="Times New Roman" w:hAnsi="Times New Roman"/>
          <w:sz w:val="22"/>
          <w:szCs w:val="22"/>
        </w:rPr>
        <w:footnoteRef/>
      </w:r>
      <w:r w:rsidRPr="00546DDB">
        <w:rPr>
          <w:rStyle w:val="FootnoteReference"/>
          <w:rFonts w:ascii="Times New Roman" w:hAnsi="Times New Roman"/>
          <w:sz w:val="22"/>
          <w:szCs w:val="22"/>
        </w:rPr>
        <w:t xml:space="preserve"> </w:t>
      </w:r>
      <w:r w:rsidRPr="00546DDB">
        <w:rPr>
          <w:rFonts w:ascii="Times New Roman" w:hAnsi="Times New Roman"/>
          <w:sz w:val="22"/>
          <w:szCs w:val="22"/>
        </w:rPr>
        <w:t xml:space="preserve">The term entrepreneurial feminism was coined by </w:t>
      </w:r>
      <w:proofErr w:type="spellStart"/>
      <w:r w:rsidRPr="00546DDB">
        <w:rPr>
          <w:rFonts w:ascii="Times New Roman" w:hAnsi="Times New Roman"/>
          <w:sz w:val="22"/>
          <w:szCs w:val="22"/>
        </w:rPr>
        <w:t>Orser</w:t>
      </w:r>
      <w:proofErr w:type="spellEnd"/>
      <w:r w:rsidRPr="00546DDB">
        <w:rPr>
          <w:rFonts w:ascii="Times New Roman" w:hAnsi="Times New Roman"/>
          <w:sz w:val="22"/>
          <w:szCs w:val="22"/>
        </w:rPr>
        <w:t xml:space="preserve"> and </w:t>
      </w:r>
      <w:proofErr w:type="spellStart"/>
      <w:r w:rsidRPr="00546DDB">
        <w:rPr>
          <w:rFonts w:ascii="Times New Roman" w:hAnsi="Times New Roman"/>
          <w:sz w:val="22"/>
          <w:szCs w:val="22"/>
        </w:rPr>
        <w:t>Leck</w:t>
      </w:r>
      <w:proofErr w:type="spellEnd"/>
      <w:r w:rsidRPr="00546DDB">
        <w:rPr>
          <w:rFonts w:ascii="Times New Roman" w:hAnsi="Times New Roman"/>
          <w:sz w:val="22"/>
          <w:szCs w:val="22"/>
        </w:rPr>
        <w:t xml:space="preserve"> (2010), and expanded on by </w:t>
      </w:r>
      <w:proofErr w:type="spellStart"/>
      <w:r w:rsidRPr="00546DDB">
        <w:rPr>
          <w:rFonts w:ascii="Times New Roman" w:hAnsi="Times New Roman"/>
          <w:sz w:val="22"/>
          <w:szCs w:val="22"/>
        </w:rPr>
        <w:t>Orser</w:t>
      </w:r>
      <w:proofErr w:type="spellEnd"/>
      <w:r w:rsidRPr="00546DDB">
        <w:rPr>
          <w:rFonts w:ascii="Times New Roman" w:hAnsi="Times New Roman"/>
          <w:sz w:val="22"/>
          <w:szCs w:val="22"/>
        </w:rPr>
        <w:t xml:space="preserve"> and Elliott (2015). The foundational case is Dr. Elaine Jolly, Professor of Obstetrics and Gynecology, University of Ottawa and Founding Director of the Shirley E. Greenberg Women’s Health Centre, The Ottawa Hospital, Canada. It is fitting that the theoretical underpinning of this study is predicated on an exemplary feminist medical role model.</w:t>
      </w:r>
    </w:p>
    <w:p w14:paraId="6049510B" w14:textId="77777777" w:rsidR="00745795" w:rsidRPr="00AA3906" w:rsidRDefault="00745795" w:rsidP="00EE18FD">
      <w:pPr>
        <w:pStyle w:val="FootnoteText"/>
        <w:rPr>
          <w:lang w:val="en-US"/>
        </w:rPr>
      </w:pPr>
    </w:p>
  </w:footnote>
  <w:footnote w:id="2">
    <w:p w14:paraId="77B6EABC" w14:textId="77777777" w:rsidR="00745795" w:rsidRPr="006F1BD4" w:rsidRDefault="00745795" w:rsidP="00EE18FD">
      <w:pPr>
        <w:pStyle w:val="FootnoteText"/>
        <w:spacing w:after="0" w:line="240" w:lineRule="auto"/>
        <w:rPr>
          <w:rFonts w:ascii="Times New Roman" w:hAnsi="Times New Roman"/>
          <w:lang w:val="en-US"/>
        </w:rPr>
      </w:pPr>
      <w:r w:rsidRPr="006F1BD4">
        <w:rPr>
          <w:rStyle w:val="FootnoteReference"/>
          <w:rFonts w:ascii="Times New Roman" w:hAnsi="Times New Roman"/>
        </w:rPr>
        <w:footnoteRef/>
      </w:r>
      <w:r w:rsidRPr="006F1BD4">
        <w:rPr>
          <w:rFonts w:ascii="Times New Roman" w:hAnsi="Times New Roman"/>
        </w:rPr>
        <w:t xml:space="preserve"> France, Luxembourg, and the United Kingdom have announced intention to adopt similar policies (Centre for Feminist Foreign Policy, 2020).</w:t>
      </w:r>
    </w:p>
  </w:footnote>
  <w:footnote w:id="3">
    <w:p w14:paraId="3F582309" w14:textId="77777777" w:rsidR="00745795" w:rsidRPr="006F1BD4" w:rsidRDefault="00745795" w:rsidP="00EE18FD">
      <w:pPr>
        <w:rPr>
          <w:lang w:val="en-US"/>
        </w:rPr>
      </w:pPr>
      <w:r w:rsidRPr="006F1BD4">
        <w:rPr>
          <w:rStyle w:val="FootnoteReference"/>
        </w:rPr>
        <w:footnoteRef/>
      </w:r>
      <w:r w:rsidRPr="006F1BD4">
        <w:t xml:space="preserve"> </w:t>
      </w:r>
      <w:r w:rsidRPr="006F1BD4">
        <w:rPr>
          <w:lang w:val="en-US"/>
        </w:rPr>
        <w:t xml:space="preserve">C1 (p. 1) states: “The document is inspired by </w:t>
      </w:r>
      <w:r w:rsidRPr="006F1BD4">
        <w:rPr>
          <w:i/>
          <w:iCs/>
          <w:lang w:val="en-US"/>
        </w:rPr>
        <w:t xml:space="preserve">The </w:t>
      </w:r>
      <w:r>
        <w:rPr>
          <w:i/>
          <w:iCs/>
          <w:lang w:val="en-US"/>
        </w:rPr>
        <w:t>b</w:t>
      </w:r>
      <w:r w:rsidRPr="006F1BD4">
        <w:rPr>
          <w:i/>
          <w:iCs/>
          <w:lang w:val="en-US"/>
        </w:rPr>
        <w:t xml:space="preserve">ridge called my back: Writings by radical women of </w:t>
      </w:r>
      <w:proofErr w:type="spellStart"/>
      <w:r w:rsidRPr="006F1BD4">
        <w:rPr>
          <w:i/>
          <w:iCs/>
          <w:lang w:val="en-US"/>
        </w:rPr>
        <w:t>colour</w:t>
      </w:r>
      <w:proofErr w:type="spellEnd"/>
      <w:r w:rsidRPr="006F1BD4">
        <w:rPr>
          <w:lang w:val="en-US"/>
        </w:rPr>
        <w:t xml:space="preserve">, a feminist anthology edited by Cherrie Moraga and Gloria E. </w:t>
      </w:r>
      <w:proofErr w:type="spellStart"/>
      <w:r w:rsidRPr="006F1BD4">
        <w:rPr>
          <w:lang w:val="en-US"/>
        </w:rPr>
        <w:t>Anzalua</w:t>
      </w:r>
      <w:proofErr w:type="spellEnd"/>
      <w:r w:rsidRPr="006F1BD4">
        <w:rPr>
          <w:lang w:val="en-US"/>
        </w:rPr>
        <w:t xml:space="preserve"> in 1981.”  </w:t>
      </w:r>
    </w:p>
    <w:p w14:paraId="3344EA1C" w14:textId="77777777" w:rsidR="00745795" w:rsidRPr="00DA45C6" w:rsidRDefault="00745795" w:rsidP="00EE18FD">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F3AC0" w14:textId="71528066" w:rsidR="00745795" w:rsidRPr="00C0604E" w:rsidRDefault="00745795">
    <w:pPr>
      <w:pStyle w:val="Header"/>
      <w:rPr>
        <w:i/>
      </w:rPr>
    </w:pPr>
    <w:r w:rsidRPr="00C0604E">
      <w:rPr>
        <w:i/>
      </w:rPr>
      <w:tab/>
    </w:r>
    <w:r>
      <w:rPr>
        <w:i/>
      </w:rPr>
      <w:t xml:space="preserve">                                                                 </w:t>
    </w:r>
  </w:p>
  <w:p w14:paraId="733F3F5D" w14:textId="565EAC27" w:rsidR="00745795" w:rsidRDefault="00745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1240"/>
    <w:multiLevelType w:val="hybridMultilevel"/>
    <w:tmpl w:val="84369B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8075B"/>
    <w:multiLevelType w:val="hybridMultilevel"/>
    <w:tmpl w:val="CF4876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8460E3"/>
    <w:multiLevelType w:val="hybridMultilevel"/>
    <w:tmpl w:val="73A6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139E8"/>
    <w:multiLevelType w:val="hybridMultilevel"/>
    <w:tmpl w:val="6CB86D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F60B4"/>
    <w:multiLevelType w:val="hybridMultilevel"/>
    <w:tmpl w:val="3276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D1D88"/>
    <w:multiLevelType w:val="hybridMultilevel"/>
    <w:tmpl w:val="743697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5636F4"/>
    <w:multiLevelType w:val="hybridMultilevel"/>
    <w:tmpl w:val="DF5682F2"/>
    <w:lvl w:ilvl="0" w:tplc="19367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41B3A"/>
    <w:multiLevelType w:val="multilevel"/>
    <w:tmpl w:val="6DEC60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171D3E"/>
    <w:multiLevelType w:val="hybridMultilevel"/>
    <w:tmpl w:val="1540A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370223"/>
    <w:multiLevelType w:val="hybridMultilevel"/>
    <w:tmpl w:val="6434B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9F142A"/>
    <w:multiLevelType w:val="multilevel"/>
    <w:tmpl w:val="6FEA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DE1A90"/>
    <w:multiLevelType w:val="multilevel"/>
    <w:tmpl w:val="9AE23C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833A33"/>
    <w:multiLevelType w:val="hybridMultilevel"/>
    <w:tmpl w:val="DEA03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8E5CAE"/>
    <w:multiLevelType w:val="multilevel"/>
    <w:tmpl w:val="9F0C082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C0658F"/>
    <w:multiLevelType w:val="hybridMultilevel"/>
    <w:tmpl w:val="C114D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FF3B85"/>
    <w:multiLevelType w:val="hybridMultilevel"/>
    <w:tmpl w:val="2D903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3F4A7D"/>
    <w:multiLevelType w:val="hybridMultilevel"/>
    <w:tmpl w:val="C5AA7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62A11"/>
    <w:multiLevelType w:val="hybridMultilevel"/>
    <w:tmpl w:val="EE60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F126E"/>
    <w:multiLevelType w:val="hybridMultilevel"/>
    <w:tmpl w:val="09CA0B98"/>
    <w:lvl w:ilvl="0" w:tplc="13EA7052">
      <w:start w:val="1"/>
      <w:numFmt w:val="lowerLetter"/>
      <w:pStyle w:val="Heading6Char"/>
      <w:lvlText w:val="%1)"/>
      <w:lvlJc w:val="left"/>
      <w:pPr>
        <w:ind w:left="360" w:hanging="360"/>
      </w:pPr>
      <w:rPr>
        <w:rFonts w:hint="default"/>
        <w:b w:val="0"/>
        <w:bCs w:val="0"/>
        <w:i w:val="0"/>
        <w:iCs w:val="0"/>
        <w:caps w:val="0"/>
        <w:strike w:val="0"/>
        <w:dstrike w:val="0"/>
        <w:vanish w:val="0"/>
        <w:sz w:val="22"/>
        <w:szCs w:val="22"/>
        <w:u w:val="none"/>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F35316"/>
    <w:multiLevelType w:val="hybridMultilevel"/>
    <w:tmpl w:val="51244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E46F98"/>
    <w:multiLevelType w:val="hybridMultilevel"/>
    <w:tmpl w:val="B58AFB5A"/>
    <w:lvl w:ilvl="0" w:tplc="28328E76">
      <w:start w:val="1"/>
      <w:numFmt w:val="bullet"/>
      <w:lvlText w:val=""/>
      <w:lvlJc w:val="left"/>
      <w:pPr>
        <w:ind w:left="198" w:hanging="19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56654"/>
    <w:multiLevelType w:val="hybridMultilevel"/>
    <w:tmpl w:val="E070C70E"/>
    <w:lvl w:ilvl="0" w:tplc="72C096F8">
      <w:start w:val="1"/>
      <w:numFmt w:val="bullet"/>
      <w:lvlText w:val=""/>
      <w:lvlJc w:val="left"/>
      <w:pPr>
        <w:ind w:left="1004" w:hanging="284"/>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FE594D"/>
    <w:multiLevelType w:val="hybridMultilevel"/>
    <w:tmpl w:val="695EA192"/>
    <w:lvl w:ilvl="0" w:tplc="39EA310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9474D"/>
    <w:multiLevelType w:val="hybridMultilevel"/>
    <w:tmpl w:val="4D5425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997C53"/>
    <w:multiLevelType w:val="hybridMultilevel"/>
    <w:tmpl w:val="BEB0E380"/>
    <w:lvl w:ilvl="0" w:tplc="28328E76">
      <w:start w:val="1"/>
      <w:numFmt w:val="bullet"/>
      <w:lvlText w:val=""/>
      <w:lvlJc w:val="left"/>
      <w:pPr>
        <w:ind w:left="198" w:hanging="19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B10ECB"/>
    <w:multiLevelType w:val="hybridMultilevel"/>
    <w:tmpl w:val="7E8AFEAE"/>
    <w:lvl w:ilvl="0" w:tplc="72AEE8C6">
      <w:start w:val="1"/>
      <w:numFmt w:val="lowerLetter"/>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6" w15:restartNumberingAfterBreak="0">
    <w:nsid w:val="47030279"/>
    <w:multiLevelType w:val="hybridMultilevel"/>
    <w:tmpl w:val="FACAC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BA018F"/>
    <w:multiLevelType w:val="hybridMultilevel"/>
    <w:tmpl w:val="1470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13778"/>
    <w:multiLevelType w:val="multilevel"/>
    <w:tmpl w:val="EA86AB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50C01296"/>
    <w:multiLevelType w:val="hybridMultilevel"/>
    <w:tmpl w:val="5FDAC9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B6140E"/>
    <w:multiLevelType w:val="hybridMultilevel"/>
    <w:tmpl w:val="DF5682F2"/>
    <w:lvl w:ilvl="0" w:tplc="19367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585DA7"/>
    <w:multiLevelType w:val="hybridMultilevel"/>
    <w:tmpl w:val="C4E896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69496C"/>
    <w:multiLevelType w:val="hybridMultilevel"/>
    <w:tmpl w:val="CF2C569E"/>
    <w:lvl w:ilvl="0" w:tplc="28328E76">
      <w:start w:val="1"/>
      <w:numFmt w:val="bullet"/>
      <w:lvlText w:val=""/>
      <w:lvlJc w:val="left"/>
      <w:pPr>
        <w:ind w:left="198" w:hanging="19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0A716E"/>
    <w:multiLevelType w:val="hybridMultilevel"/>
    <w:tmpl w:val="B3660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1A6936"/>
    <w:multiLevelType w:val="hybridMultilevel"/>
    <w:tmpl w:val="2958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495744"/>
    <w:multiLevelType w:val="hybridMultilevel"/>
    <w:tmpl w:val="1674A2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68234D5C"/>
    <w:multiLevelType w:val="hybridMultilevel"/>
    <w:tmpl w:val="0ED68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A75D1E"/>
    <w:multiLevelType w:val="hybridMultilevel"/>
    <w:tmpl w:val="0B60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D73CE"/>
    <w:multiLevelType w:val="multilevel"/>
    <w:tmpl w:val="2D903AD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72E170C1"/>
    <w:multiLevelType w:val="multilevel"/>
    <w:tmpl w:val="BD9449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EA7180"/>
    <w:multiLevelType w:val="hybridMultilevel"/>
    <w:tmpl w:val="DF5682F2"/>
    <w:lvl w:ilvl="0" w:tplc="19367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085696"/>
    <w:multiLevelType w:val="multilevel"/>
    <w:tmpl w:val="152456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AB83974"/>
    <w:multiLevelType w:val="hybridMultilevel"/>
    <w:tmpl w:val="93FA4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CF73F7"/>
    <w:multiLevelType w:val="hybridMultilevel"/>
    <w:tmpl w:val="77E4DD2A"/>
    <w:lvl w:ilvl="0" w:tplc="28328E76">
      <w:start w:val="1"/>
      <w:numFmt w:val="bullet"/>
      <w:lvlText w:val=""/>
      <w:lvlJc w:val="left"/>
      <w:pPr>
        <w:ind w:left="198" w:hanging="19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8"/>
  </w:num>
  <w:num w:numId="3">
    <w:abstractNumId w:val="23"/>
  </w:num>
  <w:num w:numId="4">
    <w:abstractNumId w:val="21"/>
  </w:num>
  <w:num w:numId="5">
    <w:abstractNumId w:val="16"/>
  </w:num>
  <w:num w:numId="6">
    <w:abstractNumId w:val="34"/>
  </w:num>
  <w:num w:numId="7">
    <w:abstractNumId w:val="4"/>
  </w:num>
  <w:num w:numId="8">
    <w:abstractNumId w:val="2"/>
  </w:num>
  <w:num w:numId="9">
    <w:abstractNumId w:val="27"/>
  </w:num>
  <w:num w:numId="10">
    <w:abstractNumId w:val="17"/>
  </w:num>
  <w:num w:numId="11">
    <w:abstractNumId w:val="12"/>
  </w:num>
  <w:num w:numId="12">
    <w:abstractNumId w:val="26"/>
  </w:num>
  <w:num w:numId="13">
    <w:abstractNumId w:val="40"/>
  </w:num>
  <w:num w:numId="14">
    <w:abstractNumId w:val="6"/>
  </w:num>
  <w:num w:numId="15">
    <w:abstractNumId w:val="30"/>
  </w:num>
  <w:num w:numId="16">
    <w:abstractNumId w:val="22"/>
  </w:num>
  <w:num w:numId="17">
    <w:abstractNumId w:val="37"/>
  </w:num>
  <w:num w:numId="18">
    <w:abstractNumId w:val="35"/>
  </w:num>
  <w:num w:numId="19">
    <w:abstractNumId w:val="13"/>
  </w:num>
  <w:num w:numId="20">
    <w:abstractNumId w:val="29"/>
  </w:num>
  <w:num w:numId="21">
    <w:abstractNumId w:val="42"/>
  </w:num>
  <w:num w:numId="22">
    <w:abstractNumId w:val="31"/>
  </w:num>
  <w:num w:numId="23">
    <w:abstractNumId w:val="7"/>
  </w:num>
  <w:num w:numId="24">
    <w:abstractNumId w:val="41"/>
  </w:num>
  <w:num w:numId="25">
    <w:abstractNumId w:val="39"/>
  </w:num>
  <w:num w:numId="26">
    <w:abstractNumId w:val="14"/>
  </w:num>
  <w:num w:numId="27">
    <w:abstractNumId w:val="9"/>
  </w:num>
  <w:num w:numId="28">
    <w:abstractNumId w:val="36"/>
  </w:num>
  <w:num w:numId="29">
    <w:abstractNumId w:val="3"/>
  </w:num>
  <w:num w:numId="30">
    <w:abstractNumId w:val="19"/>
  </w:num>
  <w:num w:numId="31">
    <w:abstractNumId w:val="15"/>
  </w:num>
  <w:num w:numId="32">
    <w:abstractNumId w:val="38"/>
  </w:num>
  <w:num w:numId="33">
    <w:abstractNumId w:val="43"/>
  </w:num>
  <w:num w:numId="34">
    <w:abstractNumId w:val="24"/>
  </w:num>
  <w:num w:numId="35">
    <w:abstractNumId w:val="32"/>
  </w:num>
  <w:num w:numId="36">
    <w:abstractNumId w:val="20"/>
  </w:num>
  <w:num w:numId="37">
    <w:abstractNumId w:val="10"/>
  </w:num>
  <w:num w:numId="38">
    <w:abstractNumId w:val="33"/>
  </w:num>
  <w:num w:numId="39">
    <w:abstractNumId w:val="0"/>
  </w:num>
  <w:num w:numId="40">
    <w:abstractNumId w:val="1"/>
  </w:num>
  <w:num w:numId="41">
    <w:abstractNumId w:val="11"/>
  </w:num>
  <w:num w:numId="42">
    <w:abstractNumId w:val="8"/>
  </w:num>
  <w:num w:numId="43">
    <w:abstractNumId w:val="5"/>
  </w:num>
  <w:num w:numId="4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880"/>
    <w:rsid w:val="00000FB1"/>
    <w:rsid w:val="000019A5"/>
    <w:rsid w:val="00004B39"/>
    <w:rsid w:val="0000619D"/>
    <w:rsid w:val="00007BCA"/>
    <w:rsid w:val="00007DB6"/>
    <w:rsid w:val="00007FFD"/>
    <w:rsid w:val="00010FD9"/>
    <w:rsid w:val="000116E2"/>
    <w:rsid w:val="00012EC9"/>
    <w:rsid w:val="0001393F"/>
    <w:rsid w:val="00013C50"/>
    <w:rsid w:val="0001420A"/>
    <w:rsid w:val="0001437A"/>
    <w:rsid w:val="00016006"/>
    <w:rsid w:val="00016215"/>
    <w:rsid w:val="000163FD"/>
    <w:rsid w:val="00016D9A"/>
    <w:rsid w:val="00017380"/>
    <w:rsid w:val="0001745C"/>
    <w:rsid w:val="00017E15"/>
    <w:rsid w:val="00017F58"/>
    <w:rsid w:val="00022A8C"/>
    <w:rsid w:val="00023C08"/>
    <w:rsid w:val="00023C9F"/>
    <w:rsid w:val="00024A54"/>
    <w:rsid w:val="00025D8E"/>
    <w:rsid w:val="00025E0A"/>
    <w:rsid w:val="00026CF2"/>
    <w:rsid w:val="000276FE"/>
    <w:rsid w:val="00027B1D"/>
    <w:rsid w:val="000311FB"/>
    <w:rsid w:val="000312C8"/>
    <w:rsid w:val="00032AAD"/>
    <w:rsid w:val="00034014"/>
    <w:rsid w:val="00034803"/>
    <w:rsid w:val="00034D2F"/>
    <w:rsid w:val="0003685F"/>
    <w:rsid w:val="00036C53"/>
    <w:rsid w:val="000375CE"/>
    <w:rsid w:val="000402A1"/>
    <w:rsid w:val="0004081D"/>
    <w:rsid w:val="0004184F"/>
    <w:rsid w:val="000436CF"/>
    <w:rsid w:val="00043E7A"/>
    <w:rsid w:val="00044D53"/>
    <w:rsid w:val="00045888"/>
    <w:rsid w:val="000459AF"/>
    <w:rsid w:val="00045FE6"/>
    <w:rsid w:val="00046037"/>
    <w:rsid w:val="0004628F"/>
    <w:rsid w:val="00052294"/>
    <w:rsid w:val="000532C9"/>
    <w:rsid w:val="00053BF0"/>
    <w:rsid w:val="00053DD6"/>
    <w:rsid w:val="000541AA"/>
    <w:rsid w:val="00054216"/>
    <w:rsid w:val="000573F2"/>
    <w:rsid w:val="0006266D"/>
    <w:rsid w:val="000627B1"/>
    <w:rsid w:val="00062806"/>
    <w:rsid w:val="0006426F"/>
    <w:rsid w:val="000645D1"/>
    <w:rsid w:val="00064A26"/>
    <w:rsid w:val="00064A94"/>
    <w:rsid w:val="00066432"/>
    <w:rsid w:val="00066AFA"/>
    <w:rsid w:val="00071AD8"/>
    <w:rsid w:val="00073292"/>
    <w:rsid w:val="00075599"/>
    <w:rsid w:val="0007559F"/>
    <w:rsid w:val="00075793"/>
    <w:rsid w:val="0007579A"/>
    <w:rsid w:val="0007587C"/>
    <w:rsid w:val="00076236"/>
    <w:rsid w:val="00076C96"/>
    <w:rsid w:val="00077131"/>
    <w:rsid w:val="00077563"/>
    <w:rsid w:val="000801BE"/>
    <w:rsid w:val="000808D1"/>
    <w:rsid w:val="00080996"/>
    <w:rsid w:val="00080C61"/>
    <w:rsid w:val="00082598"/>
    <w:rsid w:val="00082B99"/>
    <w:rsid w:val="000831BB"/>
    <w:rsid w:val="00083A61"/>
    <w:rsid w:val="00083E30"/>
    <w:rsid w:val="00086942"/>
    <w:rsid w:val="00087305"/>
    <w:rsid w:val="000905D6"/>
    <w:rsid w:val="00090DE9"/>
    <w:rsid w:val="000915AB"/>
    <w:rsid w:val="00092142"/>
    <w:rsid w:val="00092604"/>
    <w:rsid w:val="00092E32"/>
    <w:rsid w:val="000930BB"/>
    <w:rsid w:val="0009361F"/>
    <w:rsid w:val="0009448A"/>
    <w:rsid w:val="0009461D"/>
    <w:rsid w:val="0009491F"/>
    <w:rsid w:val="00094B88"/>
    <w:rsid w:val="00095750"/>
    <w:rsid w:val="00095837"/>
    <w:rsid w:val="00095C43"/>
    <w:rsid w:val="000A0782"/>
    <w:rsid w:val="000A092C"/>
    <w:rsid w:val="000A0A59"/>
    <w:rsid w:val="000A0C26"/>
    <w:rsid w:val="000A1836"/>
    <w:rsid w:val="000A2044"/>
    <w:rsid w:val="000A214F"/>
    <w:rsid w:val="000A2200"/>
    <w:rsid w:val="000A245C"/>
    <w:rsid w:val="000A2472"/>
    <w:rsid w:val="000A286D"/>
    <w:rsid w:val="000A4440"/>
    <w:rsid w:val="000A5124"/>
    <w:rsid w:val="000A53C9"/>
    <w:rsid w:val="000A7099"/>
    <w:rsid w:val="000A720D"/>
    <w:rsid w:val="000A7ED7"/>
    <w:rsid w:val="000B050F"/>
    <w:rsid w:val="000B077C"/>
    <w:rsid w:val="000B0B4C"/>
    <w:rsid w:val="000B0FCC"/>
    <w:rsid w:val="000B1AEC"/>
    <w:rsid w:val="000B1DBB"/>
    <w:rsid w:val="000B1E5D"/>
    <w:rsid w:val="000B1E93"/>
    <w:rsid w:val="000B2386"/>
    <w:rsid w:val="000B2CEE"/>
    <w:rsid w:val="000B3E5C"/>
    <w:rsid w:val="000B4C8A"/>
    <w:rsid w:val="000B52A1"/>
    <w:rsid w:val="000B5D95"/>
    <w:rsid w:val="000B664D"/>
    <w:rsid w:val="000B6AB7"/>
    <w:rsid w:val="000B71DC"/>
    <w:rsid w:val="000B7F18"/>
    <w:rsid w:val="000C06AB"/>
    <w:rsid w:val="000C1061"/>
    <w:rsid w:val="000C117A"/>
    <w:rsid w:val="000C23EC"/>
    <w:rsid w:val="000C26FF"/>
    <w:rsid w:val="000C2900"/>
    <w:rsid w:val="000C3991"/>
    <w:rsid w:val="000C4808"/>
    <w:rsid w:val="000C5439"/>
    <w:rsid w:val="000C5B43"/>
    <w:rsid w:val="000C60EE"/>
    <w:rsid w:val="000D07D8"/>
    <w:rsid w:val="000D0CF3"/>
    <w:rsid w:val="000D0EC9"/>
    <w:rsid w:val="000D1119"/>
    <w:rsid w:val="000D1468"/>
    <w:rsid w:val="000D150E"/>
    <w:rsid w:val="000D183D"/>
    <w:rsid w:val="000D19C6"/>
    <w:rsid w:val="000D1E55"/>
    <w:rsid w:val="000D1FEB"/>
    <w:rsid w:val="000D214A"/>
    <w:rsid w:val="000D42FC"/>
    <w:rsid w:val="000D5190"/>
    <w:rsid w:val="000D59B9"/>
    <w:rsid w:val="000D6042"/>
    <w:rsid w:val="000D6720"/>
    <w:rsid w:val="000D6BF0"/>
    <w:rsid w:val="000D794F"/>
    <w:rsid w:val="000E02BF"/>
    <w:rsid w:val="000E0904"/>
    <w:rsid w:val="000E0C97"/>
    <w:rsid w:val="000E1647"/>
    <w:rsid w:val="000E2F92"/>
    <w:rsid w:val="000E34F3"/>
    <w:rsid w:val="000E5188"/>
    <w:rsid w:val="000E5376"/>
    <w:rsid w:val="000E6438"/>
    <w:rsid w:val="000E6984"/>
    <w:rsid w:val="000F0B55"/>
    <w:rsid w:val="000F0B68"/>
    <w:rsid w:val="000F0CE5"/>
    <w:rsid w:val="000F1302"/>
    <w:rsid w:val="000F151C"/>
    <w:rsid w:val="000F162F"/>
    <w:rsid w:val="000F174E"/>
    <w:rsid w:val="000F17A1"/>
    <w:rsid w:val="000F48B8"/>
    <w:rsid w:val="000F53EE"/>
    <w:rsid w:val="000F5C62"/>
    <w:rsid w:val="000F6349"/>
    <w:rsid w:val="000F6563"/>
    <w:rsid w:val="001002AC"/>
    <w:rsid w:val="0010146C"/>
    <w:rsid w:val="00101890"/>
    <w:rsid w:val="00101E8F"/>
    <w:rsid w:val="00102201"/>
    <w:rsid w:val="00102AA6"/>
    <w:rsid w:val="001032F3"/>
    <w:rsid w:val="00103BFC"/>
    <w:rsid w:val="00103D79"/>
    <w:rsid w:val="0010402B"/>
    <w:rsid w:val="00104930"/>
    <w:rsid w:val="00104BD9"/>
    <w:rsid w:val="0010553C"/>
    <w:rsid w:val="001063FA"/>
    <w:rsid w:val="00107157"/>
    <w:rsid w:val="0010723D"/>
    <w:rsid w:val="001109E7"/>
    <w:rsid w:val="0011242B"/>
    <w:rsid w:val="0011388F"/>
    <w:rsid w:val="00114062"/>
    <w:rsid w:val="001148A1"/>
    <w:rsid w:val="00114CD8"/>
    <w:rsid w:val="00115223"/>
    <w:rsid w:val="0011633D"/>
    <w:rsid w:val="0011634E"/>
    <w:rsid w:val="001169AC"/>
    <w:rsid w:val="00117FD4"/>
    <w:rsid w:val="001209CA"/>
    <w:rsid w:val="00120D2F"/>
    <w:rsid w:val="00120D6D"/>
    <w:rsid w:val="00120FC7"/>
    <w:rsid w:val="001211E0"/>
    <w:rsid w:val="001212BC"/>
    <w:rsid w:val="0012152B"/>
    <w:rsid w:val="00121E2B"/>
    <w:rsid w:val="001231BC"/>
    <w:rsid w:val="001239E0"/>
    <w:rsid w:val="001243E9"/>
    <w:rsid w:val="001246C1"/>
    <w:rsid w:val="001251C0"/>
    <w:rsid w:val="001258EB"/>
    <w:rsid w:val="001261C2"/>
    <w:rsid w:val="00126DD5"/>
    <w:rsid w:val="001277AD"/>
    <w:rsid w:val="00127BF2"/>
    <w:rsid w:val="00127D58"/>
    <w:rsid w:val="001304BB"/>
    <w:rsid w:val="00131935"/>
    <w:rsid w:val="001319CD"/>
    <w:rsid w:val="00131EB6"/>
    <w:rsid w:val="001333B1"/>
    <w:rsid w:val="001339C1"/>
    <w:rsid w:val="00133C7F"/>
    <w:rsid w:val="00133CA6"/>
    <w:rsid w:val="00134B6F"/>
    <w:rsid w:val="00135143"/>
    <w:rsid w:val="001355BC"/>
    <w:rsid w:val="001369E0"/>
    <w:rsid w:val="00137622"/>
    <w:rsid w:val="00137FB9"/>
    <w:rsid w:val="001405D2"/>
    <w:rsid w:val="00140AB3"/>
    <w:rsid w:val="00140BFB"/>
    <w:rsid w:val="00141847"/>
    <w:rsid w:val="00142013"/>
    <w:rsid w:val="001436F1"/>
    <w:rsid w:val="00143B97"/>
    <w:rsid w:val="00143D7E"/>
    <w:rsid w:val="0014460E"/>
    <w:rsid w:val="001449EA"/>
    <w:rsid w:val="00144CBD"/>
    <w:rsid w:val="00144D04"/>
    <w:rsid w:val="00145425"/>
    <w:rsid w:val="0015064E"/>
    <w:rsid w:val="001507B2"/>
    <w:rsid w:val="00150AFF"/>
    <w:rsid w:val="001510FD"/>
    <w:rsid w:val="00151D4F"/>
    <w:rsid w:val="0015267F"/>
    <w:rsid w:val="00152784"/>
    <w:rsid w:val="0015291D"/>
    <w:rsid w:val="00152A36"/>
    <w:rsid w:val="00152D37"/>
    <w:rsid w:val="00152E12"/>
    <w:rsid w:val="00154F97"/>
    <w:rsid w:val="0015596A"/>
    <w:rsid w:val="00156DE7"/>
    <w:rsid w:val="00156EE9"/>
    <w:rsid w:val="00157285"/>
    <w:rsid w:val="00157F8A"/>
    <w:rsid w:val="00157FA9"/>
    <w:rsid w:val="00160A45"/>
    <w:rsid w:val="00161C26"/>
    <w:rsid w:val="00163741"/>
    <w:rsid w:val="00163E5B"/>
    <w:rsid w:val="00164849"/>
    <w:rsid w:val="00164928"/>
    <w:rsid w:val="0016563A"/>
    <w:rsid w:val="0016574E"/>
    <w:rsid w:val="00165CB0"/>
    <w:rsid w:val="00165CFC"/>
    <w:rsid w:val="00166408"/>
    <w:rsid w:val="001665F6"/>
    <w:rsid w:val="00167CE4"/>
    <w:rsid w:val="00170330"/>
    <w:rsid w:val="0017043C"/>
    <w:rsid w:val="0017083D"/>
    <w:rsid w:val="00171280"/>
    <w:rsid w:val="001715C6"/>
    <w:rsid w:val="00172529"/>
    <w:rsid w:val="00173133"/>
    <w:rsid w:val="0017342D"/>
    <w:rsid w:val="00173BC8"/>
    <w:rsid w:val="0017430D"/>
    <w:rsid w:val="0017507C"/>
    <w:rsid w:val="001756AF"/>
    <w:rsid w:val="0017603C"/>
    <w:rsid w:val="00176895"/>
    <w:rsid w:val="00177036"/>
    <w:rsid w:val="00177B94"/>
    <w:rsid w:val="001809FC"/>
    <w:rsid w:val="00182505"/>
    <w:rsid w:val="001828F2"/>
    <w:rsid w:val="00182D9D"/>
    <w:rsid w:val="00182F7A"/>
    <w:rsid w:val="0018376E"/>
    <w:rsid w:val="00184B7C"/>
    <w:rsid w:val="00184FDB"/>
    <w:rsid w:val="00185A60"/>
    <w:rsid w:val="00187636"/>
    <w:rsid w:val="00187CF8"/>
    <w:rsid w:val="00191712"/>
    <w:rsid w:val="001941C3"/>
    <w:rsid w:val="00194B68"/>
    <w:rsid w:val="00194F7C"/>
    <w:rsid w:val="00195035"/>
    <w:rsid w:val="001954C8"/>
    <w:rsid w:val="00195CE8"/>
    <w:rsid w:val="00195ECD"/>
    <w:rsid w:val="001969AB"/>
    <w:rsid w:val="0019752D"/>
    <w:rsid w:val="001975AD"/>
    <w:rsid w:val="001979FB"/>
    <w:rsid w:val="00197AEA"/>
    <w:rsid w:val="001A0373"/>
    <w:rsid w:val="001A07E8"/>
    <w:rsid w:val="001A0905"/>
    <w:rsid w:val="001A125A"/>
    <w:rsid w:val="001A1384"/>
    <w:rsid w:val="001A1718"/>
    <w:rsid w:val="001A1917"/>
    <w:rsid w:val="001A1FA6"/>
    <w:rsid w:val="001A2388"/>
    <w:rsid w:val="001A2F08"/>
    <w:rsid w:val="001A4ABF"/>
    <w:rsid w:val="001A4E50"/>
    <w:rsid w:val="001A66A7"/>
    <w:rsid w:val="001A7257"/>
    <w:rsid w:val="001A76F9"/>
    <w:rsid w:val="001A7A2F"/>
    <w:rsid w:val="001B160F"/>
    <w:rsid w:val="001B1CC6"/>
    <w:rsid w:val="001B1D72"/>
    <w:rsid w:val="001B272F"/>
    <w:rsid w:val="001B3B97"/>
    <w:rsid w:val="001B43EA"/>
    <w:rsid w:val="001B4E08"/>
    <w:rsid w:val="001B7528"/>
    <w:rsid w:val="001B797C"/>
    <w:rsid w:val="001B7C52"/>
    <w:rsid w:val="001C0637"/>
    <w:rsid w:val="001C0824"/>
    <w:rsid w:val="001C174B"/>
    <w:rsid w:val="001C1C49"/>
    <w:rsid w:val="001C33FB"/>
    <w:rsid w:val="001C397C"/>
    <w:rsid w:val="001C4189"/>
    <w:rsid w:val="001C57A9"/>
    <w:rsid w:val="001C5FF4"/>
    <w:rsid w:val="001C62BE"/>
    <w:rsid w:val="001C77B6"/>
    <w:rsid w:val="001C7906"/>
    <w:rsid w:val="001D0232"/>
    <w:rsid w:val="001D03DB"/>
    <w:rsid w:val="001D1514"/>
    <w:rsid w:val="001D2020"/>
    <w:rsid w:val="001D25E7"/>
    <w:rsid w:val="001D31FB"/>
    <w:rsid w:val="001D3E94"/>
    <w:rsid w:val="001D452B"/>
    <w:rsid w:val="001D4FDD"/>
    <w:rsid w:val="001D5D80"/>
    <w:rsid w:val="001D68A5"/>
    <w:rsid w:val="001D702A"/>
    <w:rsid w:val="001D751E"/>
    <w:rsid w:val="001D7B7E"/>
    <w:rsid w:val="001E095B"/>
    <w:rsid w:val="001E1893"/>
    <w:rsid w:val="001E1A5A"/>
    <w:rsid w:val="001E36B3"/>
    <w:rsid w:val="001E3A12"/>
    <w:rsid w:val="001E3BF3"/>
    <w:rsid w:val="001E3D0F"/>
    <w:rsid w:val="001E4A2A"/>
    <w:rsid w:val="001E55E5"/>
    <w:rsid w:val="001E589C"/>
    <w:rsid w:val="001E6AA3"/>
    <w:rsid w:val="001F0C83"/>
    <w:rsid w:val="001F20E7"/>
    <w:rsid w:val="001F2D81"/>
    <w:rsid w:val="001F30D8"/>
    <w:rsid w:val="001F32A1"/>
    <w:rsid w:val="001F3382"/>
    <w:rsid w:val="001F4136"/>
    <w:rsid w:val="001F41FD"/>
    <w:rsid w:val="00200E37"/>
    <w:rsid w:val="002021C8"/>
    <w:rsid w:val="002026E8"/>
    <w:rsid w:val="00202902"/>
    <w:rsid w:val="00204199"/>
    <w:rsid w:val="00204726"/>
    <w:rsid w:val="00205670"/>
    <w:rsid w:val="00210702"/>
    <w:rsid w:val="00212EF8"/>
    <w:rsid w:val="0021482B"/>
    <w:rsid w:val="002155A0"/>
    <w:rsid w:val="00215AD0"/>
    <w:rsid w:val="00215CE1"/>
    <w:rsid w:val="00215D7A"/>
    <w:rsid w:val="00216481"/>
    <w:rsid w:val="00216954"/>
    <w:rsid w:val="00216B2D"/>
    <w:rsid w:val="002178CB"/>
    <w:rsid w:val="00220842"/>
    <w:rsid w:val="002225EB"/>
    <w:rsid w:val="002231B3"/>
    <w:rsid w:val="00223D4A"/>
    <w:rsid w:val="0022422E"/>
    <w:rsid w:val="00225652"/>
    <w:rsid w:val="00225CED"/>
    <w:rsid w:val="0022672E"/>
    <w:rsid w:val="0022773A"/>
    <w:rsid w:val="00231188"/>
    <w:rsid w:val="002315A5"/>
    <w:rsid w:val="0023189D"/>
    <w:rsid w:val="00231D67"/>
    <w:rsid w:val="00231FAD"/>
    <w:rsid w:val="002331C3"/>
    <w:rsid w:val="00233420"/>
    <w:rsid w:val="002335B0"/>
    <w:rsid w:val="002363DA"/>
    <w:rsid w:val="002372B0"/>
    <w:rsid w:val="00237318"/>
    <w:rsid w:val="00240465"/>
    <w:rsid w:val="00241175"/>
    <w:rsid w:val="00241978"/>
    <w:rsid w:val="00241E0B"/>
    <w:rsid w:val="00242088"/>
    <w:rsid w:val="00242E0B"/>
    <w:rsid w:val="00243723"/>
    <w:rsid w:val="00243AAB"/>
    <w:rsid w:val="00243EAD"/>
    <w:rsid w:val="00245351"/>
    <w:rsid w:val="00245526"/>
    <w:rsid w:val="00245B78"/>
    <w:rsid w:val="00245EE6"/>
    <w:rsid w:val="0024664F"/>
    <w:rsid w:val="0024689E"/>
    <w:rsid w:val="002472CE"/>
    <w:rsid w:val="00247415"/>
    <w:rsid w:val="0024762C"/>
    <w:rsid w:val="0025091D"/>
    <w:rsid w:val="00250F2A"/>
    <w:rsid w:val="002515BF"/>
    <w:rsid w:val="002518B3"/>
    <w:rsid w:val="002525EE"/>
    <w:rsid w:val="00252BB3"/>
    <w:rsid w:val="0025382B"/>
    <w:rsid w:val="00254185"/>
    <w:rsid w:val="00254211"/>
    <w:rsid w:val="00254526"/>
    <w:rsid w:val="00254D9D"/>
    <w:rsid w:val="00256DB8"/>
    <w:rsid w:val="00257BD5"/>
    <w:rsid w:val="00260165"/>
    <w:rsid w:val="002605A2"/>
    <w:rsid w:val="00260C23"/>
    <w:rsid w:val="00260C8F"/>
    <w:rsid w:val="00260CF2"/>
    <w:rsid w:val="002621C1"/>
    <w:rsid w:val="00262A5D"/>
    <w:rsid w:val="00263515"/>
    <w:rsid w:val="00263595"/>
    <w:rsid w:val="0026472F"/>
    <w:rsid w:val="002655BF"/>
    <w:rsid w:val="00265747"/>
    <w:rsid w:val="00266A5E"/>
    <w:rsid w:val="0026713D"/>
    <w:rsid w:val="0026746A"/>
    <w:rsid w:val="00267E44"/>
    <w:rsid w:val="002702B1"/>
    <w:rsid w:val="002707E2"/>
    <w:rsid w:val="00270A3A"/>
    <w:rsid w:val="00270D49"/>
    <w:rsid w:val="002728CD"/>
    <w:rsid w:val="00275AB7"/>
    <w:rsid w:val="00275B6C"/>
    <w:rsid w:val="002768AE"/>
    <w:rsid w:val="002800FC"/>
    <w:rsid w:val="00280BE7"/>
    <w:rsid w:val="00280E9A"/>
    <w:rsid w:val="00281753"/>
    <w:rsid w:val="0028213D"/>
    <w:rsid w:val="0028224C"/>
    <w:rsid w:val="00282446"/>
    <w:rsid w:val="00282601"/>
    <w:rsid w:val="00282AA9"/>
    <w:rsid w:val="002835F5"/>
    <w:rsid w:val="002853A0"/>
    <w:rsid w:val="00285844"/>
    <w:rsid w:val="00287176"/>
    <w:rsid w:val="00287A68"/>
    <w:rsid w:val="00287A94"/>
    <w:rsid w:val="00287EEA"/>
    <w:rsid w:val="0029056E"/>
    <w:rsid w:val="002918BB"/>
    <w:rsid w:val="00291951"/>
    <w:rsid w:val="00291954"/>
    <w:rsid w:val="00292C82"/>
    <w:rsid w:val="00292DA4"/>
    <w:rsid w:val="00293699"/>
    <w:rsid w:val="00294438"/>
    <w:rsid w:val="00294DA4"/>
    <w:rsid w:val="00295928"/>
    <w:rsid w:val="00296FBA"/>
    <w:rsid w:val="00297120"/>
    <w:rsid w:val="002974BE"/>
    <w:rsid w:val="002A1447"/>
    <w:rsid w:val="002A2066"/>
    <w:rsid w:val="002A2729"/>
    <w:rsid w:val="002A28E1"/>
    <w:rsid w:val="002A32EB"/>
    <w:rsid w:val="002A33A4"/>
    <w:rsid w:val="002A401F"/>
    <w:rsid w:val="002A46E0"/>
    <w:rsid w:val="002A49B4"/>
    <w:rsid w:val="002A5F90"/>
    <w:rsid w:val="002A62EF"/>
    <w:rsid w:val="002A65BA"/>
    <w:rsid w:val="002A672D"/>
    <w:rsid w:val="002A69A7"/>
    <w:rsid w:val="002A6FCA"/>
    <w:rsid w:val="002B080C"/>
    <w:rsid w:val="002B0EAA"/>
    <w:rsid w:val="002B11AB"/>
    <w:rsid w:val="002B133B"/>
    <w:rsid w:val="002B15D5"/>
    <w:rsid w:val="002B227E"/>
    <w:rsid w:val="002B3341"/>
    <w:rsid w:val="002B3386"/>
    <w:rsid w:val="002B3950"/>
    <w:rsid w:val="002B42F3"/>
    <w:rsid w:val="002B48C8"/>
    <w:rsid w:val="002B4F15"/>
    <w:rsid w:val="002B52AD"/>
    <w:rsid w:val="002B5E0E"/>
    <w:rsid w:val="002B6184"/>
    <w:rsid w:val="002B6286"/>
    <w:rsid w:val="002B6BCE"/>
    <w:rsid w:val="002C0784"/>
    <w:rsid w:val="002C1A2A"/>
    <w:rsid w:val="002C1B7C"/>
    <w:rsid w:val="002C24E6"/>
    <w:rsid w:val="002C2565"/>
    <w:rsid w:val="002C39A9"/>
    <w:rsid w:val="002C3ECD"/>
    <w:rsid w:val="002C418E"/>
    <w:rsid w:val="002C49DA"/>
    <w:rsid w:val="002C5202"/>
    <w:rsid w:val="002C5565"/>
    <w:rsid w:val="002C7927"/>
    <w:rsid w:val="002C7A4A"/>
    <w:rsid w:val="002C7D5E"/>
    <w:rsid w:val="002D0340"/>
    <w:rsid w:val="002D16E1"/>
    <w:rsid w:val="002D1DFA"/>
    <w:rsid w:val="002D22B6"/>
    <w:rsid w:val="002D26B6"/>
    <w:rsid w:val="002D2782"/>
    <w:rsid w:val="002D3134"/>
    <w:rsid w:val="002D34C0"/>
    <w:rsid w:val="002D3B93"/>
    <w:rsid w:val="002D3FA3"/>
    <w:rsid w:val="002D5147"/>
    <w:rsid w:val="002D6476"/>
    <w:rsid w:val="002D7254"/>
    <w:rsid w:val="002D7DAF"/>
    <w:rsid w:val="002E04DD"/>
    <w:rsid w:val="002E05A6"/>
    <w:rsid w:val="002E0729"/>
    <w:rsid w:val="002E1605"/>
    <w:rsid w:val="002E1E7F"/>
    <w:rsid w:val="002E33BC"/>
    <w:rsid w:val="002E3D4C"/>
    <w:rsid w:val="002E4569"/>
    <w:rsid w:val="002E5115"/>
    <w:rsid w:val="002E5478"/>
    <w:rsid w:val="002E5D07"/>
    <w:rsid w:val="002E649A"/>
    <w:rsid w:val="002E6DD7"/>
    <w:rsid w:val="002E73D3"/>
    <w:rsid w:val="002E7C76"/>
    <w:rsid w:val="002F0310"/>
    <w:rsid w:val="002F16B7"/>
    <w:rsid w:val="002F335F"/>
    <w:rsid w:val="002F391C"/>
    <w:rsid w:val="002F3C12"/>
    <w:rsid w:val="002F422F"/>
    <w:rsid w:val="002F51B2"/>
    <w:rsid w:val="002F5237"/>
    <w:rsid w:val="002F6681"/>
    <w:rsid w:val="003004B3"/>
    <w:rsid w:val="0030102B"/>
    <w:rsid w:val="00302B36"/>
    <w:rsid w:val="0030340D"/>
    <w:rsid w:val="00303891"/>
    <w:rsid w:val="00303C5C"/>
    <w:rsid w:val="00303DFC"/>
    <w:rsid w:val="003046A6"/>
    <w:rsid w:val="0030505A"/>
    <w:rsid w:val="0030514F"/>
    <w:rsid w:val="003063FB"/>
    <w:rsid w:val="00306711"/>
    <w:rsid w:val="00310C09"/>
    <w:rsid w:val="0031110B"/>
    <w:rsid w:val="00311350"/>
    <w:rsid w:val="003117FC"/>
    <w:rsid w:val="00311B7D"/>
    <w:rsid w:val="00311BF4"/>
    <w:rsid w:val="00311EF3"/>
    <w:rsid w:val="00311F18"/>
    <w:rsid w:val="00312C2F"/>
    <w:rsid w:val="00313F1D"/>
    <w:rsid w:val="00314BBD"/>
    <w:rsid w:val="00315A3E"/>
    <w:rsid w:val="00316AD9"/>
    <w:rsid w:val="00316FCC"/>
    <w:rsid w:val="0031710D"/>
    <w:rsid w:val="003171CD"/>
    <w:rsid w:val="003177D0"/>
    <w:rsid w:val="00317E34"/>
    <w:rsid w:val="003209AA"/>
    <w:rsid w:val="0032125F"/>
    <w:rsid w:val="003215AA"/>
    <w:rsid w:val="0032348A"/>
    <w:rsid w:val="00323870"/>
    <w:rsid w:val="00323C59"/>
    <w:rsid w:val="00324187"/>
    <w:rsid w:val="00324925"/>
    <w:rsid w:val="00325526"/>
    <w:rsid w:val="00325A67"/>
    <w:rsid w:val="00326301"/>
    <w:rsid w:val="00326467"/>
    <w:rsid w:val="00327350"/>
    <w:rsid w:val="0033047C"/>
    <w:rsid w:val="00331A1A"/>
    <w:rsid w:val="00331C28"/>
    <w:rsid w:val="00333339"/>
    <w:rsid w:val="00333862"/>
    <w:rsid w:val="00334B78"/>
    <w:rsid w:val="003354B0"/>
    <w:rsid w:val="003358D0"/>
    <w:rsid w:val="00335DFE"/>
    <w:rsid w:val="00335EE4"/>
    <w:rsid w:val="00335F33"/>
    <w:rsid w:val="003405C4"/>
    <w:rsid w:val="00340D54"/>
    <w:rsid w:val="00340DEA"/>
    <w:rsid w:val="0034178C"/>
    <w:rsid w:val="0034196A"/>
    <w:rsid w:val="0034248C"/>
    <w:rsid w:val="00342A1A"/>
    <w:rsid w:val="00343039"/>
    <w:rsid w:val="0034396D"/>
    <w:rsid w:val="00344105"/>
    <w:rsid w:val="00346AA0"/>
    <w:rsid w:val="00347698"/>
    <w:rsid w:val="00347908"/>
    <w:rsid w:val="00350467"/>
    <w:rsid w:val="00351016"/>
    <w:rsid w:val="00351407"/>
    <w:rsid w:val="00351475"/>
    <w:rsid w:val="003527D5"/>
    <w:rsid w:val="00353241"/>
    <w:rsid w:val="003541AA"/>
    <w:rsid w:val="0035595C"/>
    <w:rsid w:val="00357388"/>
    <w:rsid w:val="00357808"/>
    <w:rsid w:val="003579A0"/>
    <w:rsid w:val="00360B09"/>
    <w:rsid w:val="00361191"/>
    <w:rsid w:val="003620AB"/>
    <w:rsid w:val="00362953"/>
    <w:rsid w:val="003631BA"/>
    <w:rsid w:val="0036396B"/>
    <w:rsid w:val="00363DDD"/>
    <w:rsid w:val="0036477D"/>
    <w:rsid w:val="00364A8F"/>
    <w:rsid w:val="00365325"/>
    <w:rsid w:val="003656A7"/>
    <w:rsid w:val="003674FA"/>
    <w:rsid w:val="00367828"/>
    <w:rsid w:val="003678EF"/>
    <w:rsid w:val="00367E82"/>
    <w:rsid w:val="0037143C"/>
    <w:rsid w:val="003717C1"/>
    <w:rsid w:val="00372488"/>
    <w:rsid w:val="003737DC"/>
    <w:rsid w:val="00373C3C"/>
    <w:rsid w:val="00373F82"/>
    <w:rsid w:val="00375015"/>
    <w:rsid w:val="00375336"/>
    <w:rsid w:val="0037552B"/>
    <w:rsid w:val="00376190"/>
    <w:rsid w:val="003779DF"/>
    <w:rsid w:val="00380675"/>
    <w:rsid w:val="0038090A"/>
    <w:rsid w:val="00380BF4"/>
    <w:rsid w:val="00380F06"/>
    <w:rsid w:val="0038169C"/>
    <w:rsid w:val="0038181F"/>
    <w:rsid w:val="003827FD"/>
    <w:rsid w:val="00383029"/>
    <w:rsid w:val="0038417E"/>
    <w:rsid w:val="003865C0"/>
    <w:rsid w:val="00386AA4"/>
    <w:rsid w:val="0038775B"/>
    <w:rsid w:val="00387CDF"/>
    <w:rsid w:val="00390552"/>
    <w:rsid w:val="00390A87"/>
    <w:rsid w:val="00391216"/>
    <w:rsid w:val="00392674"/>
    <w:rsid w:val="00392C97"/>
    <w:rsid w:val="00393DE9"/>
    <w:rsid w:val="00393FC1"/>
    <w:rsid w:val="00394A33"/>
    <w:rsid w:val="00395460"/>
    <w:rsid w:val="00395947"/>
    <w:rsid w:val="00395ADF"/>
    <w:rsid w:val="0039647A"/>
    <w:rsid w:val="00396EF2"/>
    <w:rsid w:val="00396F14"/>
    <w:rsid w:val="00396FE8"/>
    <w:rsid w:val="00397083"/>
    <w:rsid w:val="003A0680"/>
    <w:rsid w:val="003A0FF7"/>
    <w:rsid w:val="003A208C"/>
    <w:rsid w:val="003A3158"/>
    <w:rsid w:val="003A4FAF"/>
    <w:rsid w:val="003A5B2E"/>
    <w:rsid w:val="003A6004"/>
    <w:rsid w:val="003A60E3"/>
    <w:rsid w:val="003A6307"/>
    <w:rsid w:val="003A7459"/>
    <w:rsid w:val="003A7984"/>
    <w:rsid w:val="003B15DA"/>
    <w:rsid w:val="003B15FE"/>
    <w:rsid w:val="003B19F4"/>
    <w:rsid w:val="003B1E75"/>
    <w:rsid w:val="003B1FB0"/>
    <w:rsid w:val="003B2192"/>
    <w:rsid w:val="003B2633"/>
    <w:rsid w:val="003B3074"/>
    <w:rsid w:val="003B397A"/>
    <w:rsid w:val="003B4274"/>
    <w:rsid w:val="003B4B7B"/>
    <w:rsid w:val="003B5AFA"/>
    <w:rsid w:val="003B5EA0"/>
    <w:rsid w:val="003C0367"/>
    <w:rsid w:val="003C0883"/>
    <w:rsid w:val="003C08FD"/>
    <w:rsid w:val="003C0BDE"/>
    <w:rsid w:val="003C0C4A"/>
    <w:rsid w:val="003C1525"/>
    <w:rsid w:val="003C1B86"/>
    <w:rsid w:val="003C32AE"/>
    <w:rsid w:val="003C33D1"/>
    <w:rsid w:val="003C3836"/>
    <w:rsid w:val="003C3B63"/>
    <w:rsid w:val="003C4A92"/>
    <w:rsid w:val="003C57A1"/>
    <w:rsid w:val="003C641B"/>
    <w:rsid w:val="003C696F"/>
    <w:rsid w:val="003D0310"/>
    <w:rsid w:val="003D06D9"/>
    <w:rsid w:val="003D1127"/>
    <w:rsid w:val="003D140C"/>
    <w:rsid w:val="003D1D79"/>
    <w:rsid w:val="003D1F12"/>
    <w:rsid w:val="003D313E"/>
    <w:rsid w:val="003D3CD4"/>
    <w:rsid w:val="003D45A7"/>
    <w:rsid w:val="003D46AE"/>
    <w:rsid w:val="003D4BD3"/>
    <w:rsid w:val="003D4C6A"/>
    <w:rsid w:val="003D4DD5"/>
    <w:rsid w:val="003D5DD3"/>
    <w:rsid w:val="003D66EC"/>
    <w:rsid w:val="003D6C84"/>
    <w:rsid w:val="003E12CB"/>
    <w:rsid w:val="003E12ED"/>
    <w:rsid w:val="003E17FC"/>
    <w:rsid w:val="003E22EA"/>
    <w:rsid w:val="003E2538"/>
    <w:rsid w:val="003E2BB6"/>
    <w:rsid w:val="003E306D"/>
    <w:rsid w:val="003E4600"/>
    <w:rsid w:val="003E48A1"/>
    <w:rsid w:val="003E4F78"/>
    <w:rsid w:val="003E511C"/>
    <w:rsid w:val="003E5B4F"/>
    <w:rsid w:val="003E6963"/>
    <w:rsid w:val="003E6F07"/>
    <w:rsid w:val="003F0106"/>
    <w:rsid w:val="003F1F9E"/>
    <w:rsid w:val="003F2102"/>
    <w:rsid w:val="003F3544"/>
    <w:rsid w:val="003F3BC2"/>
    <w:rsid w:val="003F41B5"/>
    <w:rsid w:val="003F4255"/>
    <w:rsid w:val="003F4425"/>
    <w:rsid w:val="003F4EFD"/>
    <w:rsid w:val="003F6005"/>
    <w:rsid w:val="003F73DA"/>
    <w:rsid w:val="00402406"/>
    <w:rsid w:val="00402443"/>
    <w:rsid w:val="004028D8"/>
    <w:rsid w:val="00405142"/>
    <w:rsid w:val="00405419"/>
    <w:rsid w:val="00405C73"/>
    <w:rsid w:val="004061E7"/>
    <w:rsid w:val="0040634B"/>
    <w:rsid w:val="004063A7"/>
    <w:rsid w:val="00406A0F"/>
    <w:rsid w:val="00407627"/>
    <w:rsid w:val="004077DC"/>
    <w:rsid w:val="004111D2"/>
    <w:rsid w:val="004112B3"/>
    <w:rsid w:val="004112E8"/>
    <w:rsid w:val="0041238B"/>
    <w:rsid w:val="00412910"/>
    <w:rsid w:val="00412B4F"/>
    <w:rsid w:val="004139DE"/>
    <w:rsid w:val="00413F7C"/>
    <w:rsid w:val="004147C2"/>
    <w:rsid w:val="00414F5B"/>
    <w:rsid w:val="004150A2"/>
    <w:rsid w:val="00415E3F"/>
    <w:rsid w:val="00417F28"/>
    <w:rsid w:val="00420EA2"/>
    <w:rsid w:val="00420ECF"/>
    <w:rsid w:val="00420F19"/>
    <w:rsid w:val="00421103"/>
    <w:rsid w:val="00422453"/>
    <w:rsid w:val="0042270F"/>
    <w:rsid w:val="00422D5F"/>
    <w:rsid w:val="00423124"/>
    <w:rsid w:val="0042355C"/>
    <w:rsid w:val="00424295"/>
    <w:rsid w:val="00425E71"/>
    <w:rsid w:val="00426C51"/>
    <w:rsid w:val="00427059"/>
    <w:rsid w:val="0043060F"/>
    <w:rsid w:val="004309A4"/>
    <w:rsid w:val="004314AD"/>
    <w:rsid w:val="00431EE6"/>
    <w:rsid w:val="004321B1"/>
    <w:rsid w:val="00432882"/>
    <w:rsid w:val="004360BC"/>
    <w:rsid w:val="00436C7A"/>
    <w:rsid w:val="004376E5"/>
    <w:rsid w:val="00437BBC"/>
    <w:rsid w:val="0044010A"/>
    <w:rsid w:val="00440446"/>
    <w:rsid w:val="004407F8"/>
    <w:rsid w:val="0044177B"/>
    <w:rsid w:val="0044277E"/>
    <w:rsid w:val="004435AE"/>
    <w:rsid w:val="004440A5"/>
    <w:rsid w:val="00444948"/>
    <w:rsid w:val="00444AA4"/>
    <w:rsid w:val="00445194"/>
    <w:rsid w:val="0044604F"/>
    <w:rsid w:val="00447BCE"/>
    <w:rsid w:val="004500C1"/>
    <w:rsid w:val="004506A1"/>
    <w:rsid w:val="00454F0E"/>
    <w:rsid w:val="00455B77"/>
    <w:rsid w:val="0045679F"/>
    <w:rsid w:val="00456C14"/>
    <w:rsid w:val="00456F20"/>
    <w:rsid w:val="00456FC2"/>
    <w:rsid w:val="00456FCB"/>
    <w:rsid w:val="00457C02"/>
    <w:rsid w:val="00460400"/>
    <w:rsid w:val="0046265A"/>
    <w:rsid w:val="00462CA7"/>
    <w:rsid w:val="0046570F"/>
    <w:rsid w:val="004660E5"/>
    <w:rsid w:val="00466E65"/>
    <w:rsid w:val="004678A0"/>
    <w:rsid w:val="00467AFF"/>
    <w:rsid w:val="00470D08"/>
    <w:rsid w:val="0047141E"/>
    <w:rsid w:val="0047275F"/>
    <w:rsid w:val="004748A4"/>
    <w:rsid w:val="0047510E"/>
    <w:rsid w:val="00475E7C"/>
    <w:rsid w:val="004810F4"/>
    <w:rsid w:val="00481B6F"/>
    <w:rsid w:val="004820F4"/>
    <w:rsid w:val="00482D67"/>
    <w:rsid w:val="00483915"/>
    <w:rsid w:val="0048538F"/>
    <w:rsid w:val="0048572A"/>
    <w:rsid w:val="00485D4E"/>
    <w:rsid w:val="00486212"/>
    <w:rsid w:val="0048778A"/>
    <w:rsid w:val="004903DF"/>
    <w:rsid w:val="00490709"/>
    <w:rsid w:val="00490D7D"/>
    <w:rsid w:val="004914F8"/>
    <w:rsid w:val="00491B51"/>
    <w:rsid w:val="00492B44"/>
    <w:rsid w:val="00493328"/>
    <w:rsid w:val="00493981"/>
    <w:rsid w:val="00494185"/>
    <w:rsid w:val="00494866"/>
    <w:rsid w:val="0049515E"/>
    <w:rsid w:val="00495C28"/>
    <w:rsid w:val="00496F28"/>
    <w:rsid w:val="004975AE"/>
    <w:rsid w:val="004A01EE"/>
    <w:rsid w:val="004A0C87"/>
    <w:rsid w:val="004A1022"/>
    <w:rsid w:val="004A1426"/>
    <w:rsid w:val="004A4FCA"/>
    <w:rsid w:val="004A5A55"/>
    <w:rsid w:val="004A658F"/>
    <w:rsid w:val="004A6A4B"/>
    <w:rsid w:val="004A6A5B"/>
    <w:rsid w:val="004A7689"/>
    <w:rsid w:val="004A7BA5"/>
    <w:rsid w:val="004B0975"/>
    <w:rsid w:val="004B0C5A"/>
    <w:rsid w:val="004B1B2E"/>
    <w:rsid w:val="004B2630"/>
    <w:rsid w:val="004B3186"/>
    <w:rsid w:val="004B3A42"/>
    <w:rsid w:val="004B5577"/>
    <w:rsid w:val="004B5C8C"/>
    <w:rsid w:val="004B6B57"/>
    <w:rsid w:val="004B73E7"/>
    <w:rsid w:val="004B7661"/>
    <w:rsid w:val="004B77F0"/>
    <w:rsid w:val="004B7F3B"/>
    <w:rsid w:val="004C0722"/>
    <w:rsid w:val="004C1068"/>
    <w:rsid w:val="004C16C0"/>
    <w:rsid w:val="004C2CE2"/>
    <w:rsid w:val="004C2E08"/>
    <w:rsid w:val="004C4C83"/>
    <w:rsid w:val="004C53BD"/>
    <w:rsid w:val="004C5600"/>
    <w:rsid w:val="004C59AB"/>
    <w:rsid w:val="004C656C"/>
    <w:rsid w:val="004C7305"/>
    <w:rsid w:val="004C7D88"/>
    <w:rsid w:val="004D0168"/>
    <w:rsid w:val="004D065E"/>
    <w:rsid w:val="004D2CF0"/>
    <w:rsid w:val="004D324F"/>
    <w:rsid w:val="004D3C68"/>
    <w:rsid w:val="004D3FF6"/>
    <w:rsid w:val="004D4372"/>
    <w:rsid w:val="004D4FD2"/>
    <w:rsid w:val="004D51BB"/>
    <w:rsid w:val="004D54F0"/>
    <w:rsid w:val="004D5582"/>
    <w:rsid w:val="004D61F9"/>
    <w:rsid w:val="004D6CAB"/>
    <w:rsid w:val="004D7FA9"/>
    <w:rsid w:val="004E140D"/>
    <w:rsid w:val="004E1AFB"/>
    <w:rsid w:val="004E1F09"/>
    <w:rsid w:val="004E310A"/>
    <w:rsid w:val="004E4069"/>
    <w:rsid w:val="004E411D"/>
    <w:rsid w:val="004E439F"/>
    <w:rsid w:val="004E4D6F"/>
    <w:rsid w:val="004E4DBB"/>
    <w:rsid w:val="004E57A0"/>
    <w:rsid w:val="004E5EC0"/>
    <w:rsid w:val="004E6906"/>
    <w:rsid w:val="004E6BC4"/>
    <w:rsid w:val="004E7266"/>
    <w:rsid w:val="004E7819"/>
    <w:rsid w:val="004F0EC4"/>
    <w:rsid w:val="004F11F9"/>
    <w:rsid w:val="004F2344"/>
    <w:rsid w:val="004F24E0"/>
    <w:rsid w:val="004F26C3"/>
    <w:rsid w:val="004F2F8A"/>
    <w:rsid w:val="004F396F"/>
    <w:rsid w:val="004F3A43"/>
    <w:rsid w:val="004F400B"/>
    <w:rsid w:val="004F45BE"/>
    <w:rsid w:val="004F48C2"/>
    <w:rsid w:val="004F4E95"/>
    <w:rsid w:val="004F5337"/>
    <w:rsid w:val="004F59D2"/>
    <w:rsid w:val="004F5CF2"/>
    <w:rsid w:val="004F6D6C"/>
    <w:rsid w:val="004F6EA1"/>
    <w:rsid w:val="00500323"/>
    <w:rsid w:val="00500AA4"/>
    <w:rsid w:val="0050144B"/>
    <w:rsid w:val="00501E09"/>
    <w:rsid w:val="00505A13"/>
    <w:rsid w:val="005065E6"/>
    <w:rsid w:val="0050660D"/>
    <w:rsid w:val="00506B14"/>
    <w:rsid w:val="0050725A"/>
    <w:rsid w:val="00507AA6"/>
    <w:rsid w:val="00511166"/>
    <w:rsid w:val="00513966"/>
    <w:rsid w:val="00513F44"/>
    <w:rsid w:val="005152BC"/>
    <w:rsid w:val="00515470"/>
    <w:rsid w:val="005158A7"/>
    <w:rsid w:val="00515BE3"/>
    <w:rsid w:val="00515EE5"/>
    <w:rsid w:val="00516380"/>
    <w:rsid w:val="00516406"/>
    <w:rsid w:val="005167AF"/>
    <w:rsid w:val="00517390"/>
    <w:rsid w:val="00520008"/>
    <w:rsid w:val="005206E0"/>
    <w:rsid w:val="005207C5"/>
    <w:rsid w:val="00520F45"/>
    <w:rsid w:val="00520FD0"/>
    <w:rsid w:val="0052119E"/>
    <w:rsid w:val="0052129B"/>
    <w:rsid w:val="005212BB"/>
    <w:rsid w:val="00522EF9"/>
    <w:rsid w:val="0052485E"/>
    <w:rsid w:val="00524A19"/>
    <w:rsid w:val="00524F44"/>
    <w:rsid w:val="00525344"/>
    <w:rsid w:val="00525A86"/>
    <w:rsid w:val="00525CFC"/>
    <w:rsid w:val="00527492"/>
    <w:rsid w:val="0052783F"/>
    <w:rsid w:val="005279F2"/>
    <w:rsid w:val="00532082"/>
    <w:rsid w:val="00532BAD"/>
    <w:rsid w:val="00532C1E"/>
    <w:rsid w:val="00532EAE"/>
    <w:rsid w:val="00533D41"/>
    <w:rsid w:val="005340C0"/>
    <w:rsid w:val="0053467F"/>
    <w:rsid w:val="005355CE"/>
    <w:rsid w:val="00535D5E"/>
    <w:rsid w:val="005361F9"/>
    <w:rsid w:val="005368BF"/>
    <w:rsid w:val="00536BC6"/>
    <w:rsid w:val="00537958"/>
    <w:rsid w:val="00540BDE"/>
    <w:rsid w:val="00541298"/>
    <w:rsid w:val="00542E9A"/>
    <w:rsid w:val="005431F1"/>
    <w:rsid w:val="00543858"/>
    <w:rsid w:val="005445CF"/>
    <w:rsid w:val="0054490C"/>
    <w:rsid w:val="00544BFC"/>
    <w:rsid w:val="00545A71"/>
    <w:rsid w:val="00545E4B"/>
    <w:rsid w:val="0054721C"/>
    <w:rsid w:val="00547815"/>
    <w:rsid w:val="005478FF"/>
    <w:rsid w:val="005506FE"/>
    <w:rsid w:val="0055089E"/>
    <w:rsid w:val="00550BA5"/>
    <w:rsid w:val="00550BC9"/>
    <w:rsid w:val="00550D06"/>
    <w:rsid w:val="0055228F"/>
    <w:rsid w:val="00552BA9"/>
    <w:rsid w:val="0055340B"/>
    <w:rsid w:val="0055359F"/>
    <w:rsid w:val="00554953"/>
    <w:rsid w:val="00555AED"/>
    <w:rsid w:val="00556298"/>
    <w:rsid w:val="005567BA"/>
    <w:rsid w:val="005567BB"/>
    <w:rsid w:val="005579E3"/>
    <w:rsid w:val="00557A32"/>
    <w:rsid w:val="00557A44"/>
    <w:rsid w:val="00557C16"/>
    <w:rsid w:val="005605B3"/>
    <w:rsid w:val="005622EE"/>
    <w:rsid w:val="00562D08"/>
    <w:rsid w:val="00563D41"/>
    <w:rsid w:val="00564F22"/>
    <w:rsid w:val="00565969"/>
    <w:rsid w:val="005670F2"/>
    <w:rsid w:val="005676D5"/>
    <w:rsid w:val="0057018D"/>
    <w:rsid w:val="005706F4"/>
    <w:rsid w:val="0057138F"/>
    <w:rsid w:val="00571AA5"/>
    <w:rsid w:val="00572222"/>
    <w:rsid w:val="00573435"/>
    <w:rsid w:val="00573451"/>
    <w:rsid w:val="00573A1A"/>
    <w:rsid w:val="00573A7D"/>
    <w:rsid w:val="00573B8B"/>
    <w:rsid w:val="0057453A"/>
    <w:rsid w:val="00574808"/>
    <w:rsid w:val="00575332"/>
    <w:rsid w:val="00576026"/>
    <w:rsid w:val="0057709B"/>
    <w:rsid w:val="005772BC"/>
    <w:rsid w:val="0057755C"/>
    <w:rsid w:val="0058078F"/>
    <w:rsid w:val="005818E8"/>
    <w:rsid w:val="00581B48"/>
    <w:rsid w:val="00582B09"/>
    <w:rsid w:val="00582EDF"/>
    <w:rsid w:val="00582F20"/>
    <w:rsid w:val="00583613"/>
    <w:rsid w:val="00583A1D"/>
    <w:rsid w:val="00583B5D"/>
    <w:rsid w:val="0058479B"/>
    <w:rsid w:val="00584A1D"/>
    <w:rsid w:val="00585458"/>
    <w:rsid w:val="00587149"/>
    <w:rsid w:val="005913BA"/>
    <w:rsid w:val="00591ECE"/>
    <w:rsid w:val="00593559"/>
    <w:rsid w:val="00594A11"/>
    <w:rsid w:val="00595B54"/>
    <w:rsid w:val="005975C9"/>
    <w:rsid w:val="005A1CA0"/>
    <w:rsid w:val="005A1E13"/>
    <w:rsid w:val="005A2156"/>
    <w:rsid w:val="005A2C04"/>
    <w:rsid w:val="005A3103"/>
    <w:rsid w:val="005A3856"/>
    <w:rsid w:val="005A4540"/>
    <w:rsid w:val="005A4E5F"/>
    <w:rsid w:val="005A5709"/>
    <w:rsid w:val="005A5C04"/>
    <w:rsid w:val="005A6642"/>
    <w:rsid w:val="005B4491"/>
    <w:rsid w:val="005B645E"/>
    <w:rsid w:val="005B66AD"/>
    <w:rsid w:val="005B68DB"/>
    <w:rsid w:val="005B6904"/>
    <w:rsid w:val="005B6F85"/>
    <w:rsid w:val="005C058F"/>
    <w:rsid w:val="005C0958"/>
    <w:rsid w:val="005C0A77"/>
    <w:rsid w:val="005C1C71"/>
    <w:rsid w:val="005C236A"/>
    <w:rsid w:val="005C26AC"/>
    <w:rsid w:val="005C3FA1"/>
    <w:rsid w:val="005C43FA"/>
    <w:rsid w:val="005C5540"/>
    <w:rsid w:val="005C65A1"/>
    <w:rsid w:val="005C65FA"/>
    <w:rsid w:val="005C6922"/>
    <w:rsid w:val="005C6EB8"/>
    <w:rsid w:val="005C7167"/>
    <w:rsid w:val="005C79DE"/>
    <w:rsid w:val="005C7B24"/>
    <w:rsid w:val="005D0212"/>
    <w:rsid w:val="005D12E1"/>
    <w:rsid w:val="005D1DCC"/>
    <w:rsid w:val="005D357B"/>
    <w:rsid w:val="005D382C"/>
    <w:rsid w:val="005D4783"/>
    <w:rsid w:val="005D47B3"/>
    <w:rsid w:val="005D668C"/>
    <w:rsid w:val="005D7030"/>
    <w:rsid w:val="005E0FC4"/>
    <w:rsid w:val="005E3C75"/>
    <w:rsid w:val="005E40F6"/>
    <w:rsid w:val="005E42EF"/>
    <w:rsid w:val="005E4FAD"/>
    <w:rsid w:val="005E5A66"/>
    <w:rsid w:val="005E61D9"/>
    <w:rsid w:val="005E6C7D"/>
    <w:rsid w:val="005F1B14"/>
    <w:rsid w:val="005F1DA4"/>
    <w:rsid w:val="005F29C4"/>
    <w:rsid w:val="005F47F4"/>
    <w:rsid w:val="005F5C46"/>
    <w:rsid w:val="005F60F6"/>
    <w:rsid w:val="005F6A9C"/>
    <w:rsid w:val="006002B3"/>
    <w:rsid w:val="006003AA"/>
    <w:rsid w:val="0060097B"/>
    <w:rsid w:val="00600ADA"/>
    <w:rsid w:val="006016B0"/>
    <w:rsid w:val="00603135"/>
    <w:rsid w:val="00603291"/>
    <w:rsid w:val="006033EC"/>
    <w:rsid w:val="0060398B"/>
    <w:rsid w:val="00603CEB"/>
    <w:rsid w:val="006043EB"/>
    <w:rsid w:val="00604661"/>
    <w:rsid w:val="0060575C"/>
    <w:rsid w:val="006068EB"/>
    <w:rsid w:val="0060742E"/>
    <w:rsid w:val="006075C2"/>
    <w:rsid w:val="006077F0"/>
    <w:rsid w:val="0060789E"/>
    <w:rsid w:val="00607E6B"/>
    <w:rsid w:val="00607FD9"/>
    <w:rsid w:val="00610457"/>
    <w:rsid w:val="00611BA9"/>
    <w:rsid w:val="00611F32"/>
    <w:rsid w:val="00612755"/>
    <w:rsid w:val="00612D4E"/>
    <w:rsid w:val="00613385"/>
    <w:rsid w:val="0061358E"/>
    <w:rsid w:val="00613DD7"/>
    <w:rsid w:val="00614AC2"/>
    <w:rsid w:val="00615A51"/>
    <w:rsid w:val="00615C6E"/>
    <w:rsid w:val="00615DEA"/>
    <w:rsid w:val="0061692F"/>
    <w:rsid w:val="00617E24"/>
    <w:rsid w:val="00620555"/>
    <w:rsid w:val="00620C27"/>
    <w:rsid w:val="006222D4"/>
    <w:rsid w:val="006226CA"/>
    <w:rsid w:val="00623EFD"/>
    <w:rsid w:val="00624508"/>
    <w:rsid w:val="0062524E"/>
    <w:rsid w:val="00625331"/>
    <w:rsid w:val="00625EE0"/>
    <w:rsid w:val="00626F92"/>
    <w:rsid w:val="00630A84"/>
    <w:rsid w:val="00631338"/>
    <w:rsid w:val="00632ABF"/>
    <w:rsid w:val="0063374F"/>
    <w:rsid w:val="00633A27"/>
    <w:rsid w:val="00634DD1"/>
    <w:rsid w:val="00634FA8"/>
    <w:rsid w:val="006351B4"/>
    <w:rsid w:val="006356AA"/>
    <w:rsid w:val="006356C5"/>
    <w:rsid w:val="00635B73"/>
    <w:rsid w:val="00636B50"/>
    <w:rsid w:val="00636BC1"/>
    <w:rsid w:val="00636C04"/>
    <w:rsid w:val="00636E40"/>
    <w:rsid w:val="00637B1E"/>
    <w:rsid w:val="00640206"/>
    <w:rsid w:val="00640474"/>
    <w:rsid w:val="006404E4"/>
    <w:rsid w:val="006413C7"/>
    <w:rsid w:val="0064184A"/>
    <w:rsid w:val="00642093"/>
    <w:rsid w:val="00642E53"/>
    <w:rsid w:val="0064334F"/>
    <w:rsid w:val="00643443"/>
    <w:rsid w:val="006437D4"/>
    <w:rsid w:val="00644006"/>
    <w:rsid w:val="00644220"/>
    <w:rsid w:val="00644403"/>
    <w:rsid w:val="00644485"/>
    <w:rsid w:val="0064517D"/>
    <w:rsid w:val="0064564C"/>
    <w:rsid w:val="00646ADC"/>
    <w:rsid w:val="006478D9"/>
    <w:rsid w:val="00647B48"/>
    <w:rsid w:val="00650179"/>
    <w:rsid w:val="006506A9"/>
    <w:rsid w:val="006510CA"/>
    <w:rsid w:val="00651828"/>
    <w:rsid w:val="006528AE"/>
    <w:rsid w:val="00652BAB"/>
    <w:rsid w:val="006535CA"/>
    <w:rsid w:val="006550C4"/>
    <w:rsid w:val="00655425"/>
    <w:rsid w:val="00655645"/>
    <w:rsid w:val="00655C37"/>
    <w:rsid w:val="0065602A"/>
    <w:rsid w:val="00656684"/>
    <w:rsid w:val="00656C6F"/>
    <w:rsid w:val="00657A59"/>
    <w:rsid w:val="00657EBE"/>
    <w:rsid w:val="00660D26"/>
    <w:rsid w:val="00662047"/>
    <w:rsid w:val="00662F97"/>
    <w:rsid w:val="006642DD"/>
    <w:rsid w:val="006648D7"/>
    <w:rsid w:val="00664EE7"/>
    <w:rsid w:val="0066565D"/>
    <w:rsid w:val="00665944"/>
    <w:rsid w:val="00666154"/>
    <w:rsid w:val="006667AD"/>
    <w:rsid w:val="00667405"/>
    <w:rsid w:val="00667D8E"/>
    <w:rsid w:val="006717B7"/>
    <w:rsid w:val="00671A18"/>
    <w:rsid w:val="00672C3A"/>
    <w:rsid w:val="00673829"/>
    <w:rsid w:val="00674C7B"/>
    <w:rsid w:val="0068010E"/>
    <w:rsid w:val="00680683"/>
    <w:rsid w:val="0068155C"/>
    <w:rsid w:val="00681BEA"/>
    <w:rsid w:val="00684217"/>
    <w:rsid w:val="00685102"/>
    <w:rsid w:val="00685399"/>
    <w:rsid w:val="0068763D"/>
    <w:rsid w:val="006878C4"/>
    <w:rsid w:val="00687E71"/>
    <w:rsid w:val="006905F0"/>
    <w:rsid w:val="00690E71"/>
    <w:rsid w:val="00692C1C"/>
    <w:rsid w:val="00692E45"/>
    <w:rsid w:val="00693094"/>
    <w:rsid w:val="0069417C"/>
    <w:rsid w:val="00694D1F"/>
    <w:rsid w:val="00696CC1"/>
    <w:rsid w:val="00696F6E"/>
    <w:rsid w:val="00697CB8"/>
    <w:rsid w:val="00697DA1"/>
    <w:rsid w:val="006A0F3A"/>
    <w:rsid w:val="006A397F"/>
    <w:rsid w:val="006A4910"/>
    <w:rsid w:val="006A4A76"/>
    <w:rsid w:val="006A5403"/>
    <w:rsid w:val="006A6180"/>
    <w:rsid w:val="006A6F86"/>
    <w:rsid w:val="006A7AB5"/>
    <w:rsid w:val="006B01FF"/>
    <w:rsid w:val="006B04D6"/>
    <w:rsid w:val="006B154D"/>
    <w:rsid w:val="006B17F1"/>
    <w:rsid w:val="006B28A1"/>
    <w:rsid w:val="006B3261"/>
    <w:rsid w:val="006B3710"/>
    <w:rsid w:val="006B3B2C"/>
    <w:rsid w:val="006B3CCF"/>
    <w:rsid w:val="006B4A94"/>
    <w:rsid w:val="006B53C0"/>
    <w:rsid w:val="006B5CD1"/>
    <w:rsid w:val="006B5EC8"/>
    <w:rsid w:val="006B621E"/>
    <w:rsid w:val="006B643F"/>
    <w:rsid w:val="006B6592"/>
    <w:rsid w:val="006B701C"/>
    <w:rsid w:val="006B720B"/>
    <w:rsid w:val="006C062A"/>
    <w:rsid w:val="006C0B10"/>
    <w:rsid w:val="006C1537"/>
    <w:rsid w:val="006C2C5E"/>
    <w:rsid w:val="006C3880"/>
    <w:rsid w:val="006C43D1"/>
    <w:rsid w:val="006C552A"/>
    <w:rsid w:val="006C660A"/>
    <w:rsid w:val="006C7ED0"/>
    <w:rsid w:val="006D1B78"/>
    <w:rsid w:val="006D1FD4"/>
    <w:rsid w:val="006D3B83"/>
    <w:rsid w:val="006D4358"/>
    <w:rsid w:val="006D446B"/>
    <w:rsid w:val="006D4BF3"/>
    <w:rsid w:val="006D53EE"/>
    <w:rsid w:val="006D5BAE"/>
    <w:rsid w:val="006D6E90"/>
    <w:rsid w:val="006D6ED9"/>
    <w:rsid w:val="006D78D5"/>
    <w:rsid w:val="006D7C51"/>
    <w:rsid w:val="006D7CD5"/>
    <w:rsid w:val="006D7E8B"/>
    <w:rsid w:val="006E0040"/>
    <w:rsid w:val="006E0B8C"/>
    <w:rsid w:val="006E0D93"/>
    <w:rsid w:val="006E14AE"/>
    <w:rsid w:val="006E2836"/>
    <w:rsid w:val="006E4942"/>
    <w:rsid w:val="006E4D84"/>
    <w:rsid w:val="006E4DAE"/>
    <w:rsid w:val="006E79BC"/>
    <w:rsid w:val="006E7C29"/>
    <w:rsid w:val="006F054B"/>
    <w:rsid w:val="006F06D5"/>
    <w:rsid w:val="006F0DEF"/>
    <w:rsid w:val="006F0F9F"/>
    <w:rsid w:val="006F1091"/>
    <w:rsid w:val="006F2740"/>
    <w:rsid w:val="006F2D0C"/>
    <w:rsid w:val="006F3847"/>
    <w:rsid w:val="006F4758"/>
    <w:rsid w:val="006F56CD"/>
    <w:rsid w:val="006F7892"/>
    <w:rsid w:val="007000CE"/>
    <w:rsid w:val="00700C6A"/>
    <w:rsid w:val="00701F4F"/>
    <w:rsid w:val="00702186"/>
    <w:rsid w:val="00702328"/>
    <w:rsid w:val="00702C6A"/>
    <w:rsid w:val="00703271"/>
    <w:rsid w:val="007040C7"/>
    <w:rsid w:val="007042EF"/>
    <w:rsid w:val="0070431D"/>
    <w:rsid w:val="00704A6E"/>
    <w:rsid w:val="0070745F"/>
    <w:rsid w:val="00707713"/>
    <w:rsid w:val="0071004A"/>
    <w:rsid w:val="007115C5"/>
    <w:rsid w:val="00711DE5"/>
    <w:rsid w:val="007135A6"/>
    <w:rsid w:val="00713C01"/>
    <w:rsid w:val="00713FFF"/>
    <w:rsid w:val="00714964"/>
    <w:rsid w:val="0071550C"/>
    <w:rsid w:val="0072089F"/>
    <w:rsid w:val="00720ACB"/>
    <w:rsid w:val="007218F8"/>
    <w:rsid w:val="007219C0"/>
    <w:rsid w:val="00721EAA"/>
    <w:rsid w:val="007228E1"/>
    <w:rsid w:val="00722D6B"/>
    <w:rsid w:val="00723306"/>
    <w:rsid w:val="00723566"/>
    <w:rsid w:val="00723F4D"/>
    <w:rsid w:val="00724832"/>
    <w:rsid w:val="00724876"/>
    <w:rsid w:val="007257D0"/>
    <w:rsid w:val="00725856"/>
    <w:rsid w:val="007258E1"/>
    <w:rsid w:val="0072716B"/>
    <w:rsid w:val="00730CC6"/>
    <w:rsid w:val="00732DAF"/>
    <w:rsid w:val="007337DC"/>
    <w:rsid w:val="007341CC"/>
    <w:rsid w:val="00735419"/>
    <w:rsid w:val="00735864"/>
    <w:rsid w:val="00735DCC"/>
    <w:rsid w:val="00736D2D"/>
    <w:rsid w:val="0073724D"/>
    <w:rsid w:val="007372A8"/>
    <w:rsid w:val="0074074E"/>
    <w:rsid w:val="00740B96"/>
    <w:rsid w:val="0074190F"/>
    <w:rsid w:val="0074215B"/>
    <w:rsid w:val="00742DE2"/>
    <w:rsid w:val="00744863"/>
    <w:rsid w:val="00745795"/>
    <w:rsid w:val="00745852"/>
    <w:rsid w:val="007460DA"/>
    <w:rsid w:val="00746FEB"/>
    <w:rsid w:val="00747C59"/>
    <w:rsid w:val="00747E82"/>
    <w:rsid w:val="00750A78"/>
    <w:rsid w:val="00750F51"/>
    <w:rsid w:val="0075106B"/>
    <w:rsid w:val="007536C9"/>
    <w:rsid w:val="0075404E"/>
    <w:rsid w:val="00754CC7"/>
    <w:rsid w:val="00756C7E"/>
    <w:rsid w:val="00757466"/>
    <w:rsid w:val="00760AB4"/>
    <w:rsid w:val="00760EB4"/>
    <w:rsid w:val="007612CC"/>
    <w:rsid w:val="0076225B"/>
    <w:rsid w:val="00763405"/>
    <w:rsid w:val="00763736"/>
    <w:rsid w:val="0076384A"/>
    <w:rsid w:val="00767672"/>
    <w:rsid w:val="00767730"/>
    <w:rsid w:val="0077191E"/>
    <w:rsid w:val="007724FA"/>
    <w:rsid w:val="00773BDA"/>
    <w:rsid w:val="00773CA6"/>
    <w:rsid w:val="007746D4"/>
    <w:rsid w:val="007746FE"/>
    <w:rsid w:val="00775875"/>
    <w:rsid w:val="00775C42"/>
    <w:rsid w:val="00775F78"/>
    <w:rsid w:val="007764A8"/>
    <w:rsid w:val="0077663E"/>
    <w:rsid w:val="00776B58"/>
    <w:rsid w:val="00776FEE"/>
    <w:rsid w:val="00777C86"/>
    <w:rsid w:val="00780031"/>
    <w:rsid w:val="00780157"/>
    <w:rsid w:val="00780168"/>
    <w:rsid w:val="00780329"/>
    <w:rsid w:val="00780E0E"/>
    <w:rsid w:val="00781068"/>
    <w:rsid w:val="007810A0"/>
    <w:rsid w:val="007821F7"/>
    <w:rsid w:val="00782256"/>
    <w:rsid w:val="00782F99"/>
    <w:rsid w:val="0078319A"/>
    <w:rsid w:val="00783630"/>
    <w:rsid w:val="00783699"/>
    <w:rsid w:val="00783A5E"/>
    <w:rsid w:val="00783FD5"/>
    <w:rsid w:val="0078493F"/>
    <w:rsid w:val="0078570F"/>
    <w:rsid w:val="0078619C"/>
    <w:rsid w:val="00786E61"/>
    <w:rsid w:val="007879A7"/>
    <w:rsid w:val="007905AB"/>
    <w:rsid w:val="00790AFC"/>
    <w:rsid w:val="00790D8E"/>
    <w:rsid w:val="007911ED"/>
    <w:rsid w:val="00791B1E"/>
    <w:rsid w:val="00791C97"/>
    <w:rsid w:val="00792BFF"/>
    <w:rsid w:val="0079358B"/>
    <w:rsid w:val="00793671"/>
    <w:rsid w:val="00793E93"/>
    <w:rsid w:val="00793ECD"/>
    <w:rsid w:val="00794034"/>
    <w:rsid w:val="00794539"/>
    <w:rsid w:val="00794E0E"/>
    <w:rsid w:val="0079697E"/>
    <w:rsid w:val="00796B53"/>
    <w:rsid w:val="00797EC7"/>
    <w:rsid w:val="007A0C82"/>
    <w:rsid w:val="007A15DF"/>
    <w:rsid w:val="007A1C1A"/>
    <w:rsid w:val="007A242E"/>
    <w:rsid w:val="007A2AE8"/>
    <w:rsid w:val="007A2C31"/>
    <w:rsid w:val="007A2F8D"/>
    <w:rsid w:val="007A34A1"/>
    <w:rsid w:val="007A4488"/>
    <w:rsid w:val="007A5427"/>
    <w:rsid w:val="007A5D21"/>
    <w:rsid w:val="007A6481"/>
    <w:rsid w:val="007A6528"/>
    <w:rsid w:val="007A6A34"/>
    <w:rsid w:val="007B12FB"/>
    <w:rsid w:val="007B1942"/>
    <w:rsid w:val="007B1F40"/>
    <w:rsid w:val="007B3DD8"/>
    <w:rsid w:val="007B4EC3"/>
    <w:rsid w:val="007B4FF9"/>
    <w:rsid w:val="007B5F7F"/>
    <w:rsid w:val="007B633D"/>
    <w:rsid w:val="007B67EC"/>
    <w:rsid w:val="007B6AA3"/>
    <w:rsid w:val="007B7963"/>
    <w:rsid w:val="007B7DE9"/>
    <w:rsid w:val="007C35B0"/>
    <w:rsid w:val="007C4554"/>
    <w:rsid w:val="007C463E"/>
    <w:rsid w:val="007C4949"/>
    <w:rsid w:val="007C4A2C"/>
    <w:rsid w:val="007C5D39"/>
    <w:rsid w:val="007C64E3"/>
    <w:rsid w:val="007D03A7"/>
    <w:rsid w:val="007D0418"/>
    <w:rsid w:val="007D0656"/>
    <w:rsid w:val="007D0AEB"/>
    <w:rsid w:val="007D12D3"/>
    <w:rsid w:val="007D13C6"/>
    <w:rsid w:val="007D1624"/>
    <w:rsid w:val="007D3418"/>
    <w:rsid w:val="007D3C52"/>
    <w:rsid w:val="007D4372"/>
    <w:rsid w:val="007D43A8"/>
    <w:rsid w:val="007D4682"/>
    <w:rsid w:val="007D4F79"/>
    <w:rsid w:val="007D56EA"/>
    <w:rsid w:val="007D5D2C"/>
    <w:rsid w:val="007D5FC1"/>
    <w:rsid w:val="007D690D"/>
    <w:rsid w:val="007D698A"/>
    <w:rsid w:val="007D6AE9"/>
    <w:rsid w:val="007D773D"/>
    <w:rsid w:val="007D7A5D"/>
    <w:rsid w:val="007D7BC8"/>
    <w:rsid w:val="007E1096"/>
    <w:rsid w:val="007E1415"/>
    <w:rsid w:val="007E1ADE"/>
    <w:rsid w:val="007E1FF4"/>
    <w:rsid w:val="007E229E"/>
    <w:rsid w:val="007E2C70"/>
    <w:rsid w:val="007E2E43"/>
    <w:rsid w:val="007E2EE8"/>
    <w:rsid w:val="007E35F2"/>
    <w:rsid w:val="007E3E2F"/>
    <w:rsid w:val="007E4E49"/>
    <w:rsid w:val="007E598B"/>
    <w:rsid w:val="007E6905"/>
    <w:rsid w:val="007E6CAC"/>
    <w:rsid w:val="007E7F9F"/>
    <w:rsid w:val="007F032C"/>
    <w:rsid w:val="007F102A"/>
    <w:rsid w:val="007F1F1B"/>
    <w:rsid w:val="007F29D4"/>
    <w:rsid w:val="007F3E69"/>
    <w:rsid w:val="007F3E8C"/>
    <w:rsid w:val="007F4672"/>
    <w:rsid w:val="007F52EF"/>
    <w:rsid w:val="007F5A0F"/>
    <w:rsid w:val="007F630B"/>
    <w:rsid w:val="007F6874"/>
    <w:rsid w:val="007F79B6"/>
    <w:rsid w:val="0080090A"/>
    <w:rsid w:val="00801814"/>
    <w:rsid w:val="00801CE5"/>
    <w:rsid w:val="00802E76"/>
    <w:rsid w:val="00803D42"/>
    <w:rsid w:val="0080430D"/>
    <w:rsid w:val="008043D4"/>
    <w:rsid w:val="00804514"/>
    <w:rsid w:val="00804E8B"/>
    <w:rsid w:val="008069F1"/>
    <w:rsid w:val="00806D26"/>
    <w:rsid w:val="00806DAD"/>
    <w:rsid w:val="00806DD8"/>
    <w:rsid w:val="008107D4"/>
    <w:rsid w:val="00811354"/>
    <w:rsid w:val="008129F9"/>
    <w:rsid w:val="00812AB1"/>
    <w:rsid w:val="00813AE9"/>
    <w:rsid w:val="00814A0F"/>
    <w:rsid w:val="00814D7C"/>
    <w:rsid w:val="00816321"/>
    <w:rsid w:val="008165DA"/>
    <w:rsid w:val="008203EF"/>
    <w:rsid w:val="008212DE"/>
    <w:rsid w:val="00821D86"/>
    <w:rsid w:val="0082280A"/>
    <w:rsid w:val="0082342E"/>
    <w:rsid w:val="00823744"/>
    <w:rsid w:val="00824638"/>
    <w:rsid w:val="00826100"/>
    <w:rsid w:val="008262F5"/>
    <w:rsid w:val="008274EF"/>
    <w:rsid w:val="00830029"/>
    <w:rsid w:val="0083051E"/>
    <w:rsid w:val="008306CB"/>
    <w:rsid w:val="00832455"/>
    <w:rsid w:val="008326A7"/>
    <w:rsid w:val="0083507F"/>
    <w:rsid w:val="00835A3F"/>
    <w:rsid w:val="00835C07"/>
    <w:rsid w:val="00835C70"/>
    <w:rsid w:val="00836199"/>
    <w:rsid w:val="0083685E"/>
    <w:rsid w:val="00836BF9"/>
    <w:rsid w:val="008374EA"/>
    <w:rsid w:val="00837596"/>
    <w:rsid w:val="00840420"/>
    <w:rsid w:val="00840F7B"/>
    <w:rsid w:val="008410CB"/>
    <w:rsid w:val="008418AC"/>
    <w:rsid w:val="008419B2"/>
    <w:rsid w:val="008427FE"/>
    <w:rsid w:val="00842A33"/>
    <w:rsid w:val="00842F5D"/>
    <w:rsid w:val="0084319A"/>
    <w:rsid w:val="008435D7"/>
    <w:rsid w:val="00844AAC"/>
    <w:rsid w:val="00844B59"/>
    <w:rsid w:val="0084513F"/>
    <w:rsid w:val="00846B5F"/>
    <w:rsid w:val="008470AC"/>
    <w:rsid w:val="008478A8"/>
    <w:rsid w:val="00847F9E"/>
    <w:rsid w:val="008502AA"/>
    <w:rsid w:val="008520AC"/>
    <w:rsid w:val="00852A3C"/>
    <w:rsid w:val="00852FDD"/>
    <w:rsid w:val="00853217"/>
    <w:rsid w:val="008534A0"/>
    <w:rsid w:val="00853509"/>
    <w:rsid w:val="00854075"/>
    <w:rsid w:val="00854985"/>
    <w:rsid w:val="00854E50"/>
    <w:rsid w:val="00855638"/>
    <w:rsid w:val="0085564C"/>
    <w:rsid w:val="008567F1"/>
    <w:rsid w:val="008568FF"/>
    <w:rsid w:val="00856BFA"/>
    <w:rsid w:val="00857855"/>
    <w:rsid w:val="008578C1"/>
    <w:rsid w:val="00857BCB"/>
    <w:rsid w:val="00857D91"/>
    <w:rsid w:val="0086119E"/>
    <w:rsid w:val="00861493"/>
    <w:rsid w:val="00861812"/>
    <w:rsid w:val="00861856"/>
    <w:rsid w:val="00861AD6"/>
    <w:rsid w:val="00864BFC"/>
    <w:rsid w:val="00866CC3"/>
    <w:rsid w:val="00866DB6"/>
    <w:rsid w:val="00867FBB"/>
    <w:rsid w:val="00870896"/>
    <w:rsid w:val="00870D14"/>
    <w:rsid w:val="0087128A"/>
    <w:rsid w:val="00871766"/>
    <w:rsid w:val="00871F28"/>
    <w:rsid w:val="008721C8"/>
    <w:rsid w:val="008727F9"/>
    <w:rsid w:val="00872F19"/>
    <w:rsid w:val="00873AA6"/>
    <w:rsid w:val="00874AC8"/>
    <w:rsid w:val="00874D55"/>
    <w:rsid w:val="008752C9"/>
    <w:rsid w:val="00875490"/>
    <w:rsid w:val="008764B0"/>
    <w:rsid w:val="0087672C"/>
    <w:rsid w:val="00876881"/>
    <w:rsid w:val="00877460"/>
    <w:rsid w:val="00877924"/>
    <w:rsid w:val="00880E94"/>
    <w:rsid w:val="008832FB"/>
    <w:rsid w:val="00884FFE"/>
    <w:rsid w:val="00887059"/>
    <w:rsid w:val="00890D14"/>
    <w:rsid w:val="008915DE"/>
    <w:rsid w:val="00893293"/>
    <w:rsid w:val="0089341E"/>
    <w:rsid w:val="00893645"/>
    <w:rsid w:val="008938BA"/>
    <w:rsid w:val="00894602"/>
    <w:rsid w:val="00895075"/>
    <w:rsid w:val="00895777"/>
    <w:rsid w:val="00895CD1"/>
    <w:rsid w:val="008A049E"/>
    <w:rsid w:val="008A1378"/>
    <w:rsid w:val="008A21A7"/>
    <w:rsid w:val="008A4662"/>
    <w:rsid w:val="008A4CE9"/>
    <w:rsid w:val="008A4FF9"/>
    <w:rsid w:val="008A53B2"/>
    <w:rsid w:val="008A5B25"/>
    <w:rsid w:val="008A66E8"/>
    <w:rsid w:val="008A6861"/>
    <w:rsid w:val="008A761B"/>
    <w:rsid w:val="008A76F6"/>
    <w:rsid w:val="008A7A40"/>
    <w:rsid w:val="008B0831"/>
    <w:rsid w:val="008B0986"/>
    <w:rsid w:val="008B1A80"/>
    <w:rsid w:val="008B1E92"/>
    <w:rsid w:val="008B27EC"/>
    <w:rsid w:val="008B2B63"/>
    <w:rsid w:val="008B2BDE"/>
    <w:rsid w:val="008B3219"/>
    <w:rsid w:val="008B3A18"/>
    <w:rsid w:val="008B3B53"/>
    <w:rsid w:val="008B46B2"/>
    <w:rsid w:val="008B4C2B"/>
    <w:rsid w:val="008B5A05"/>
    <w:rsid w:val="008B5B98"/>
    <w:rsid w:val="008B6822"/>
    <w:rsid w:val="008B6A38"/>
    <w:rsid w:val="008B6C82"/>
    <w:rsid w:val="008B71C0"/>
    <w:rsid w:val="008B77F1"/>
    <w:rsid w:val="008B7A55"/>
    <w:rsid w:val="008B7C04"/>
    <w:rsid w:val="008C056D"/>
    <w:rsid w:val="008C15D1"/>
    <w:rsid w:val="008C1E67"/>
    <w:rsid w:val="008C2170"/>
    <w:rsid w:val="008C273F"/>
    <w:rsid w:val="008C406E"/>
    <w:rsid w:val="008C43B6"/>
    <w:rsid w:val="008C465B"/>
    <w:rsid w:val="008C5463"/>
    <w:rsid w:val="008C6C37"/>
    <w:rsid w:val="008C6DE3"/>
    <w:rsid w:val="008C6F06"/>
    <w:rsid w:val="008C724E"/>
    <w:rsid w:val="008C7CC0"/>
    <w:rsid w:val="008C7D10"/>
    <w:rsid w:val="008D0084"/>
    <w:rsid w:val="008D17D5"/>
    <w:rsid w:val="008D1904"/>
    <w:rsid w:val="008D1F11"/>
    <w:rsid w:val="008D246E"/>
    <w:rsid w:val="008D24E5"/>
    <w:rsid w:val="008D28A9"/>
    <w:rsid w:val="008D2E48"/>
    <w:rsid w:val="008D3305"/>
    <w:rsid w:val="008D3ACD"/>
    <w:rsid w:val="008D3B9C"/>
    <w:rsid w:val="008D40FE"/>
    <w:rsid w:val="008D5FAD"/>
    <w:rsid w:val="008D6612"/>
    <w:rsid w:val="008E1AB3"/>
    <w:rsid w:val="008E1AF8"/>
    <w:rsid w:val="008E1B0C"/>
    <w:rsid w:val="008E1BE9"/>
    <w:rsid w:val="008E2333"/>
    <w:rsid w:val="008E4BE7"/>
    <w:rsid w:val="008E4CBF"/>
    <w:rsid w:val="008E5D3E"/>
    <w:rsid w:val="008E605E"/>
    <w:rsid w:val="008E6543"/>
    <w:rsid w:val="008E6AF4"/>
    <w:rsid w:val="008E6FC9"/>
    <w:rsid w:val="008E7317"/>
    <w:rsid w:val="008E75D7"/>
    <w:rsid w:val="008E7C3D"/>
    <w:rsid w:val="008F04AC"/>
    <w:rsid w:val="008F24BE"/>
    <w:rsid w:val="008F3CB6"/>
    <w:rsid w:val="008F6440"/>
    <w:rsid w:val="008F72C0"/>
    <w:rsid w:val="008F72C2"/>
    <w:rsid w:val="0090019A"/>
    <w:rsid w:val="00901C8D"/>
    <w:rsid w:val="0090264D"/>
    <w:rsid w:val="00903186"/>
    <w:rsid w:val="00904685"/>
    <w:rsid w:val="00905414"/>
    <w:rsid w:val="0090578C"/>
    <w:rsid w:val="00906AD6"/>
    <w:rsid w:val="009074DB"/>
    <w:rsid w:val="00907744"/>
    <w:rsid w:val="00912200"/>
    <w:rsid w:val="009129F5"/>
    <w:rsid w:val="00913185"/>
    <w:rsid w:val="00914488"/>
    <w:rsid w:val="0091683C"/>
    <w:rsid w:val="00917617"/>
    <w:rsid w:val="009179CE"/>
    <w:rsid w:val="00920C59"/>
    <w:rsid w:val="00920E18"/>
    <w:rsid w:val="00920F03"/>
    <w:rsid w:val="0092159D"/>
    <w:rsid w:val="00921844"/>
    <w:rsid w:val="00921E65"/>
    <w:rsid w:val="009230AE"/>
    <w:rsid w:val="009236C0"/>
    <w:rsid w:val="00923BA8"/>
    <w:rsid w:val="0092400A"/>
    <w:rsid w:val="00925388"/>
    <w:rsid w:val="00925A25"/>
    <w:rsid w:val="009302D9"/>
    <w:rsid w:val="00930780"/>
    <w:rsid w:val="00930E1E"/>
    <w:rsid w:val="00932061"/>
    <w:rsid w:val="00932099"/>
    <w:rsid w:val="009323D9"/>
    <w:rsid w:val="00932D04"/>
    <w:rsid w:val="00933771"/>
    <w:rsid w:val="009341E8"/>
    <w:rsid w:val="00934589"/>
    <w:rsid w:val="0093544C"/>
    <w:rsid w:val="00937451"/>
    <w:rsid w:val="00937E88"/>
    <w:rsid w:val="009409CE"/>
    <w:rsid w:val="00941AA7"/>
    <w:rsid w:val="00941E54"/>
    <w:rsid w:val="009425BD"/>
    <w:rsid w:val="00943208"/>
    <w:rsid w:val="00943583"/>
    <w:rsid w:val="00943778"/>
    <w:rsid w:val="00944FC0"/>
    <w:rsid w:val="00944FED"/>
    <w:rsid w:val="009455C7"/>
    <w:rsid w:val="00945AC1"/>
    <w:rsid w:val="00945D7D"/>
    <w:rsid w:val="00951F8B"/>
    <w:rsid w:val="00952D9E"/>
    <w:rsid w:val="0095354C"/>
    <w:rsid w:val="00953632"/>
    <w:rsid w:val="00953CB4"/>
    <w:rsid w:val="00955745"/>
    <w:rsid w:val="0095607E"/>
    <w:rsid w:val="0095730C"/>
    <w:rsid w:val="0095781F"/>
    <w:rsid w:val="0096142D"/>
    <w:rsid w:val="00961C30"/>
    <w:rsid w:val="009628CA"/>
    <w:rsid w:val="009641F4"/>
    <w:rsid w:val="00964509"/>
    <w:rsid w:val="00964570"/>
    <w:rsid w:val="00966DEC"/>
    <w:rsid w:val="009705AC"/>
    <w:rsid w:val="009707B5"/>
    <w:rsid w:val="00970C89"/>
    <w:rsid w:val="00970E10"/>
    <w:rsid w:val="00971AB4"/>
    <w:rsid w:val="00972EFD"/>
    <w:rsid w:val="0097306A"/>
    <w:rsid w:val="0097463B"/>
    <w:rsid w:val="00974C81"/>
    <w:rsid w:val="00974CB8"/>
    <w:rsid w:val="00974D7D"/>
    <w:rsid w:val="00976047"/>
    <w:rsid w:val="009760C3"/>
    <w:rsid w:val="009765C6"/>
    <w:rsid w:val="00976BCB"/>
    <w:rsid w:val="009808C6"/>
    <w:rsid w:val="00980AFA"/>
    <w:rsid w:val="0098252D"/>
    <w:rsid w:val="00982677"/>
    <w:rsid w:val="009829C9"/>
    <w:rsid w:val="00982F20"/>
    <w:rsid w:val="0098327B"/>
    <w:rsid w:val="00983AA9"/>
    <w:rsid w:val="009850EE"/>
    <w:rsid w:val="00985287"/>
    <w:rsid w:val="009852F0"/>
    <w:rsid w:val="0098587C"/>
    <w:rsid w:val="009867DC"/>
    <w:rsid w:val="00986A31"/>
    <w:rsid w:val="00986E72"/>
    <w:rsid w:val="00987547"/>
    <w:rsid w:val="00987A66"/>
    <w:rsid w:val="0099030B"/>
    <w:rsid w:val="009904C8"/>
    <w:rsid w:val="0099061F"/>
    <w:rsid w:val="00990B65"/>
    <w:rsid w:val="00990E67"/>
    <w:rsid w:val="0099144A"/>
    <w:rsid w:val="00992D00"/>
    <w:rsid w:val="009950D5"/>
    <w:rsid w:val="009957C6"/>
    <w:rsid w:val="0099669F"/>
    <w:rsid w:val="00996701"/>
    <w:rsid w:val="0099689B"/>
    <w:rsid w:val="00996927"/>
    <w:rsid w:val="00997014"/>
    <w:rsid w:val="009976A5"/>
    <w:rsid w:val="009A1548"/>
    <w:rsid w:val="009A196F"/>
    <w:rsid w:val="009A19CD"/>
    <w:rsid w:val="009A2F19"/>
    <w:rsid w:val="009A3557"/>
    <w:rsid w:val="009A4A29"/>
    <w:rsid w:val="009A4F9B"/>
    <w:rsid w:val="009A5920"/>
    <w:rsid w:val="009A5E9C"/>
    <w:rsid w:val="009A5ED0"/>
    <w:rsid w:val="009A65DE"/>
    <w:rsid w:val="009A6D5A"/>
    <w:rsid w:val="009A71E0"/>
    <w:rsid w:val="009A71E8"/>
    <w:rsid w:val="009A7748"/>
    <w:rsid w:val="009A777F"/>
    <w:rsid w:val="009A7798"/>
    <w:rsid w:val="009B0F47"/>
    <w:rsid w:val="009B1EF5"/>
    <w:rsid w:val="009B2542"/>
    <w:rsid w:val="009B2586"/>
    <w:rsid w:val="009B27B5"/>
    <w:rsid w:val="009B3A9B"/>
    <w:rsid w:val="009B3BE3"/>
    <w:rsid w:val="009B3FA9"/>
    <w:rsid w:val="009B4C50"/>
    <w:rsid w:val="009B4DEA"/>
    <w:rsid w:val="009B5A42"/>
    <w:rsid w:val="009B5BF4"/>
    <w:rsid w:val="009B6347"/>
    <w:rsid w:val="009B690B"/>
    <w:rsid w:val="009B6ABB"/>
    <w:rsid w:val="009B7818"/>
    <w:rsid w:val="009B7D00"/>
    <w:rsid w:val="009C0116"/>
    <w:rsid w:val="009C0215"/>
    <w:rsid w:val="009C1E06"/>
    <w:rsid w:val="009C219F"/>
    <w:rsid w:val="009C4825"/>
    <w:rsid w:val="009C4F2A"/>
    <w:rsid w:val="009C6EA0"/>
    <w:rsid w:val="009C7764"/>
    <w:rsid w:val="009D080D"/>
    <w:rsid w:val="009D0F27"/>
    <w:rsid w:val="009D3AE0"/>
    <w:rsid w:val="009D415B"/>
    <w:rsid w:val="009D4532"/>
    <w:rsid w:val="009D4D9B"/>
    <w:rsid w:val="009D50B8"/>
    <w:rsid w:val="009D5DF8"/>
    <w:rsid w:val="009D61C8"/>
    <w:rsid w:val="009D6E48"/>
    <w:rsid w:val="009D78C9"/>
    <w:rsid w:val="009D7CF3"/>
    <w:rsid w:val="009D7F63"/>
    <w:rsid w:val="009E0691"/>
    <w:rsid w:val="009E2AFE"/>
    <w:rsid w:val="009E2DC9"/>
    <w:rsid w:val="009E4594"/>
    <w:rsid w:val="009E48AF"/>
    <w:rsid w:val="009E55FE"/>
    <w:rsid w:val="009E618B"/>
    <w:rsid w:val="009E672E"/>
    <w:rsid w:val="009E6D56"/>
    <w:rsid w:val="009E6EE1"/>
    <w:rsid w:val="009E7DE8"/>
    <w:rsid w:val="009E7FB1"/>
    <w:rsid w:val="009F0CF8"/>
    <w:rsid w:val="009F10D8"/>
    <w:rsid w:val="009F2722"/>
    <w:rsid w:val="009F3DD0"/>
    <w:rsid w:val="009F4DDA"/>
    <w:rsid w:val="009F515D"/>
    <w:rsid w:val="009F5C6A"/>
    <w:rsid w:val="009F5E9B"/>
    <w:rsid w:val="009F6C65"/>
    <w:rsid w:val="009F7F2C"/>
    <w:rsid w:val="00A00160"/>
    <w:rsid w:val="00A0134E"/>
    <w:rsid w:val="00A0169C"/>
    <w:rsid w:val="00A02C36"/>
    <w:rsid w:val="00A044F9"/>
    <w:rsid w:val="00A0462D"/>
    <w:rsid w:val="00A050A6"/>
    <w:rsid w:val="00A071A3"/>
    <w:rsid w:val="00A1059C"/>
    <w:rsid w:val="00A107DA"/>
    <w:rsid w:val="00A10E0F"/>
    <w:rsid w:val="00A13ADD"/>
    <w:rsid w:val="00A13B24"/>
    <w:rsid w:val="00A15713"/>
    <w:rsid w:val="00A15879"/>
    <w:rsid w:val="00A16B38"/>
    <w:rsid w:val="00A17DEB"/>
    <w:rsid w:val="00A213E5"/>
    <w:rsid w:val="00A24614"/>
    <w:rsid w:val="00A2526C"/>
    <w:rsid w:val="00A252DE"/>
    <w:rsid w:val="00A25555"/>
    <w:rsid w:val="00A266A3"/>
    <w:rsid w:val="00A26CAF"/>
    <w:rsid w:val="00A26EE0"/>
    <w:rsid w:val="00A2733A"/>
    <w:rsid w:val="00A2788F"/>
    <w:rsid w:val="00A27A34"/>
    <w:rsid w:val="00A27AB2"/>
    <w:rsid w:val="00A3045D"/>
    <w:rsid w:val="00A31BAD"/>
    <w:rsid w:val="00A3252F"/>
    <w:rsid w:val="00A327FA"/>
    <w:rsid w:val="00A32966"/>
    <w:rsid w:val="00A32AE9"/>
    <w:rsid w:val="00A33440"/>
    <w:rsid w:val="00A335E9"/>
    <w:rsid w:val="00A342C0"/>
    <w:rsid w:val="00A342F8"/>
    <w:rsid w:val="00A345AE"/>
    <w:rsid w:val="00A34723"/>
    <w:rsid w:val="00A34841"/>
    <w:rsid w:val="00A34D71"/>
    <w:rsid w:val="00A35B5A"/>
    <w:rsid w:val="00A35CA1"/>
    <w:rsid w:val="00A35F51"/>
    <w:rsid w:val="00A36098"/>
    <w:rsid w:val="00A36B0F"/>
    <w:rsid w:val="00A36C63"/>
    <w:rsid w:val="00A3796C"/>
    <w:rsid w:val="00A379D0"/>
    <w:rsid w:val="00A37B01"/>
    <w:rsid w:val="00A40066"/>
    <w:rsid w:val="00A40EA7"/>
    <w:rsid w:val="00A41085"/>
    <w:rsid w:val="00A417FA"/>
    <w:rsid w:val="00A41BE0"/>
    <w:rsid w:val="00A43754"/>
    <w:rsid w:val="00A4390F"/>
    <w:rsid w:val="00A43C70"/>
    <w:rsid w:val="00A457AA"/>
    <w:rsid w:val="00A466AE"/>
    <w:rsid w:val="00A4771C"/>
    <w:rsid w:val="00A501A7"/>
    <w:rsid w:val="00A50203"/>
    <w:rsid w:val="00A50F54"/>
    <w:rsid w:val="00A5177B"/>
    <w:rsid w:val="00A5178C"/>
    <w:rsid w:val="00A51D30"/>
    <w:rsid w:val="00A51E1D"/>
    <w:rsid w:val="00A52544"/>
    <w:rsid w:val="00A5271E"/>
    <w:rsid w:val="00A535FF"/>
    <w:rsid w:val="00A53860"/>
    <w:rsid w:val="00A5394D"/>
    <w:rsid w:val="00A53B2F"/>
    <w:rsid w:val="00A56419"/>
    <w:rsid w:val="00A566CA"/>
    <w:rsid w:val="00A56853"/>
    <w:rsid w:val="00A57BA5"/>
    <w:rsid w:val="00A57E2F"/>
    <w:rsid w:val="00A57F01"/>
    <w:rsid w:val="00A60426"/>
    <w:rsid w:val="00A6045E"/>
    <w:rsid w:val="00A60EE1"/>
    <w:rsid w:val="00A62736"/>
    <w:rsid w:val="00A62B15"/>
    <w:rsid w:val="00A62CF3"/>
    <w:rsid w:val="00A64147"/>
    <w:rsid w:val="00A646F5"/>
    <w:rsid w:val="00A64A29"/>
    <w:rsid w:val="00A651C5"/>
    <w:rsid w:val="00A65A93"/>
    <w:rsid w:val="00A65D5D"/>
    <w:rsid w:val="00A6611E"/>
    <w:rsid w:val="00A66B3C"/>
    <w:rsid w:val="00A66BD9"/>
    <w:rsid w:val="00A7022C"/>
    <w:rsid w:val="00A7086D"/>
    <w:rsid w:val="00A7128E"/>
    <w:rsid w:val="00A72285"/>
    <w:rsid w:val="00A72694"/>
    <w:rsid w:val="00A72EED"/>
    <w:rsid w:val="00A736B7"/>
    <w:rsid w:val="00A748C7"/>
    <w:rsid w:val="00A76484"/>
    <w:rsid w:val="00A76BCC"/>
    <w:rsid w:val="00A7716B"/>
    <w:rsid w:val="00A772D2"/>
    <w:rsid w:val="00A77697"/>
    <w:rsid w:val="00A80272"/>
    <w:rsid w:val="00A80C25"/>
    <w:rsid w:val="00A81547"/>
    <w:rsid w:val="00A81A09"/>
    <w:rsid w:val="00A81CE9"/>
    <w:rsid w:val="00A81D09"/>
    <w:rsid w:val="00A8289E"/>
    <w:rsid w:val="00A831FC"/>
    <w:rsid w:val="00A8323D"/>
    <w:rsid w:val="00A838CA"/>
    <w:rsid w:val="00A8480A"/>
    <w:rsid w:val="00A85447"/>
    <w:rsid w:val="00A85D1D"/>
    <w:rsid w:val="00A86FFC"/>
    <w:rsid w:val="00A87AD5"/>
    <w:rsid w:val="00A900C3"/>
    <w:rsid w:val="00A932E4"/>
    <w:rsid w:val="00A93551"/>
    <w:rsid w:val="00A93DCA"/>
    <w:rsid w:val="00A941DD"/>
    <w:rsid w:val="00A94234"/>
    <w:rsid w:val="00A94477"/>
    <w:rsid w:val="00A958B9"/>
    <w:rsid w:val="00A95CA5"/>
    <w:rsid w:val="00A97C56"/>
    <w:rsid w:val="00AA0182"/>
    <w:rsid w:val="00AA08E6"/>
    <w:rsid w:val="00AA129B"/>
    <w:rsid w:val="00AA1496"/>
    <w:rsid w:val="00AA1E83"/>
    <w:rsid w:val="00AA1FEA"/>
    <w:rsid w:val="00AA2860"/>
    <w:rsid w:val="00AA2D5E"/>
    <w:rsid w:val="00AA3266"/>
    <w:rsid w:val="00AA35E9"/>
    <w:rsid w:val="00AA3FEB"/>
    <w:rsid w:val="00AA4E67"/>
    <w:rsid w:val="00AA4EB7"/>
    <w:rsid w:val="00AA620F"/>
    <w:rsid w:val="00AA62AC"/>
    <w:rsid w:val="00AA64E7"/>
    <w:rsid w:val="00AA6C8C"/>
    <w:rsid w:val="00AA7A31"/>
    <w:rsid w:val="00AB0F7E"/>
    <w:rsid w:val="00AB5DB9"/>
    <w:rsid w:val="00AB682F"/>
    <w:rsid w:val="00AB76DE"/>
    <w:rsid w:val="00AB7CF3"/>
    <w:rsid w:val="00AB7E22"/>
    <w:rsid w:val="00AC1466"/>
    <w:rsid w:val="00AC1A5A"/>
    <w:rsid w:val="00AC1FE5"/>
    <w:rsid w:val="00AC20E7"/>
    <w:rsid w:val="00AC2B3A"/>
    <w:rsid w:val="00AC392D"/>
    <w:rsid w:val="00AC3D43"/>
    <w:rsid w:val="00AC4C83"/>
    <w:rsid w:val="00AC6171"/>
    <w:rsid w:val="00AC7EF7"/>
    <w:rsid w:val="00AD055A"/>
    <w:rsid w:val="00AD0880"/>
    <w:rsid w:val="00AD0CE4"/>
    <w:rsid w:val="00AD1C64"/>
    <w:rsid w:val="00AD1E36"/>
    <w:rsid w:val="00AD3A50"/>
    <w:rsid w:val="00AD3E1A"/>
    <w:rsid w:val="00AD4A74"/>
    <w:rsid w:val="00AD526A"/>
    <w:rsid w:val="00AD563F"/>
    <w:rsid w:val="00AD5B29"/>
    <w:rsid w:val="00AD60C5"/>
    <w:rsid w:val="00AD6514"/>
    <w:rsid w:val="00AD6649"/>
    <w:rsid w:val="00AD6B5A"/>
    <w:rsid w:val="00AD6F66"/>
    <w:rsid w:val="00AD71F8"/>
    <w:rsid w:val="00AE0054"/>
    <w:rsid w:val="00AE0A84"/>
    <w:rsid w:val="00AE0C93"/>
    <w:rsid w:val="00AE0F8A"/>
    <w:rsid w:val="00AE343D"/>
    <w:rsid w:val="00AE3923"/>
    <w:rsid w:val="00AE3A1C"/>
    <w:rsid w:val="00AE3C8F"/>
    <w:rsid w:val="00AE3CAB"/>
    <w:rsid w:val="00AE47F1"/>
    <w:rsid w:val="00AE5803"/>
    <w:rsid w:val="00AE66E8"/>
    <w:rsid w:val="00AF0C2E"/>
    <w:rsid w:val="00AF1352"/>
    <w:rsid w:val="00AF21E0"/>
    <w:rsid w:val="00AF31A0"/>
    <w:rsid w:val="00AF3AA7"/>
    <w:rsid w:val="00AF4072"/>
    <w:rsid w:val="00AF4D46"/>
    <w:rsid w:val="00AF59F4"/>
    <w:rsid w:val="00AF65BC"/>
    <w:rsid w:val="00AF6974"/>
    <w:rsid w:val="00AF6D17"/>
    <w:rsid w:val="00AF6E5A"/>
    <w:rsid w:val="00AF72CC"/>
    <w:rsid w:val="00B00AAB"/>
    <w:rsid w:val="00B01E4C"/>
    <w:rsid w:val="00B01F05"/>
    <w:rsid w:val="00B0360B"/>
    <w:rsid w:val="00B03B8F"/>
    <w:rsid w:val="00B03FF0"/>
    <w:rsid w:val="00B04C6F"/>
    <w:rsid w:val="00B057FC"/>
    <w:rsid w:val="00B069F4"/>
    <w:rsid w:val="00B0727F"/>
    <w:rsid w:val="00B10252"/>
    <w:rsid w:val="00B11586"/>
    <w:rsid w:val="00B14889"/>
    <w:rsid w:val="00B15095"/>
    <w:rsid w:val="00B151A7"/>
    <w:rsid w:val="00B15274"/>
    <w:rsid w:val="00B152E5"/>
    <w:rsid w:val="00B15481"/>
    <w:rsid w:val="00B15E82"/>
    <w:rsid w:val="00B162FF"/>
    <w:rsid w:val="00B16C39"/>
    <w:rsid w:val="00B16C92"/>
    <w:rsid w:val="00B16DFD"/>
    <w:rsid w:val="00B174A9"/>
    <w:rsid w:val="00B17CEC"/>
    <w:rsid w:val="00B2096C"/>
    <w:rsid w:val="00B2132E"/>
    <w:rsid w:val="00B2159A"/>
    <w:rsid w:val="00B22758"/>
    <w:rsid w:val="00B2280B"/>
    <w:rsid w:val="00B22E01"/>
    <w:rsid w:val="00B22E77"/>
    <w:rsid w:val="00B22FCC"/>
    <w:rsid w:val="00B2484F"/>
    <w:rsid w:val="00B25EC3"/>
    <w:rsid w:val="00B26D42"/>
    <w:rsid w:val="00B30BF2"/>
    <w:rsid w:val="00B30F11"/>
    <w:rsid w:val="00B343D0"/>
    <w:rsid w:val="00B357D0"/>
    <w:rsid w:val="00B35FB0"/>
    <w:rsid w:val="00B36930"/>
    <w:rsid w:val="00B40240"/>
    <w:rsid w:val="00B4063A"/>
    <w:rsid w:val="00B40BC2"/>
    <w:rsid w:val="00B40C55"/>
    <w:rsid w:val="00B41EB5"/>
    <w:rsid w:val="00B42DF8"/>
    <w:rsid w:val="00B42F2D"/>
    <w:rsid w:val="00B43364"/>
    <w:rsid w:val="00B44BB2"/>
    <w:rsid w:val="00B450D2"/>
    <w:rsid w:val="00B463DC"/>
    <w:rsid w:val="00B470F7"/>
    <w:rsid w:val="00B471E5"/>
    <w:rsid w:val="00B476AE"/>
    <w:rsid w:val="00B50670"/>
    <w:rsid w:val="00B53B63"/>
    <w:rsid w:val="00B53CD8"/>
    <w:rsid w:val="00B5623F"/>
    <w:rsid w:val="00B56334"/>
    <w:rsid w:val="00B57140"/>
    <w:rsid w:val="00B57BF0"/>
    <w:rsid w:val="00B610BA"/>
    <w:rsid w:val="00B623F4"/>
    <w:rsid w:val="00B62ED8"/>
    <w:rsid w:val="00B6304D"/>
    <w:rsid w:val="00B630C0"/>
    <w:rsid w:val="00B63BD3"/>
    <w:rsid w:val="00B64509"/>
    <w:rsid w:val="00B645EB"/>
    <w:rsid w:val="00B648B3"/>
    <w:rsid w:val="00B64D49"/>
    <w:rsid w:val="00B65744"/>
    <w:rsid w:val="00B66323"/>
    <w:rsid w:val="00B7011C"/>
    <w:rsid w:val="00B706C5"/>
    <w:rsid w:val="00B71C45"/>
    <w:rsid w:val="00B7277D"/>
    <w:rsid w:val="00B727F4"/>
    <w:rsid w:val="00B72A1E"/>
    <w:rsid w:val="00B73138"/>
    <w:rsid w:val="00B73676"/>
    <w:rsid w:val="00B738A8"/>
    <w:rsid w:val="00B73BFB"/>
    <w:rsid w:val="00B742A6"/>
    <w:rsid w:val="00B74548"/>
    <w:rsid w:val="00B74991"/>
    <w:rsid w:val="00B74FF8"/>
    <w:rsid w:val="00B764A1"/>
    <w:rsid w:val="00B776FD"/>
    <w:rsid w:val="00B80ACA"/>
    <w:rsid w:val="00B81017"/>
    <w:rsid w:val="00B8266B"/>
    <w:rsid w:val="00B827B5"/>
    <w:rsid w:val="00B82E37"/>
    <w:rsid w:val="00B8358E"/>
    <w:rsid w:val="00B84054"/>
    <w:rsid w:val="00B84184"/>
    <w:rsid w:val="00B844B4"/>
    <w:rsid w:val="00B844C1"/>
    <w:rsid w:val="00B84521"/>
    <w:rsid w:val="00B86581"/>
    <w:rsid w:val="00B87712"/>
    <w:rsid w:val="00B91850"/>
    <w:rsid w:val="00B9309F"/>
    <w:rsid w:val="00B9377F"/>
    <w:rsid w:val="00B9400B"/>
    <w:rsid w:val="00B94C13"/>
    <w:rsid w:val="00B9530A"/>
    <w:rsid w:val="00B969D9"/>
    <w:rsid w:val="00B97021"/>
    <w:rsid w:val="00B97F6D"/>
    <w:rsid w:val="00BA0CFA"/>
    <w:rsid w:val="00BA0CFD"/>
    <w:rsid w:val="00BA29F4"/>
    <w:rsid w:val="00BA2D55"/>
    <w:rsid w:val="00BA3485"/>
    <w:rsid w:val="00BA364A"/>
    <w:rsid w:val="00BA5E18"/>
    <w:rsid w:val="00BA7571"/>
    <w:rsid w:val="00BA7E11"/>
    <w:rsid w:val="00BA7FCC"/>
    <w:rsid w:val="00BB07B8"/>
    <w:rsid w:val="00BB09A1"/>
    <w:rsid w:val="00BB0C72"/>
    <w:rsid w:val="00BB3465"/>
    <w:rsid w:val="00BB3D70"/>
    <w:rsid w:val="00BB4EE8"/>
    <w:rsid w:val="00BB4FA8"/>
    <w:rsid w:val="00BB6005"/>
    <w:rsid w:val="00BC0136"/>
    <w:rsid w:val="00BC01BD"/>
    <w:rsid w:val="00BC09F0"/>
    <w:rsid w:val="00BC0E65"/>
    <w:rsid w:val="00BC11F0"/>
    <w:rsid w:val="00BC14D7"/>
    <w:rsid w:val="00BC21A7"/>
    <w:rsid w:val="00BC2663"/>
    <w:rsid w:val="00BC2B42"/>
    <w:rsid w:val="00BC315F"/>
    <w:rsid w:val="00BC4FF2"/>
    <w:rsid w:val="00BC542F"/>
    <w:rsid w:val="00BC6268"/>
    <w:rsid w:val="00BC63B9"/>
    <w:rsid w:val="00BC7B6C"/>
    <w:rsid w:val="00BC7D69"/>
    <w:rsid w:val="00BD01AB"/>
    <w:rsid w:val="00BD031C"/>
    <w:rsid w:val="00BD2C9B"/>
    <w:rsid w:val="00BD4230"/>
    <w:rsid w:val="00BD4A09"/>
    <w:rsid w:val="00BD4D84"/>
    <w:rsid w:val="00BD5C98"/>
    <w:rsid w:val="00BD6C4A"/>
    <w:rsid w:val="00BD6D3E"/>
    <w:rsid w:val="00BD6DC9"/>
    <w:rsid w:val="00BD7382"/>
    <w:rsid w:val="00BD73D3"/>
    <w:rsid w:val="00BD7566"/>
    <w:rsid w:val="00BD77C1"/>
    <w:rsid w:val="00BD7A9A"/>
    <w:rsid w:val="00BD7B55"/>
    <w:rsid w:val="00BD7BCA"/>
    <w:rsid w:val="00BD7EAF"/>
    <w:rsid w:val="00BE08A8"/>
    <w:rsid w:val="00BE1064"/>
    <w:rsid w:val="00BE1A7D"/>
    <w:rsid w:val="00BE1E1E"/>
    <w:rsid w:val="00BE1EF0"/>
    <w:rsid w:val="00BE2425"/>
    <w:rsid w:val="00BE2BC7"/>
    <w:rsid w:val="00BE2FE0"/>
    <w:rsid w:val="00BE311A"/>
    <w:rsid w:val="00BE3448"/>
    <w:rsid w:val="00BE3B47"/>
    <w:rsid w:val="00BE42C5"/>
    <w:rsid w:val="00BE47B0"/>
    <w:rsid w:val="00BE5082"/>
    <w:rsid w:val="00BE607D"/>
    <w:rsid w:val="00BE6307"/>
    <w:rsid w:val="00BE6632"/>
    <w:rsid w:val="00BE79F3"/>
    <w:rsid w:val="00BE7B85"/>
    <w:rsid w:val="00BF0E90"/>
    <w:rsid w:val="00BF0FEF"/>
    <w:rsid w:val="00BF1F6A"/>
    <w:rsid w:val="00BF2E6D"/>
    <w:rsid w:val="00BF36DA"/>
    <w:rsid w:val="00BF3A80"/>
    <w:rsid w:val="00BF3F32"/>
    <w:rsid w:val="00BF467D"/>
    <w:rsid w:val="00BF4926"/>
    <w:rsid w:val="00BF4BF6"/>
    <w:rsid w:val="00BF4C5F"/>
    <w:rsid w:val="00BF55AE"/>
    <w:rsid w:val="00BF5BE2"/>
    <w:rsid w:val="00BF6B05"/>
    <w:rsid w:val="00C0032F"/>
    <w:rsid w:val="00C0043C"/>
    <w:rsid w:val="00C011F2"/>
    <w:rsid w:val="00C020DF"/>
    <w:rsid w:val="00C02634"/>
    <w:rsid w:val="00C041FE"/>
    <w:rsid w:val="00C04776"/>
    <w:rsid w:val="00C04AC2"/>
    <w:rsid w:val="00C04EE2"/>
    <w:rsid w:val="00C05336"/>
    <w:rsid w:val="00C0573C"/>
    <w:rsid w:val="00C0604E"/>
    <w:rsid w:val="00C075E5"/>
    <w:rsid w:val="00C0779B"/>
    <w:rsid w:val="00C104F4"/>
    <w:rsid w:val="00C105DE"/>
    <w:rsid w:val="00C10F78"/>
    <w:rsid w:val="00C1129F"/>
    <w:rsid w:val="00C11E2E"/>
    <w:rsid w:val="00C12368"/>
    <w:rsid w:val="00C13481"/>
    <w:rsid w:val="00C136EC"/>
    <w:rsid w:val="00C13713"/>
    <w:rsid w:val="00C137CF"/>
    <w:rsid w:val="00C14A4C"/>
    <w:rsid w:val="00C1503D"/>
    <w:rsid w:val="00C15EA9"/>
    <w:rsid w:val="00C16950"/>
    <w:rsid w:val="00C16A21"/>
    <w:rsid w:val="00C20073"/>
    <w:rsid w:val="00C220D4"/>
    <w:rsid w:val="00C234AF"/>
    <w:rsid w:val="00C23BC1"/>
    <w:rsid w:val="00C245D4"/>
    <w:rsid w:val="00C24ADB"/>
    <w:rsid w:val="00C25FCC"/>
    <w:rsid w:val="00C263AB"/>
    <w:rsid w:val="00C26CD8"/>
    <w:rsid w:val="00C271D5"/>
    <w:rsid w:val="00C274E8"/>
    <w:rsid w:val="00C27931"/>
    <w:rsid w:val="00C3018D"/>
    <w:rsid w:val="00C30F70"/>
    <w:rsid w:val="00C32364"/>
    <w:rsid w:val="00C33E22"/>
    <w:rsid w:val="00C33E83"/>
    <w:rsid w:val="00C34F6E"/>
    <w:rsid w:val="00C35275"/>
    <w:rsid w:val="00C35FBF"/>
    <w:rsid w:val="00C37438"/>
    <w:rsid w:val="00C375C2"/>
    <w:rsid w:val="00C40741"/>
    <w:rsid w:val="00C4099E"/>
    <w:rsid w:val="00C41A02"/>
    <w:rsid w:val="00C41B30"/>
    <w:rsid w:val="00C42419"/>
    <w:rsid w:val="00C428B0"/>
    <w:rsid w:val="00C42E17"/>
    <w:rsid w:val="00C4307B"/>
    <w:rsid w:val="00C44C83"/>
    <w:rsid w:val="00C50BAE"/>
    <w:rsid w:val="00C513C8"/>
    <w:rsid w:val="00C517A8"/>
    <w:rsid w:val="00C52A35"/>
    <w:rsid w:val="00C532CE"/>
    <w:rsid w:val="00C534B0"/>
    <w:rsid w:val="00C53BF2"/>
    <w:rsid w:val="00C544D4"/>
    <w:rsid w:val="00C55E92"/>
    <w:rsid w:val="00C561FB"/>
    <w:rsid w:val="00C568DF"/>
    <w:rsid w:val="00C56CB8"/>
    <w:rsid w:val="00C57871"/>
    <w:rsid w:val="00C6243A"/>
    <w:rsid w:val="00C62CB6"/>
    <w:rsid w:val="00C62F2F"/>
    <w:rsid w:val="00C630BD"/>
    <w:rsid w:val="00C63363"/>
    <w:rsid w:val="00C6477A"/>
    <w:rsid w:val="00C64CB7"/>
    <w:rsid w:val="00C65AA0"/>
    <w:rsid w:val="00C65C07"/>
    <w:rsid w:val="00C661B5"/>
    <w:rsid w:val="00C661E4"/>
    <w:rsid w:val="00C66790"/>
    <w:rsid w:val="00C66A47"/>
    <w:rsid w:val="00C67050"/>
    <w:rsid w:val="00C67400"/>
    <w:rsid w:val="00C678AA"/>
    <w:rsid w:val="00C725F9"/>
    <w:rsid w:val="00C726F0"/>
    <w:rsid w:val="00C72B79"/>
    <w:rsid w:val="00C732F9"/>
    <w:rsid w:val="00C73313"/>
    <w:rsid w:val="00C739FA"/>
    <w:rsid w:val="00C73BF3"/>
    <w:rsid w:val="00C75C6D"/>
    <w:rsid w:val="00C76AEF"/>
    <w:rsid w:val="00C8035D"/>
    <w:rsid w:val="00C8173C"/>
    <w:rsid w:val="00C82F38"/>
    <w:rsid w:val="00C82F4B"/>
    <w:rsid w:val="00C83444"/>
    <w:rsid w:val="00C83946"/>
    <w:rsid w:val="00C8450B"/>
    <w:rsid w:val="00C857FE"/>
    <w:rsid w:val="00C859EE"/>
    <w:rsid w:val="00C85D3C"/>
    <w:rsid w:val="00C87336"/>
    <w:rsid w:val="00C87B80"/>
    <w:rsid w:val="00C9028B"/>
    <w:rsid w:val="00C909A7"/>
    <w:rsid w:val="00C90BF4"/>
    <w:rsid w:val="00C90EFA"/>
    <w:rsid w:val="00C913A3"/>
    <w:rsid w:val="00C9189D"/>
    <w:rsid w:val="00C92517"/>
    <w:rsid w:val="00C9268A"/>
    <w:rsid w:val="00C92CF3"/>
    <w:rsid w:val="00C92D68"/>
    <w:rsid w:val="00C94795"/>
    <w:rsid w:val="00C94CC3"/>
    <w:rsid w:val="00C955D9"/>
    <w:rsid w:val="00C96F58"/>
    <w:rsid w:val="00C9785A"/>
    <w:rsid w:val="00C97E21"/>
    <w:rsid w:val="00CA00CE"/>
    <w:rsid w:val="00CA02B6"/>
    <w:rsid w:val="00CA0655"/>
    <w:rsid w:val="00CA110A"/>
    <w:rsid w:val="00CA278C"/>
    <w:rsid w:val="00CA3490"/>
    <w:rsid w:val="00CA3517"/>
    <w:rsid w:val="00CA3E81"/>
    <w:rsid w:val="00CA424E"/>
    <w:rsid w:val="00CA4A7D"/>
    <w:rsid w:val="00CA4D62"/>
    <w:rsid w:val="00CA4F40"/>
    <w:rsid w:val="00CA563D"/>
    <w:rsid w:val="00CA5744"/>
    <w:rsid w:val="00CB03E7"/>
    <w:rsid w:val="00CB0782"/>
    <w:rsid w:val="00CB0C42"/>
    <w:rsid w:val="00CB0EC5"/>
    <w:rsid w:val="00CB1FE2"/>
    <w:rsid w:val="00CB2B6F"/>
    <w:rsid w:val="00CB405C"/>
    <w:rsid w:val="00CB40CA"/>
    <w:rsid w:val="00CB4993"/>
    <w:rsid w:val="00CB59CE"/>
    <w:rsid w:val="00CB5EB4"/>
    <w:rsid w:val="00CB64FF"/>
    <w:rsid w:val="00CB7128"/>
    <w:rsid w:val="00CB713C"/>
    <w:rsid w:val="00CB798A"/>
    <w:rsid w:val="00CB7E40"/>
    <w:rsid w:val="00CC0547"/>
    <w:rsid w:val="00CC069C"/>
    <w:rsid w:val="00CC0F6E"/>
    <w:rsid w:val="00CC19EA"/>
    <w:rsid w:val="00CC2F05"/>
    <w:rsid w:val="00CC4293"/>
    <w:rsid w:val="00CC4E28"/>
    <w:rsid w:val="00CC4E57"/>
    <w:rsid w:val="00CC4FF1"/>
    <w:rsid w:val="00CD0CDF"/>
    <w:rsid w:val="00CD1441"/>
    <w:rsid w:val="00CD1637"/>
    <w:rsid w:val="00CD2151"/>
    <w:rsid w:val="00CD281B"/>
    <w:rsid w:val="00CD3530"/>
    <w:rsid w:val="00CD40A3"/>
    <w:rsid w:val="00CD44DF"/>
    <w:rsid w:val="00CD4C8C"/>
    <w:rsid w:val="00CD7FC1"/>
    <w:rsid w:val="00CE0512"/>
    <w:rsid w:val="00CE2B61"/>
    <w:rsid w:val="00CE54EF"/>
    <w:rsid w:val="00CE6699"/>
    <w:rsid w:val="00CF0C25"/>
    <w:rsid w:val="00CF12A2"/>
    <w:rsid w:val="00CF3291"/>
    <w:rsid w:val="00CF3BBB"/>
    <w:rsid w:val="00CF5DE3"/>
    <w:rsid w:val="00CF754D"/>
    <w:rsid w:val="00CF7DC8"/>
    <w:rsid w:val="00D005D0"/>
    <w:rsid w:val="00D0082A"/>
    <w:rsid w:val="00D00BBC"/>
    <w:rsid w:val="00D011B7"/>
    <w:rsid w:val="00D01A61"/>
    <w:rsid w:val="00D01DB2"/>
    <w:rsid w:val="00D01E72"/>
    <w:rsid w:val="00D02891"/>
    <w:rsid w:val="00D02F45"/>
    <w:rsid w:val="00D03031"/>
    <w:rsid w:val="00D04419"/>
    <w:rsid w:val="00D04609"/>
    <w:rsid w:val="00D04C39"/>
    <w:rsid w:val="00D05587"/>
    <w:rsid w:val="00D0563C"/>
    <w:rsid w:val="00D06F6F"/>
    <w:rsid w:val="00D07816"/>
    <w:rsid w:val="00D114CE"/>
    <w:rsid w:val="00D11B0B"/>
    <w:rsid w:val="00D11D56"/>
    <w:rsid w:val="00D11ED2"/>
    <w:rsid w:val="00D12550"/>
    <w:rsid w:val="00D12BB9"/>
    <w:rsid w:val="00D13D4C"/>
    <w:rsid w:val="00D143E7"/>
    <w:rsid w:val="00D15503"/>
    <w:rsid w:val="00D17FA7"/>
    <w:rsid w:val="00D20C3B"/>
    <w:rsid w:val="00D20F67"/>
    <w:rsid w:val="00D2251A"/>
    <w:rsid w:val="00D22CB7"/>
    <w:rsid w:val="00D241DA"/>
    <w:rsid w:val="00D246B9"/>
    <w:rsid w:val="00D25115"/>
    <w:rsid w:val="00D270C1"/>
    <w:rsid w:val="00D27DB3"/>
    <w:rsid w:val="00D3042A"/>
    <w:rsid w:val="00D305C8"/>
    <w:rsid w:val="00D3092F"/>
    <w:rsid w:val="00D31949"/>
    <w:rsid w:val="00D31CBC"/>
    <w:rsid w:val="00D31D4C"/>
    <w:rsid w:val="00D322E3"/>
    <w:rsid w:val="00D32D6A"/>
    <w:rsid w:val="00D32F5E"/>
    <w:rsid w:val="00D3331E"/>
    <w:rsid w:val="00D3357F"/>
    <w:rsid w:val="00D3574C"/>
    <w:rsid w:val="00D35790"/>
    <w:rsid w:val="00D35FBA"/>
    <w:rsid w:val="00D36757"/>
    <w:rsid w:val="00D36A69"/>
    <w:rsid w:val="00D36DED"/>
    <w:rsid w:val="00D3729C"/>
    <w:rsid w:val="00D37E02"/>
    <w:rsid w:val="00D40F89"/>
    <w:rsid w:val="00D410BE"/>
    <w:rsid w:val="00D413F7"/>
    <w:rsid w:val="00D41612"/>
    <w:rsid w:val="00D41E94"/>
    <w:rsid w:val="00D4234F"/>
    <w:rsid w:val="00D43B0A"/>
    <w:rsid w:val="00D44324"/>
    <w:rsid w:val="00D44541"/>
    <w:rsid w:val="00D4492E"/>
    <w:rsid w:val="00D45713"/>
    <w:rsid w:val="00D462FF"/>
    <w:rsid w:val="00D465E0"/>
    <w:rsid w:val="00D47AA6"/>
    <w:rsid w:val="00D50110"/>
    <w:rsid w:val="00D5055F"/>
    <w:rsid w:val="00D511DD"/>
    <w:rsid w:val="00D51A1F"/>
    <w:rsid w:val="00D5273B"/>
    <w:rsid w:val="00D52DDB"/>
    <w:rsid w:val="00D53678"/>
    <w:rsid w:val="00D546DF"/>
    <w:rsid w:val="00D550CD"/>
    <w:rsid w:val="00D5552F"/>
    <w:rsid w:val="00D609C0"/>
    <w:rsid w:val="00D612D3"/>
    <w:rsid w:val="00D648FF"/>
    <w:rsid w:val="00D6682D"/>
    <w:rsid w:val="00D66AF4"/>
    <w:rsid w:val="00D671BD"/>
    <w:rsid w:val="00D712FB"/>
    <w:rsid w:val="00D71AA3"/>
    <w:rsid w:val="00D72DF2"/>
    <w:rsid w:val="00D7392A"/>
    <w:rsid w:val="00D73D1A"/>
    <w:rsid w:val="00D73E71"/>
    <w:rsid w:val="00D749D3"/>
    <w:rsid w:val="00D7571F"/>
    <w:rsid w:val="00D76A68"/>
    <w:rsid w:val="00D76D25"/>
    <w:rsid w:val="00D77B88"/>
    <w:rsid w:val="00D77CF0"/>
    <w:rsid w:val="00D80676"/>
    <w:rsid w:val="00D811D7"/>
    <w:rsid w:val="00D82782"/>
    <w:rsid w:val="00D82BDF"/>
    <w:rsid w:val="00D83290"/>
    <w:rsid w:val="00D837BC"/>
    <w:rsid w:val="00D843C9"/>
    <w:rsid w:val="00D84A16"/>
    <w:rsid w:val="00D84A40"/>
    <w:rsid w:val="00D84B9B"/>
    <w:rsid w:val="00D84D5A"/>
    <w:rsid w:val="00D84F51"/>
    <w:rsid w:val="00D85211"/>
    <w:rsid w:val="00D859A4"/>
    <w:rsid w:val="00D860B0"/>
    <w:rsid w:val="00D862B5"/>
    <w:rsid w:val="00D862D4"/>
    <w:rsid w:val="00D863A4"/>
    <w:rsid w:val="00D86445"/>
    <w:rsid w:val="00D86BEF"/>
    <w:rsid w:val="00D86F59"/>
    <w:rsid w:val="00D87A79"/>
    <w:rsid w:val="00D911F4"/>
    <w:rsid w:val="00D91384"/>
    <w:rsid w:val="00D921AB"/>
    <w:rsid w:val="00D93AB4"/>
    <w:rsid w:val="00D94375"/>
    <w:rsid w:val="00D945DE"/>
    <w:rsid w:val="00DA010E"/>
    <w:rsid w:val="00DA1029"/>
    <w:rsid w:val="00DA17D3"/>
    <w:rsid w:val="00DA303D"/>
    <w:rsid w:val="00DA4597"/>
    <w:rsid w:val="00DA78D0"/>
    <w:rsid w:val="00DB0CD1"/>
    <w:rsid w:val="00DB104D"/>
    <w:rsid w:val="00DB1076"/>
    <w:rsid w:val="00DB1081"/>
    <w:rsid w:val="00DB12CB"/>
    <w:rsid w:val="00DB1810"/>
    <w:rsid w:val="00DB4549"/>
    <w:rsid w:val="00DB46FB"/>
    <w:rsid w:val="00DB4DAD"/>
    <w:rsid w:val="00DB5011"/>
    <w:rsid w:val="00DB59A6"/>
    <w:rsid w:val="00DB59CC"/>
    <w:rsid w:val="00DB5C6D"/>
    <w:rsid w:val="00DB6501"/>
    <w:rsid w:val="00DB6CD2"/>
    <w:rsid w:val="00DB75BE"/>
    <w:rsid w:val="00DB7633"/>
    <w:rsid w:val="00DB7B8C"/>
    <w:rsid w:val="00DB7CB0"/>
    <w:rsid w:val="00DB7F1C"/>
    <w:rsid w:val="00DC0067"/>
    <w:rsid w:val="00DC0156"/>
    <w:rsid w:val="00DC05D4"/>
    <w:rsid w:val="00DC0E3C"/>
    <w:rsid w:val="00DC2F5A"/>
    <w:rsid w:val="00DC4197"/>
    <w:rsid w:val="00DC4CF7"/>
    <w:rsid w:val="00DC51C1"/>
    <w:rsid w:val="00DC5FF4"/>
    <w:rsid w:val="00DC6222"/>
    <w:rsid w:val="00DC6510"/>
    <w:rsid w:val="00DC6F73"/>
    <w:rsid w:val="00DC739E"/>
    <w:rsid w:val="00DD0421"/>
    <w:rsid w:val="00DD1ED9"/>
    <w:rsid w:val="00DD33F0"/>
    <w:rsid w:val="00DD494E"/>
    <w:rsid w:val="00DD49CC"/>
    <w:rsid w:val="00DD6074"/>
    <w:rsid w:val="00DD6437"/>
    <w:rsid w:val="00DD681C"/>
    <w:rsid w:val="00DD7440"/>
    <w:rsid w:val="00DD76B4"/>
    <w:rsid w:val="00DE03A6"/>
    <w:rsid w:val="00DE05E4"/>
    <w:rsid w:val="00DE07A8"/>
    <w:rsid w:val="00DE1711"/>
    <w:rsid w:val="00DE181E"/>
    <w:rsid w:val="00DE2236"/>
    <w:rsid w:val="00DE2EB6"/>
    <w:rsid w:val="00DE3672"/>
    <w:rsid w:val="00DE3AFE"/>
    <w:rsid w:val="00DE3FA8"/>
    <w:rsid w:val="00DE46ED"/>
    <w:rsid w:val="00DE47F7"/>
    <w:rsid w:val="00DE4805"/>
    <w:rsid w:val="00DE57F3"/>
    <w:rsid w:val="00DE6186"/>
    <w:rsid w:val="00DE686D"/>
    <w:rsid w:val="00DE7A35"/>
    <w:rsid w:val="00DE7EE6"/>
    <w:rsid w:val="00DF019E"/>
    <w:rsid w:val="00DF3A2B"/>
    <w:rsid w:val="00DF4073"/>
    <w:rsid w:val="00DF4B79"/>
    <w:rsid w:val="00DF55AC"/>
    <w:rsid w:val="00DF5754"/>
    <w:rsid w:val="00DF5AE1"/>
    <w:rsid w:val="00DF602F"/>
    <w:rsid w:val="00DF77ED"/>
    <w:rsid w:val="00E002A2"/>
    <w:rsid w:val="00E006F2"/>
    <w:rsid w:val="00E011F0"/>
    <w:rsid w:val="00E01518"/>
    <w:rsid w:val="00E01A96"/>
    <w:rsid w:val="00E01EC5"/>
    <w:rsid w:val="00E03052"/>
    <w:rsid w:val="00E036BE"/>
    <w:rsid w:val="00E03FE5"/>
    <w:rsid w:val="00E0425C"/>
    <w:rsid w:val="00E04CDE"/>
    <w:rsid w:val="00E04E60"/>
    <w:rsid w:val="00E04F8F"/>
    <w:rsid w:val="00E05360"/>
    <w:rsid w:val="00E0678E"/>
    <w:rsid w:val="00E10EAE"/>
    <w:rsid w:val="00E112B4"/>
    <w:rsid w:val="00E11FDF"/>
    <w:rsid w:val="00E12C8A"/>
    <w:rsid w:val="00E1325C"/>
    <w:rsid w:val="00E13301"/>
    <w:rsid w:val="00E1407B"/>
    <w:rsid w:val="00E15D51"/>
    <w:rsid w:val="00E16A6F"/>
    <w:rsid w:val="00E16AA5"/>
    <w:rsid w:val="00E201DC"/>
    <w:rsid w:val="00E204B8"/>
    <w:rsid w:val="00E2102A"/>
    <w:rsid w:val="00E221E2"/>
    <w:rsid w:val="00E22616"/>
    <w:rsid w:val="00E22C47"/>
    <w:rsid w:val="00E23DCD"/>
    <w:rsid w:val="00E263C3"/>
    <w:rsid w:val="00E26B61"/>
    <w:rsid w:val="00E27957"/>
    <w:rsid w:val="00E27A78"/>
    <w:rsid w:val="00E30115"/>
    <w:rsid w:val="00E31D4B"/>
    <w:rsid w:val="00E3337B"/>
    <w:rsid w:val="00E33D06"/>
    <w:rsid w:val="00E348E4"/>
    <w:rsid w:val="00E3509F"/>
    <w:rsid w:val="00E3611E"/>
    <w:rsid w:val="00E363C2"/>
    <w:rsid w:val="00E36ABA"/>
    <w:rsid w:val="00E3711A"/>
    <w:rsid w:val="00E376A6"/>
    <w:rsid w:val="00E412F3"/>
    <w:rsid w:val="00E42589"/>
    <w:rsid w:val="00E43961"/>
    <w:rsid w:val="00E465CD"/>
    <w:rsid w:val="00E46A5F"/>
    <w:rsid w:val="00E470DC"/>
    <w:rsid w:val="00E500FB"/>
    <w:rsid w:val="00E50372"/>
    <w:rsid w:val="00E50AF0"/>
    <w:rsid w:val="00E517B7"/>
    <w:rsid w:val="00E52127"/>
    <w:rsid w:val="00E5362C"/>
    <w:rsid w:val="00E537B6"/>
    <w:rsid w:val="00E56F0E"/>
    <w:rsid w:val="00E57198"/>
    <w:rsid w:val="00E60994"/>
    <w:rsid w:val="00E62B6A"/>
    <w:rsid w:val="00E63099"/>
    <w:rsid w:val="00E63324"/>
    <w:rsid w:val="00E63FC3"/>
    <w:rsid w:val="00E6408D"/>
    <w:rsid w:val="00E647E2"/>
    <w:rsid w:val="00E64DE8"/>
    <w:rsid w:val="00E65187"/>
    <w:rsid w:val="00E65214"/>
    <w:rsid w:val="00E66204"/>
    <w:rsid w:val="00E66477"/>
    <w:rsid w:val="00E67022"/>
    <w:rsid w:val="00E70ADB"/>
    <w:rsid w:val="00E72653"/>
    <w:rsid w:val="00E74157"/>
    <w:rsid w:val="00E74177"/>
    <w:rsid w:val="00E7454A"/>
    <w:rsid w:val="00E745AC"/>
    <w:rsid w:val="00E747F0"/>
    <w:rsid w:val="00E748CA"/>
    <w:rsid w:val="00E74C8F"/>
    <w:rsid w:val="00E7559E"/>
    <w:rsid w:val="00E7624A"/>
    <w:rsid w:val="00E76382"/>
    <w:rsid w:val="00E77053"/>
    <w:rsid w:val="00E77A57"/>
    <w:rsid w:val="00E8009C"/>
    <w:rsid w:val="00E800A4"/>
    <w:rsid w:val="00E81E4E"/>
    <w:rsid w:val="00E822CB"/>
    <w:rsid w:val="00E83B99"/>
    <w:rsid w:val="00E83E1B"/>
    <w:rsid w:val="00E84307"/>
    <w:rsid w:val="00E844C9"/>
    <w:rsid w:val="00E846CE"/>
    <w:rsid w:val="00E846D1"/>
    <w:rsid w:val="00E86C56"/>
    <w:rsid w:val="00E87A1D"/>
    <w:rsid w:val="00E90B0B"/>
    <w:rsid w:val="00E91BF0"/>
    <w:rsid w:val="00E92207"/>
    <w:rsid w:val="00E93351"/>
    <w:rsid w:val="00E93858"/>
    <w:rsid w:val="00E94D92"/>
    <w:rsid w:val="00E977A1"/>
    <w:rsid w:val="00EA04DF"/>
    <w:rsid w:val="00EA0817"/>
    <w:rsid w:val="00EA089C"/>
    <w:rsid w:val="00EA08D8"/>
    <w:rsid w:val="00EA0971"/>
    <w:rsid w:val="00EA0AAA"/>
    <w:rsid w:val="00EA0C89"/>
    <w:rsid w:val="00EA12B8"/>
    <w:rsid w:val="00EA141B"/>
    <w:rsid w:val="00EA217F"/>
    <w:rsid w:val="00EA2430"/>
    <w:rsid w:val="00EA2793"/>
    <w:rsid w:val="00EA2C29"/>
    <w:rsid w:val="00EA2EAB"/>
    <w:rsid w:val="00EA5777"/>
    <w:rsid w:val="00EA7E94"/>
    <w:rsid w:val="00EB1F86"/>
    <w:rsid w:val="00EB261E"/>
    <w:rsid w:val="00EB2F61"/>
    <w:rsid w:val="00EB324A"/>
    <w:rsid w:val="00EB41D0"/>
    <w:rsid w:val="00EB5873"/>
    <w:rsid w:val="00EB5D79"/>
    <w:rsid w:val="00EB5E14"/>
    <w:rsid w:val="00EB687B"/>
    <w:rsid w:val="00EC0E97"/>
    <w:rsid w:val="00EC12F2"/>
    <w:rsid w:val="00EC297D"/>
    <w:rsid w:val="00EC2CC9"/>
    <w:rsid w:val="00EC2F2F"/>
    <w:rsid w:val="00EC3369"/>
    <w:rsid w:val="00EC5FCA"/>
    <w:rsid w:val="00EC6471"/>
    <w:rsid w:val="00EC7788"/>
    <w:rsid w:val="00ED012A"/>
    <w:rsid w:val="00ED19AC"/>
    <w:rsid w:val="00ED1CE0"/>
    <w:rsid w:val="00ED1E92"/>
    <w:rsid w:val="00ED2604"/>
    <w:rsid w:val="00ED260C"/>
    <w:rsid w:val="00ED2D70"/>
    <w:rsid w:val="00ED3B8E"/>
    <w:rsid w:val="00ED3D70"/>
    <w:rsid w:val="00ED4264"/>
    <w:rsid w:val="00ED5E22"/>
    <w:rsid w:val="00ED5F90"/>
    <w:rsid w:val="00ED717D"/>
    <w:rsid w:val="00ED7500"/>
    <w:rsid w:val="00EE0C2C"/>
    <w:rsid w:val="00EE15DE"/>
    <w:rsid w:val="00EE18FD"/>
    <w:rsid w:val="00EE1AEF"/>
    <w:rsid w:val="00EE325F"/>
    <w:rsid w:val="00EE3AD3"/>
    <w:rsid w:val="00EE40DA"/>
    <w:rsid w:val="00EE40F5"/>
    <w:rsid w:val="00EE4383"/>
    <w:rsid w:val="00EE5A59"/>
    <w:rsid w:val="00EE5DEC"/>
    <w:rsid w:val="00EE62FF"/>
    <w:rsid w:val="00EE690D"/>
    <w:rsid w:val="00EE6EBC"/>
    <w:rsid w:val="00EE7D67"/>
    <w:rsid w:val="00EF0459"/>
    <w:rsid w:val="00EF0B3B"/>
    <w:rsid w:val="00EF1E43"/>
    <w:rsid w:val="00EF2D16"/>
    <w:rsid w:val="00EF3AC9"/>
    <w:rsid w:val="00EF46D8"/>
    <w:rsid w:val="00EF4795"/>
    <w:rsid w:val="00EF561E"/>
    <w:rsid w:val="00EF5700"/>
    <w:rsid w:val="00EF5ACD"/>
    <w:rsid w:val="00EF613D"/>
    <w:rsid w:val="00EF6D45"/>
    <w:rsid w:val="00EF7316"/>
    <w:rsid w:val="00EF7812"/>
    <w:rsid w:val="00F00028"/>
    <w:rsid w:val="00F001F2"/>
    <w:rsid w:val="00F005DA"/>
    <w:rsid w:val="00F010A0"/>
    <w:rsid w:val="00F019F2"/>
    <w:rsid w:val="00F01D2B"/>
    <w:rsid w:val="00F0433B"/>
    <w:rsid w:val="00F05206"/>
    <w:rsid w:val="00F05DB5"/>
    <w:rsid w:val="00F068C8"/>
    <w:rsid w:val="00F0694B"/>
    <w:rsid w:val="00F0799C"/>
    <w:rsid w:val="00F11200"/>
    <w:rsid w:val="00F11A32"/>
    <w:rsid w:val="00F129D9"/>
    <w:rsid w:val="00F132F3"/>
    <w:rsid w:val="00F137F4"/>
    <w:rsid w:val="00F1387F"/>
    <w:rsid w:val="00F161DE"/>
    <w:rsid w:val="00F169E9"/>
    <w:rsid w:val="00F16EB3"/>
    <w:rsid w:val="00F20432"/>
    <w:rsid w:val="00F204E3"/>
    <w:rsid w:val="00F20E07"/>
    <w:rsid w:val="00F21D65"/>
    <w:rsid w:val="00F23560"/>
    <w:rsid w:val="00F23FD4"/>
    <w:rsid w:val="00F24220"/>
    <w:rsid w:val="00F24B42"/>
    <w:rsid w:val="00F251C4"/>
    <w:rsid w:val="00F252CE"/>
    <w:rsid w:val="00F26CA9"/>
    <w:rsid w:val="00F26E00"/>
    <w:rsid w:val="00F26FC0"/>
    <w:rsid w:val="00F2721B"/>
    <w:rsid w:val="00F275D3"/>
    <w:rsid w:val="00F30402"/>
    <w:rsid w:val="00F313F0"/>
    <w:rsid w:val="00F33236"/>
    <w:rsid w:val="00F334CB"/>
    <w:rsid w:val="00F33D03"/>
    <w:rsid w:val="00F348F2"/>
    <w:rsid w:val="00F36126"/>
    <w:rsid w:val="00F368BB"/>
    <w:rsid w:val="00F36D29"/>
    <w:rsid w:val="00F36FB4"/>
    <w:rsid w:val="00F37DEA"/>
    <w:rsid w:val="00F37EF9"/>
    <w:rsid w:val="00F409E6"/>
    <w:rsid w:val="00F40A2C"/>
    <w:rsid w:val="00F4119F"/>
    <w:rsid w:val="00F42040"/>
    <w:rsid w:val="00F43037"/>
    <w:rsid w:val="00F43FF1"/>
    <w:rsid w:val="00F44276"/>
    <w:rsid w:val="00F44A2B"/>
    <w:rsid w:val="00F44E5E"/>
    <w:rsid w:val="00F452DC"/>
    <w:rsid w:val="00F4619A"/>
    <w:rsid w:val="00F46CD8"/>
    <w:rsid w:val="00F471EB"/>
    <w:rsid w:val="00F47B4E"/>
    <w:rsid w:val="00F5038E"/>
    <w:rsid w:val="00F50D2F"/>
    <w:rsid w:val="00F524D8"/>
    <w:rsid w:val="00F52968"/>
    <w:rsid w:val="00F52FEE"/>
    <w:rsid w:val="00F5350C"/>
    <w:rsid w:val="00F53BF0"/>
    <w:rsid w:val="00F546E3"/>
    <w:rsid w:val="00F5703E"/>
    <w:rsid w:val="00F57892"/>
    <w:rsid w:val="00F60897"/>
    <w:rsid w:val="00F60F51"/>
    <w:rsid w:val="00F6126C"/>
    <w:rsid w:val="00F61569"/>
    <w:rsid w:val="00F61F05"/>
    <w:rsid w:val="00F633F1"/>
    <w:rsid w:val="00F63771"/>
    <w:rsid w:val="00F6466E"/>
    <w:rsid w:val="00F655D3"/>
    <w:rsid w:val="00F660B0"/>
    <w:rsid w:val="00F66539"/>
    <w:rsid w:val="00F66B90"/>
    <w:rsid w:val="00F678C5"/>
    <w:rsid w:val="00F70AA4"/>
    <w:rsid w:val="00F714AF"/>
    <w:rsid w:val="00F71A88"/>
    <w:rsid w:val="00F71E5E"/>
    <w:rsid w:val="00F72180"/>
    <w:rsid w:val="00F74834"/>
    <w:rsid w:val="00F748F4"/>
    <w:rsid w:val="00F754AB"/>
    <w:rsid w:val="00F75DA8"/>
    <w:rsid w:val="00F760B9"/>
    <w:rsid w:val="00F76613"/>
    <w:rsid w:val="00F76A08"/>
    <w:rsid w:val="00F77855"/>
    <w:rsid w:val="00F77933"/>
    <w:rsid w:val="00F8098D"/>
    <w:rsid w:val="00F80EA1"/>
    <w:rsid w:val="00F816D2"/>
    <w:rsid w:val="00F82CF3"/>
    <w:rsid w:val="00F832F4"/>
    <w:rsid w:val="00F8436E"/>
    <w:rsid w:val="00F843AB"/>
    <w:rsid w:val="00F85761"/>
    <w:rsid w:val="00F8797B"/>
    <w:rsid w:val="00F87E38"/>
    <w:rsid w:val="00F90798"/>
    <w:rsid w:val="00F909E7"/>
    <w:rsid w:val="00F91652"/>
    <w:rsid w:val="00F918DB"/>
    <w:rsid w:val="00F91B5B"/>
    <w:rsid w:val="00F92229"/>
    <w:rsid w:val="00F92BC2"/>
    <w:rsid w:val="00F935F1"/>
    <w:rsid w:val="00F93920"/>
    <w:rsid w:val="00F942B2"/>
    <w:rsid w:val="00F95771"/>
    <w:rsid w:val="00F95963"/>
    <w:rsid w:val="00F959E9"/>
    <w:rsid w:val="00F95D32"/>
    <w:rsid w:val="00F97BE6"/>
    <w:rsid w:val="00FA1395"/>
    <w:rsid w:val="00FA16C0"/>
    <w:rsid w:val="00FA19D1"/>
    <w:rsid w:val="00FA2175"/>
    <w:rsid w:val="00FA334D"/>
    <w:rsid w:val="00FA3B3C"/>
    <w:rsid w:val="00FA5C46"/>
    <w:rsid w:val="00FA6AC2"/>
    <w:rsid w:val="00FA740A"/>
    <w:rsid w:val="00FB05FB"/>
    <w:rsid w:val="00FB0982"/>
    <w:rsid w:val="00FB1381"/>
    <w:rsid w:val="00FB1A6A"/>
    <w:rsid w:val="00FB26F1"/>
    <w:rsid w:val="00FB2F97"/>
    <w:rsid w:val="00FB3B79"/>
    <w:rsid w:val="00FB4424"/>
    <w:rsid w:val="00FB4E59"/>
    <w:rsid w:val="00FB4EFB"/>
    <w:rsid w:val="00FB60A1"/>
    <w:rsid w:val="00FB7693"/>
    <w:rsid w:val="00FB7991"/>
    <w:rsid w:val="00FB7D6A"/>
    <w:rsid w:val="00FC02DF"/>
    <w:rsid w:val="00FC0E4A"/>
    <w:rsid w:val="00FC32AD"/>
    <w:rsid w:val="00FC47D3"/>
    <w:rsid w:val="00FC4917"/>
    <w:rsid w:val="00FC4B9D"/>
    <w:rsid w:val="00FC4F43"/>
    <w:rsid w:val="00FC5CD9"/>
    <w:rsid w:val="00FC5CF3"/>
    <w:rsid w:val="00FC6454"/>
    <w:rsid w:val="00FC6A5D"/>
    <w:rsid w:val="00FC74C1"/>
    <w:rsid w:val="00FC78BA"/>
    <w:rsid w:val="00FC7A30"/>
    <w:rsid w:val="00FC7CDB"/>
    <w:rsid w:val="00FD0106"/>
    <w:rsid w:val="00FD07E9"/>
    <w:rsid w:val="00FD0D2C"/>
    <w:rsid w:val="00FD13E3"/>
    <w:rsid w:val="00FD17FF"/>
    <w:rsid w:val="00FD1C12"/>
    <w:rsid w:val="00FD2216"/>
    <w:rsid w:val="00FD2393"/>
    <w:rsid w:val="00FD293A"/>
    <w:rsid w:val="00FD365A"/>
    <w:rsid w:val="00FD40BA"/>
    <w:rsid w:val="00FD44D5"/>
    <w:rsid w:val="00FD486D"/>
    <w:rsid w:val="00FD4CB1"/>
    <w:rsid w:val="00FD4D20"/>
    <w:rsid w:val="00FD52B1"/>
    <w:rsid w:val="00FD530F"/>
    <w:rsid w:val="00FD6427"/>
    <w:rsid w:val="00FD64C9"/>
    <w:rsid w:val="00FD7338"/>
    <w:rsid w:val="00FE02EF"/>
    <w:rsid w:val="00FE0FB0"/>
    <w:rsid w:val="00FE193C"/>
    <w:rsid w:val="00FE1CB7"/>
    <w:rsid w:val="00FE2650"/>
    <w:rsid w:val="00FE38C9"/>
    <w:rsid w:val="00FE3A75"/>
    <w:rsid w:val="00FE58A5"/>
    <w:rsid w:val="00FE7150"/>
    <w:rsid w:val="00FF04AA"/>
    <w:rsid w:val="00FF0B1A"/>
    <w:rsid w:val="00FF0B81"/>
    <w:rsid w:val="00FF103B"/>
    <w:rsid w:val="00FF189D"/>
    <w:rsid w:val="00FF305A"/>
    <w:rsid w:val="00FF35C7"/>
    <w:rsid w:val="00FF39E7"/>
    <w:rsid w:val="00FF3EE1"/>
    <w:rsid w:val="00FF47BE"/>
    <w:rsid w:val="00FF5AE1"/>
    <w:rsid w:val="00FF6703"/>
    <w:rsid w:val="00FF6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96879C"/>
  <w14:defaultImageDpi w14:val="300"/>
  <w15:docId w15:val="{5160B3D6-39AE-974C-B73E-6D010196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637"/>
    <w:rPr>
      <w:rFonts w:ascii="Times New Roman" w:eastAsia="Times New Roman" w:hAnsi="Times New Roman"/>
      <w:lang w:val="en-CA" w:eastAsia="en-US"/>
    </w:rPr>
  </w:style>
  <w:style w:type="paragraph" w:styleId="Heading1">
    <w:name w:val="heading 1"/>
    <w:basedOn w:val="Normal"/>
    <w:next w:val="Normal"/>
    <w:link w:val="Heading1Char"/>
    <w:autoRedefine/>
    <w:uiPriority w:val="9"/>
    <w:qFormat/>
    <w:rsid w:val="00375015"/>
    <w:pPr>
      <w:keepNext/>
      <w:keepLines/>
      <w:spacing w:before="120" w:after="120" w:line="360" w:lineRule="auto"/>
      <w:jc w:val="both"/>
      <w:outlineLvl w:val="0"/>
    </w:pPr>
    <w:rPr>
      <w:rFonts w:eastAsia="MS Gothic"/>
      <w:bCs/>
      <w:szCs w:val="32"/>
      <w:lang w:eastAsia="ja-JP"/>
    </w:rPr>
  </w:style>
  <w:style w:type="paragraph" w:styleId="Heading2">
    <w:name w:val="heading 2"/>
    <w:basedOn w:val="Normal"/>
    <w:next w:val="Normal"/>
    <w:link w:val="Heading2Char"/>
    <w:uiPriority w:val="9"/>
    <w:unhideWhenUsed/>
    <w:qFormat/>
    <w:rsid w:val="007E1096"/>
    <w:pPr>
      <w:spacing w:before="120" w:after="120" w:line="480" w:lineRule="auto"/>
      <w:outlineLvl w:val="1"/>
    </w:pPr>
    <w:rPr>
      <w:i/>
    </w:rPr>
  </w:style>
  <w:style w:type="paragraph" w:styleId="Heading3">
    <w:name w:val="heading 3"/>
    <w:basedOn w:val="Normal"/>
    <w:next w:val="Normal"/>
    <w:link w:val="Heading3Char"/>
    <w:uiPriority w:val="9"/>
    <w:unhideWhenUsed/>
    <w:qFormat/>
    <w:rsid w:val="00163E5B"/>
    <w:pPr>
      <w:spacing w:after="240"/>
      <w:outlineLvl w:val="2"/>
    </w:pPr>
    <w:rPr>
      <w:i/>
    </w:rPr>
  </w:style>
  <w:style w:type="paragraph" w:styleId="Heading4">
    <w:name w:val="heading 4"/>
    <w:basedOn w:val="Normal"/>
    <w:next w:val="Normal"/>
    <w:link w:val="Heading4Char"/>
    <w:unhideWhenUsed/>
    <w:qFormat/>
    <w:rsid w:val="00357388"/>
    <w:pPr>
      <w:keepNext/>
      <w:keepLines/>
      <w:numPr>
        <w:ilvl w:val="3"/>
        <w:numId w:val="2"/>
      </w:numPr>
      <w:spacing w:before="200"/>
      <w:jc w:val="both"/>
      <w:outlineLvl w:val="3"/>
    </w:pPr>
    <w:rPr>
      <w:rFonts w:eastAsiaTheme="majorEastAsia"/>
      <w:b/>
      <w:bCs/>
      <w:i/>
      <w:iCs/>
      <w:color w:val="4F81BD" w:themeColor="accent1"/>
      <w:szCs w:val="22"/>
      <w:lang w:bidi="en-US"/>
    </w:rPr>
  </w:style>
  <w:style w:type="paragraph" w:styleId="Heading5">
    <w:name w:val="heading 5"/>
    <w:basedOn w:val="Normal"/>
    <w:next w:val="Normal"/>
    <w:link w:val="Heading5Char"/>
    <w:uiPriority w:val="9"/>
    <w:semiHidden/>
    <w:unhideWhenUsed/>
    <w:qFormat/>
    <w:rsid w:val="00357388"/>
    <w:pPr>
      <w:keepNext/>
      <w:keepLines/>
      <w:numPr>
        <w:ilvl w:val="4"/>
        <w:numId w:val="2"/>
      </w:numPr>
      <w:spacing w:before="200"/>
      <w:jc w:val="both"/>
      <w:outlineLvl w:val="4"/>
    </w:pPr>
    <w:rPr>
      <w:rFonts w:asciiTheme="majorHAnsi" w:eastAsiaTheme="majorEastAsia" w:hAnsiTheme="majorHAnsi" w:cstheme="majorBidi"/>
      <w:color w:val="243F60" w:themeColor="accent1" w:themeShade="7F"/>
      <w:szCs w:val="22"/>
      <w:lang w:bidi="en-US"/>
    </w:rPr>
  </w:style>
  <w:style w:type="paragraph" w:styleId="Heading6">
    <w:name w:val="heading 6"/>
    <w:basedOn w:val="Normal"/>
    <w:next w:val="Normal"/>
    <w:link w:val="Heading6Char"/>
    <w:uiPriority w:val="9"/>
    <w:semiHidden/>
    <w:unhideWhenUsed/>
    <w:qFormat/>
    <w:rsid w:val="00357388"/>
    <w:pPr>
      <w:keepNext/>
      <w:keepLines/>
      <w:numPr>
        <w:ilvl w:val="5"/>
        <w:numId w:val="2"/>
      </w:numPr>
      <w:spacing w:before="200"/>
      <w:jc w:val="both"/>
      <w:outlineLvl w:val="5"/>
    </w:pPr>
    <w:rPr>
      <w:rFonts w:asciiTheme="majorHAnsi" w:eastAsiaTheme="majorEastAsia" w:hAnsiTheme="majorHAnsi" w:cstheme="majorBidi"/>
      <w:i/>
      <w:iCs/>
      <w:color w:val="243F60" w:themeColor="accent1" w:themeShade="7F"/>
      <w:szCs w:val="22"/>
      <w:lang w:bidi="en-US"/>
    </w:rPr>
  </w:style>
  <w:style w:type="paragraph" w:styleId="Heading7">
    <w:name w:val="heading 7"/>
    <w:basedOn w:val="Normal"/>
    <w:next w:val="Normal"/>
    <w:link w:val="Heading7Char"/>
    <w:uiPriority w:val="9"/>
    <w:semiHidden/>
    <w:unhideWhenUsed/>
    <w:qFormat/>
    <w:rsid w:val="00357388"/>
    <w:pPr>
      <w:keepNext/>
      <w:keepLines/>
      <w:numPr>
        <w:ilvl w:val="6"/>
        <w:numId w:val="2"/>
      </w:numPr>
      <w:spacing w:before="200"/>
      <w:jc w:val="both"/>
      <w:outlineLvl w:val="6"/>
    </w:pPr>
    <w:rPr>
      <w:rFonts w:asciiTheme="majorHAnsi" w:eastAsiaTheme="majorEastAsia" w:hAnsiTheme="majorHAnsi" w:cstheme="majorBidi"/>
      <w:i/>
      <w:iCs/>
      <w:color w:val="404040" w:themeColor="text1" w:themeTint="BF"/>
      <w:szCs w:val="22"/>
      <w:lang w:bidi="en-US"/>
    </w:rPr>
  </w:style>
  <w:style w:type="paragraph" w:styleId="Heading8">
    <w:name w:val="heading 8"/>
    <w:basedOn w:val="Normal"/>
    <w:next w:val="Normal"/>
    <w:link w:val="Heading8Char"/>
    <w:uiPriority w:val="9"/>
    <w:semiHidden/>
    <w:unhideWhenUsed/>
    <w:qFormat/>
    <w:rsid w:val="00357388"/>
    <w:pPr>
      <w:keepNext/>
      <w:keepLines/>
      <w:numPr>
        <w:ilvl w:val="7"/>
        <w:numId w:val="2"/>
      </w:numPr>
      <w:spacing w:before="200"/>
      <w:jc w:val="both"/>
      <w:outlineLvl w:val="7"/>
    </w:pPr>
    <w:rPr>
      <w:rFonts w:asciiTheme="majorHAnsi" w:eastAsiaTheme="majorEastAsia" w:hAnsiTheme="majorHAnsi" w:cstheme="majorBidi"/>
      <w:color w:val="4F81BD" w:themeColor="accent1"/>
      <w:szCs w:val="20"/>
      <w:lang w:bidi="en-US"/>
    </w:rPr>
  </w:style>
  <w:style w:type="paragraph" w:styleId="Heading9">
    <w:name w:val="heading 9"/>
    <w:basedOn w:val="Normal"/>
    <w:next w:val="Normal"/>
    <w:link w:val="Heading9Char"/>
    <w:uiPriority w:val="9"/>
    <w:semiHidden/>
    <w:unhideWhenUsed/>
    <w:qFormat/>
    <w:rsid w:val="00357388"/>
    <w:pPr>
      <w:keepNext/>
      <w:keepLines/>
      <w:numPr>
        <w:ilvl w:val="8"/>
        <w:numId w:val="2"/>
      </w:numPr>
      <w:spacing w:before="200"/>
      <w:jc w:val="both"/>
      <w:outlineLvl w:val="8"/>
    </w:pPr>
    <w:rPr>
      <w:rFonts w:asciiTheme="majorHAnsi" w:eastAsiaTheme="majorEastAsia" w:hAnsiTheme="majorHAnsi" w:cstheme="majorBidi"/>
      <w:i/>
      <w:iCs/>
      <w:color w:val="404040" w:themeColor="text1" w:themeTint="BF"/>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015"/>
    <w:rPr>
      <w:rFonts w:ascii="Times New Roman" w:eastAsia="MS Gothic" w:hAnsi="Times New Roman"/>
      <w:bCs/>
      <w:szCs w:val="32"/>
      <w:lang w:val="en-CA"/>
    </w:rPr>
  </w:style>
  <w:style w:type="character" w:customStyle="1" w:styleId="Heading2Char">
    <w:name w:val="Heading 2 Char"/>
    <w:basedOn w:val="DefaultParagraphFont"/>
    <w:link w:val="Heading2"/>
    <w:uiPriority w:val="9"/>
    <w:rsid w:val="007E1096"/>
    <w:rPr>
      <w:rFonts w:ascii="Times New Roman" w:eastAsia="Times New Roman" w:hAnsi="Times New Roman"/>
      <w:i/>
      <w:lang w:val="en-CA" w:eastAsia="en-US"/>
    </w:rPr>
  </w:style>
  <w:style w:type="character" w:customStyle="1" w:styleId="Heading3Char">
    <w:name w:val="Heading 3 Char"/>
    <w:basedOn w:val="DefaultParagraphFont"/>
    <w:link w:val="Heading3"/>
    <w:uiPriority w:val="9"/>
    <w:rsid w:val="00163E5B"/>
    <w:rPr>
      <w:rFonts w:ascii="Times New Roman" w:eastAsia="Times New Roman" w:hAnsi="Times New Roman"/>
      <w:i/>
      <w:lang w:val="en-CA" w:eastAsia="en-US"/>
    </w:rPr>
  </w:style>
  <w:style w:type="character" w:customStyle="1" w:styleId="Heading4Char">
    <w:name w:val="Heading 4 Char"/>
    <w:basedOn w:val="DefaultParagraphFont"/>
    <w:link w:val="Heading4"/>
    <w:rsid w:val="00357388"/>
    <w:rPr>
      <w:rFonts w:ascii="Times New Roman" w:eastAsiaTheme="majorEastAsia" w:hAnsi="Times New Roman"/>
      <w:b/>
      <w:bCs/>
      <w:i/>
      <w:iCs/>
      <w:color w:val="4F81BD" w:themeColor="accent1"/>
      <w:szCs w:val="22"/>
      <w:lang w:val="en-GB" w:eastAsia="en-US" w:bidi="en-US"/>
    </w:rPr>
  </w:style>
  <w:style w:type="character" w:customStyle="1" w:styleId="Heading5Char">
    <w:name w:val="Heading 5 Char"/>
    <w:basedOn w:val="DefaultParagraphFont"/>
    <w:link w:val="Heading5"/>
    <w:uiPriority w:val="9"/>
    <w:semiHidden/>
    <w:rsid w:val="00357388"/>
    <w:rPr>
      <w:rFonts w:asciiTheme="majorHAnsi" w:eastAsiaTheme="majorEastAsia" w:hAnsiTheme="majorHAnsi" w:cstheme="majorBidi"/>
      <w:color w:val="243F60" w:themeColor="accent1" w:themeShade="7F"/>
      <w:szCs w:val="22"/>
      <w:lang w:val="en-GB" w:eastAsia="en-US" w:bidi="en-US"/>
    </w:rPr>
  </w:style>
  <w:style w:type="character" w:customStyle="1" w:styleId="Heading6Char">
    <w:name w:val="Heading 6 Char"/>
    <w:basedOn w:val="DefaultParagraphFont"/>
    <w:link w:val="Heading6"/>
    <w:uiPriority w:val="9"/>
    <w:semiHidden/>
    <w:rsid w:val="00357388"/>
    <w:rPr>
      <w:rFonts w:asciiTheme="majorHAnsi" w:eastAsiaTheme="majorEastAsia" w:hAnsiTheme="majorHAnsi" w:cstheme="majorBidi"/>
      <w:i/>
      <w:iCs/>
      <w:color w:val="243F60" w:themeColor="accent1" w:themeShade="7F"/>
      <w:szCs w:val="22"/>
      <w:lang w:val="en-GB" w:eastAsia="en-US" w:bidi="en-US"/>
    </w:rPr>
  </w:style>
  <w:style w:type="character" w:customStyle="1" w:styleId="Heading7Char">
    <w:name w:val="Heading 7 Char"/>
    <w:basedOn w:val="DefaultParagraphFont"/>
    <w:link w:val="Heading7"/>
    <w:uiPriority w:val="9"/>
    <w:semiHidden/>
    <w:rsid w:val="00357388"/>
    <w:rPr>
      <w:rFonts w:asciiTheme="majorHAnsi" w:eastAsiaTheme="majorEastAsia" w:hAnsiTheme="majorHAnsi" w:cstheme="majorBidi"/>
      <w:i/>
      <w:iCs/>
      <w:color w:val="404040" w:themeColor="text1" w:themeTint="BF"/>
      <w:szCs w:val="22"/>
      <w:lang w:val="en-GB" w:eastAsia="en-US" w:bidi="en-US"/>
    </w:rPr>
  </w:style>
  <w:style w:type="character" w:customStyle="1" w:styleId="Heading8Char">
    <w:name w:val="Heading 8 Char"/>
    <w:basedOn w:val="DefaultParagraphFont"/>
    <w:link w:val="Heading8"/>
    <w:uiPriority w:val="9"/>
    <w:semiHidden/>
    <w:rsid w:val="00357388"/>
    <w:rPr>
      <w:rFonts w:asciiTheme="majorHAnsi" w:eastAsiaTheme="majorEastAsia" w:hAnsiTheme="majorHAnsi" w:cstheme="majorBidi"/>
      <w:color w:val="4F81BD" w:themeColor="accent1"/>
      <w:sz w:val="20"/>
      <w:szCs w:val="20"/>
      <w:lang w:val="en-GB" w:eastAsia="en-US" w:bidi="en-US"/>
    </w:rPr>
  </w:style>
  <w:style w:type="character" w:customStyle="1" w:styleId="Heading9Char">
    <w:name w:val="Heading 9 Char"/>
    <w:basedOn w:val="DefaultParagraphFont"/>
    <w:link w:val="Heading9"/>
    <w:uiPriority w:val="9"/>
    <w:semiHidden/>
    <w:rsid w:val="00357388"/>
    <w:rPr>
      <w:rFonts w:asciiTheme="majorHAnsi" w:eastAsiaTheme="majorEastAsia" w:hAnsiTheme="majorHAnsi" w:cstheme="majorBidi"/>
      <w:i/>
      <w:iCs/>
      <w:color w:val="404040" w:themeColor="text1" w:themeTint="BF"/>
      <w:sz w:val="20"/>
      <w:szCs w:val="20"/>
      <w:lang w:val="en-GB" w:eastAsia="en-US" w:bidi="en-US"/>
    </w:rPr>
  </w:style>
  <w:style w:type="paragraph" w:styleId="BalloonText">
    <w:name w:val="Balloon Text"/>
    <w:basedOn w:val="Normal"/>
    <w:link w:val="BalloonTextChar"/>
    <w:uiPriority w:val="99"/>
    <w:semiHidden/>
    <w:unhideWhenUsed/>
    <w:rsid w:val="00E26B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B61"/>
    <w:rPr>
      <w:rFonts w:ascii="Lucida Grande" w:eastAsia="Calibri" w:hAnsi="Lucida Grande" w:cs="Lucida Grande"/>
      <w:sz w:val="18"/>
      <w:szCs w:val="18"/>
      <w:lang w:eastAsia="en-CA"/>
    </w:rPr>
  </w:style>
  <w:style w:type="paragraph" w:styleId="EndnoteText">
    <w:name w:val="endnote text"/>
    <w:basedOn w:val="Normal"/>
    <w:link w:val="EndnoteTextChar"/>
    <w:autoRedefine/>
    <w:qFormat/>
    <w:rsid w:val="001B43EA"/>
    <w:rPr>
      <w:szCs w:val="20"/>
    </w:rPr>
  </w:style>
  <w:style w:type="character" w:customStyle="1" w:styleId="EndnoteTextChar">
    <w:name w:val="Endnote Text Char"/>
    <w:basedOn w:val="DefaultParagraphFont"/>
    <w:link w:val="EndnoteText"/>
    <w:rsid w:val="001B43EA"/>
    <w:rPr>
      <w:rFonts w:eastAsia="Times New Roman"/>
      <w:szCs w:val="20"/>
      <w:vertAlign w:val="baseline"/>
      <w:lang w:eastAsia="en-US"/>
    </w:rPr>
  </w:style>
  <w:style w:type="paragraph" w:customStyle="1" w:styleId="bulletalpa">
    <w:name w:val="bullet (alpa)"/>
    <w:basedOn w:val="ListParagraph"/>
    <w:qFormat/>
    <w:rsid w:val="009C6EA0"/>
    <w:pPr>
      <w:widowControl w:val="0"/>
      <w:numPr>
        <w:numId w:val="1"/>
      </w:numPr>
      <w:autoSpaceDE w:val="0"/>
      <w:autoSpaceDN w:val="0"/>
      <w:adjustRightInd w:val="0"/>
      <w:ind w:right="284"/>
    </w:pPr>
    <w:rPr>
      <w:sz w:val="22"/>
      <w:szCs w:val="22"/>
    </w:rPr>
  </w:style>
  <w:style w:type="paragraph" w:styleId="ListParagraph">
    <w:name w:val="List Paragraph"/>
    <w:basedOn w:val="Normal"/>
    <w:link w:val="ListParagraphChar"/>
    <w:uiPriority w:val="34"/>
    <w:qFormat/>
    <w:rsid w:val="009C6EA0"/>
    <w:pPr>
      <w:ind w:left="720"/>
      <w:contextualSpacing/>
    </w:pPr>
  </w:style>
  <w:style w:type="character" w:customStyle="1" w:styleId="ListParagraphChar">
    <w:name w:val="List Paragraph Char"/>
    <w:link w:val="ListParagraph"/>
    <w:uiPriority w:val="34"/>
    <w:locked/>
    <w:rsid w:val="002363DA"/>
    <w:rPr>
      <w:rFonts w:ascii="Times New Roman" w:eastAsia="Times New Roman" w:hAnsi="Times New Roman" w:cs="Courier New"/>
      <w:sz w:val="20"/>
      <w:lang w:eastAsia="en-US"/>
    </w:rPr>
  </w:style>
  <w:style w:type="table" w:styleId="TableGrid">
    <w:name w:val="Table Grid"/>
    <w:basedOn w:val="TableNormal"/>
    <w:uiPriority w:val="39"/>
    <w:rsid w:val="00B64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qFormat/>
    <w:rsid w:val="00B64509"/>
    <w:pPr>
      <w:spacing w:after="120" w:line="360" w:lineRule="auto"/>
      <w:jc w:val="both"/>
    </w:pPr>
    <w:rPr>
      <w:rFonts w:ascii="Cambria" w:eastAsia="MS Mincho" w:hAnsi="Cambria"/>
    </w:rPr>
  </w:style>
  <w:style w:type="character" w:customStyle="1" w:styleId="FootnoteTextChar">
    <w:name w:val="Footnote Text Char"/>
    <w:basedOn w:val="DefaultParagraphFont"/>
    <w:link w:val="FootnoteText"/>
    <w:uiPriority w:val="99"/>
    <w:rsid w:val="00B64509"/>
    <w:rPr>
      <w:rFonts w:ascii="Cambria" w:eastAsia="MS Mincho" w:hAnsi="Cambria"/>
      <w:lang w:eastAsia="en-US"/>
    </w:rPr>
  </w:style>
  <w:style w:type="character" w:styleId="FootnoteReference">
    <w:name w:val="footnote reference"/>
    <w:uiPriority w:val="99"/>
    <w:unhideWhenUsed/>
    <w:qFormat/>
    <w:rsid w:val="00B64509"/>
    <w:rPr>
      <w:vertAlign w:val="superscript"/>
    </w:rPr>
  </w:style>
  <w:style w:type="paragraph" w:customStyle="1" w:styleId="Verdana">
    <w:name w:val="Verdana"/>
    <w:basedOn w:val="Normal"/>
    <w:rsid w:val="00B64509"/>
    <w:pPr>
      <w:suppressAutoHyphens/>
      <w:spacing w:after="120" w:line="360" w:lineRule="auto"/>
      <w:jc w:val="both"/>
    </w:pPr>
    <w:rPr>
      <w:rFonts w:ascii="Verdana" w:hAnsi="Verdana"/>
      <w:szCs w:val="20"/>
      <w:lang w:eastAsia="ar-SA"/>
    </w:rPr>
  </w:style>
  <w:style w:type="character" w:customStyle="1" w:styleId="apple-converted-space">
    <w:name w:val="apple-converted-space"/>
    <w:basedOn w:val="DefaultParagraphFont"/>
    <w:rsid w:val="00B64509"/>
  </w:style>
  <w:style w:type="character" w:styleId="Hyperlink">
    <w:name w:val="Hyperlink"/>
    <w:uiPriority w:val="99"/>
    <w:unhideWhenUsed/>
    <w:rsid w:val="00B64509"/>
    <w:rPr>
      <w:color w:val="0000FF"/>
      <w:u w:val="single"/>
    </w:rPr>
  </w:style>
  <w:style w:type="paragraph" w:styleId="Footer">
    <w:name w:val="footer"/>
    <w:basedOn w:val="Normal"/>
    <w:link w:val="FooterChar"/>
    <w:uiPriority w:val="99"/>
    <w:unhideWhenUsed/>
    <w:rsid w:val="00B64509"/>
    <w:pPr>
      <w:tabs>
        <w:tab w:val="center" w:pos="4320"/>
        <w:tab w:val="right" w:pos="8640"/>
      </w:tabs>
      <w:spacing w:after="120" w:line="360" w:lineRule="auto"/>
      <w:jc w:val="both"/>
    </w:pPr>
    <w:rPr>
      <w:rFonts w:eastAsia="MS Mincho"/>
      <w:lang w:eastAsia="ja-JP"/>
    </w:rPr>
  </w:style>
  <w:style w:type="character" w:customStyle="1" w:styleId="FooterChar">
    <w:name w:val="Footer Char"/>
    <w:basedOn w:val="DefaultParagraphFont"/>
    <w:link w:val="Footer"/>
    <w:uiPriority w:val="99"/>
    <w:rsid w:val="00B64509"/>
    <w:rPr>
      <w:rFonts w:ascii="Times New Roman" w:eastAsia="MS Mincho" w:hAnsi="Times New Roman"/>
    </w:rPr>
  </w:style>
  <w:style w:type="character" w:styleId="PageNumber">
    <w:name w:val="page number"/>
    <w:basedOn w:val="DefaultParagraphFont"/>
    <w:uiPriority w:val="99"/>
    <w:semiHidden/>
    <w:unhideWhenUsed/>
    <w:rsid w:val="00B64509"/>
  </w:style>
  <w:style w:type="paragraph" w:styleId="CommentText">
    <w:name w:val="annotation text"/>
    <w:basedOn w:val="Normal"/>
    <w:link w:val="CommentTextChar"/>
    <w:uiPriority w:val="99"/>
    <w:unhideWhenUsed/>
    <w:rsid w:val="00B64509"/>
    <w:pPr>
      <w:spacing w:after="120" w:line="360" w:lineRule="auto"/>
      <w:jc w:val="both"/>
    </w:pPr>
    <w:rPr>
      <w:rFonts w:eastAsia="MS Mincho"/>
      <w:lang w:eastAsia="ja-JP"/>
    </w:rPr>
  </w:style>
  <w:style w:type="character" w:customStyle="1" w:styleId="CommentTextChar">
    <w:name w:val="Comment Text Char"/>
    <w:basedOn w:val="DefaultParagraphFont"/>
    <w:link w:val="CommentText"/>
    <w:uiPriority w:val="99"/>
    <w:rsid w:val="00B64509"/>
    <w:rPr>
      <w:rFonts w:ascii="Times New Roman" w:eastAsia="MS Mincho" w:hAnsi="Times New Roman"/>
    </w:rPr>
  </w:style>
  <w:style w:type="character" w:customStyle="1" w:styleId="CommentSubjectChar">
    <w:name w:val="Comment Subject Char"/>
    <w:basedOn w:val="CommentTextChar"/>
    <w:link w:val="CommentSubject"/>
    <w:uiPriority w:val="99"/>
    <w:semiHidden/>
    <w:rsid w:val="00B64509"/>
    <w:rPr>
      <w:rFonts w:ascii="Times New Roman" w:eastAsia="MS Mincho" w:hAnsi="Times New Roman"/>
      <w:b/>
      <w:bCs/>
      <w:sz w:val="20"/>
      <w:szCs w:val="20"/>
    </w:rPr>
  </w:style>
  <w:style w:type="paragraph" w:styleId="CommentSubject">
    <w:name w:val="annotation subject"/>
    <w:basedOn w:val="CommentText"/>
    <w:next w:val="CommentText"/>
    <w:link w:val="CommentSubjectChar"/>
    <w:uiPriority w:val="99"/>
    <w:semiHidden/>
    <w:unhideWhenUsed/>
    <w:rsid w:val="00B64509"/>
    <w:rPr>
      <w:b/>
      <w:bCs/>
      <w:sz w:val="20"/>
      <w:szCs w:val="20"/>
    </w:rPr>
  </w:style>
  <w:style w:type="paragraph" w:styleId="Header">
    <w:name w:val="header"/>
    <w:basedOn w:val="Normal"/>
    <w:link w:val="HeaderChar"/>
    <w:uiPriority w:val="99"/>
    <w:unhideWhenUsed/>
    <w:rsid w:val="00B64509"/>
    <w:pPr>
      <w:tabs>
        <w:tab w:val="center" w:pos="4320"/>
        <w:tab w:val="right" w:pos="8640"/>
      </w:tabs>
      <w:spacing w:after="120" w:line="360" w:lineRule="auto"/>
      <w:jc w:val="both"/>
    </w:pPr>
    <w:rPr>
      <w:rFonts w:eastAsia="MS Mincho"/>
      <w:lang w:eastAsia="ja-JP"/>
    </w:rPr>
  </w:style>
  <w:style w:type="character" w:customStyle="1" w:styleId="HeaderChar">
    <w:name w:val="Header Char"/>
    <w:basedOn w:val="DefaultParagraphFont"/>
    <w:link w:val="Header"/>
    <w:uiPriority w:val="99"/>
    <w:rsid w:val="00B64509"/>
    <w:rPr>
      <w:rFonts w:ascii="Times New Roman" w:eastAsia="MS Mincho" w:hAnsi="Times New Roman"/>
    </w:rPr>
  </w:style>
  <w:style w:type="paragraph" w:styleId="PlainText">
    <w:name w:val="Plain Text"/>
    <w:basedOn w:val="Normal"/>
    <w:link w:val="PlainTextChar"/>
    <w:uiPriority w:val="99"/>
    <w:unhideWhenUsed/>
    <w:rsid w:val="00B64509"/>
    <w:pPr>
      <w:spacing w:after="120" w:line="360" w:lineRule="auto"/>
      <w:jc w:val="both"/>
    </w:pPr>
    <w:rPr>
      <w:rFonts w:ascii="Calibri" w:eastAsia="Cambria" w:hAnsi="Calibri"/>
      <w:sz w:val="22"/>
      <w:szCs w:val="21"/>
    </w:rPr>
  </w:style>
  <w:style w:type="character" w:customStyle="1" w:styleId="PlainTextChar">
    <w:name w:val="Plain Text Char"/>
    <w:basedOn w:val="DefaultParagraphFont"/>
    <w:link w:val="PlainText"/>
    <w:uiPriority w:val="99"/>
    <w:rsid w:val="00B64509"/>
    <w:rPr>
      <w:rFonts w:ascii="Calibri" w:eastAsia="Cambria" w:hAnsi="Calibri"/>
      <w:sz w:val="22"/>
      <w:szCs w:val="21"/>
      <w:lang w:eastAsia="en-US"/>
    </w:rPr>
  </w:style>
  <w:style w:type="character" w:styleId="Emphasis">
    <w:name w:val="Emphasis"/>
    <w:uiPriority w:val="20"/>
    <w:qFormat/>
    <w:rsid w:val="00B64509"/>
    <w:rPr>
      <w:i/>
      <w:iCs/>
    </w:rPr>
  </w:style>
  <w:style w:type="character" w:customStyle="1" w:styleId="BodyTextChar">
    <w:name w:val="Body Text Char"/>
    <w:basedOn w:val="DefaultParagraphFont"/>
    <w:link w:val="BodyText"/>
    <w:semiHidden/>
    <w:rsid w:val="00B64509"/>
    <w:rPr>
      <w:rFonts w:ascii="Times New Roman" w:eastAsia="Times New Roman" w:hAnsi="Times New Roman"/>
      <w:color w:val="000000"/>
      <w:lang w:val="en-CA" w:eastAsia="en-US"/>
    </w:rPr>
  </w:style>
  <w:style w:type="paragraph" w:styleId="BodyText">
    <w:name w:val="Body Text"/>
    <w:basedOn w:val="Normal"/>
    <w:link w:val="BodyTextChar"/>
    <w:semiHidden/>
    <w:rsid w:val="00B64509"/>
    <w:pPr>
      <w:spacing w:after="120" w:line="360" w:lineRule="auto"/>
      <w:ind w:right="-181"/>
      <w:jc w:val="both"/>
    </w:pPr>
    <w:rPr>
      <w:color w:val="000000"/>
    </w:rPr>
  </w:style>
  <w:style w:type="character" w:styleId="Strong">
    <w:name w:val="Strong"/>
    <w:uiPriority w:val="22"/>
    <w:qFormat/>
    <w:rsid w:val="00B64509"/>
    <w:rPr>
      <w:b/>
      <w:bCs/>
    </w:rPr>
  </w:style>
  <w:style w:type="character" w:styleId="HTMLCite">
    <w:name w:val="HTML Cite"/>
    <w:uiPriority w:val="99"/>
    <w:semiHidden/>
    <w:unhideWhenUsed/>
    <w:rsid w:val="00B64509"/>
    <w:rPr>
      <w:i/>
      <w:iCs/>
    </w:rPr>
  </w:style>
  <w:style w:type="paragraph" w:customStyle="1" w:styleId="EndNoteBibliographyTitle">
    <w:name w:val="EndNote Bibliography Title"/>
    <w:basedOn w:val="Normal"/>
    <w:link w:val="EndNoteBibliographyTitleZchn"/>
    <w:rsid w:val="00B64509"/>
    <w:pPr>
      <w:spacing w:after="120" w:line="360" w:lineRule="auto"/>
      <w:jc w:val="center"/>
    </w:pPr>
    <w:rPr>
      <w:rFonts w:eastAsia="MS Mincho" w:cs="Arial"/>
      <w:noProof/>
      <w:lang w:eastAsia="ja-JP"/>
    </w:rPr>
  </w:style>
  <w:style w:type="character" w:customStyle="1" w:styleId="EndNoteBibliographyTitleZchn">
    <w:name w:val="EndNote Bibliography Title Zchn"/>
    <w:link w:val="EndNoteBibliographyTitle"/>
    <w:rsid w:val="00B64509"/>
    <w:rPr>
      <w:rFonts w:ascii="Times New Roman" w:eastAsia="MS Mincho" w:hAnsi="Times New Roman" w:cs="Arial"/>
      <w:noProof/>
    </w:rPr>
  </w:style>
  <w:style w:type="paragraph" w:customStyle="1" w:styleId="EndNoteBibliography">
    <w:name w:val="EndNote Bibliography"/>
    <w:basedOn w:val="Normal"/>
    <w:link w:val="EndNoteBibliographyZchn"/>
    <w:rsid w:val="00B64509"/>
    <w:pPr>
      <w:spacing w:after="120" w:line="360" w:lineRule="auto"/>
      <w:jc w:val="both"/>
    </w:pPr>
    <w:rPr>
      <w:rFonts w:eastAsia="MS Mincho" w:cs="Arial"/>
      <w:noProof/>
      <w:lang w:eastAsia="ja-JP"/>
    </w:rPr>
  </w:style>
  <w:style w:type="character" w:customStyle="1" w:styleId="EndNoteBibliographyZchn">
    <w:name w:val="EndNote Bibliography Zchn"/>
    <w:link w:val="EndNoteBibliography"/>
    <w:rsid w:val="00B64509"/>
    <w:rPr>
      <w:rFonts w:ascii="Times New Roman" w:eastAsia="MS Mincho" w:hAnsi="Times New Roman" w:cs="Arial"/>
      <w:noProof/>
    </w:rPr>
  </w:style>
  <w:style w:type="character" w:styleId="BookTitle">
    <w:name w:val="Book Title"/>
    <w:uiPriority w:val="33"/>
    <w:qFormat/>
    <w:rsid w:val="00B64509"/>
    <w:rPr>
      <w:b/>
      <w:bCs/>
      <w:smallCaps/>
      <w:spacing w:val="5"/>
    </w:rPr>
  </w:style>
  <w:style w:type="paragraph" w:styleId="IntenseQuote">
    <w:name w:val="Intense Quote"/>
    <w:basedOn w:val="Normal"/>
    <w:next w:val="Normal"/>
    <w:link w:val="IntenseQuoteChar"/>
    <w:uiPriority w:val="30"/>
    <w:qFormat/>
    <w:rsid w:val="00B64509"/>
    <w:pPr>
      <w:pBdr>
        <w:bottom w:val="single" w:sz="4" w:space="4" w:color="4F81BD"/>
      </w:pBdr>
      <w:spacing w:before="200" w:after="280" w:line="360" w:lineRule="auto"/>
      <w:ind w:left="936" w:right="936"/>
      <w:jc w:val="both"/>
    </w:pPr>
    <w:rPr>
      <w:rFonts w:eastAsia="MS Mincho"/>
      <w:b/>
      <w:bCs/>
      <w:i/>
      <w:iCs/>
      <w:color w:val="4F81BD"/>
      <w:lang w:eastAsia="ja-JP"/>
    </w:rPr>
  </w:style>
  <w:style w:type="character" w:customStyle="1" w:styleId="IntenseQuoteChar">
    <w:name w:val="Intense Quote Char"/>
    <w:basedOn w:val="DefaultParagraphFont"/>
    <w:link w:val="IntenseQuote"/>
    <w:uiPriority w:val="30"/>
    <w:rsid w:val="00B64509"/>
    <w:rPr>
      <w:rFonts w:ascii="Times New Roman" w:eastAsia="MS Mincho" w:hAnsi="Times New Roman"/>
      <w:b/>
      <w:bCs/>
      <w:i/>
      <w:iCs/>
      <w:color w:val="4F81BD"/>
    </w:rPr>
  </w:style>
  <w:style w:type="paragraph" w:styleId="Quote">
    <w:name w:val="Quote"/>
    <w:basedOn w:val="Normal"/>
    <w:next w:val="Normal"/>
    <w:link w:val="QuoteChar"/>
    <w:uiPriority w:val="29"/>
    <w:qFormat/>
    <w:rsid w:val="00B64509"/>
    <w:pPr>
      <w:spacing w:after="120" w:line="360" w:lineRule="auto"/>
      <w:ind w:left="284" w:right="284"/>
      <w:jc w:val="both"/>
    </w:pPr>
    <w:rPr>
      <w:rFonts w:eastAsia="MS Mincho"/>
      <w:iCs/>
      <w:color w:val="000000"/>
      <w:lang w:eastAsia="ja-JP"/>
    </w:rPr>
  </w:style>
  <w:style w:type="character" w:customStyle="1" w:styleId="QuoteChar">
    <w:name w:val="Quote Char"/>
    <w:basedOn w:val="DefaultParagraphFont"/>
    <w:link w:val="Quote"/>
    <w:uiPriority w:val="29"/>
    <w:rsid w:val="00B64509"/>
    <w:rPr>
      <w:rFonts w:ascii="Times New Roman" w:eastAsia="MS Mincho" w:hAnsi="Times New Roman"/>
      <w:iCs/>
      <w:color w:val="000000"/>
    </w:rPr>
  </w:style>
  <w:style w:type="character" w:customStyle="1" w:styleId="articlecitationvolume">
    <w:name w:val="articlecitation_volume"/>
    <w:basedOn w:val="DefaultParagraphFont"/>
    <w:rsid w:val="00B64509"/>
  </w:style>
  <w:style w:type="character" w:customStyle="1" w:styleId="articlecitationpages">
    <w:name w:val="articlecitation_pages"/>
    <w:basedOn w:val="DefaultParagraphFont"/>
    <w:rsid w:val="00B64509"/>
  </w:style>
  <w:style w:type="character" w:styleId="CommentReference">
    <w:name w:val="annotation reference"/>
    <w:basedOn w:val="DefaultParagraphFont"/>
    <w:uiPriority w:val="99"/>
    <w:semiHidden/>
    <w:unhideWhenUsed/>
    <w:rsid w:val="00A831FC"/>
    <w:rPr>
      <w:sz w:val="18"/>
      <w:szCs w:val="18"/>
    </w:rPr>
  </w:style>
  <w:style w:type="paragraph" w:styleId="NormalWeb">
    <w:name w:val="Normal (Web)"/>
    <w:basedOn w:val="Normal"/>
    <w:uiPriority w:val="99"/>
    <w:rsid w:val="00DC2F5A"/>
    <w:pPr>
      <w:autoSpaceDE w:val="0"/>
      <w:autoSpaceDN w:val="0"/>
      <w:adjustRightInd w:val="0"/>
      <w:spacing w:before="100" w:beforeAutospacing="1" w:after="100" w:afterAutospacing="1" w:line="480" w:lineRule="auto"/>
      <w:ind w:firstLine="720"/>
      <w:jc w:val="both"/>
    </w:pPr>
  </w:style>
  <w:style w:type="paragraph" w:styleId="TOC8">
    <w:name w:val="toc 8"/>
    <w:basedOn w:val="Normal"/>
    <w:next w:val="Normal"/>
    <w:autoRedefine/>
    <w:rsid w:val="00DC2F5A"/>
    <w:pPr>
      <w:autoSpaceDE w:val="0"/>
      <w:autoSpaceDN w:val="0"/>
      <w:adjustRightInd w:val="0"/>
      <w:spacing w:after="100" w:line="480" w:lineRule="auto"/>
      <w:ind w:left="1680" w:firstLine="720"/>
      <w:jc w:val="both"/>
    </w:pPr>
    <w:rPr>
      <w:rFonts w:ascii="Calibri" w:hAnsi="Calibri"/>
      <w:sz w:val="18"/>
      <w:szCs w:val="18"/>
    </w:rPr>
  </w:style>
  <w:style w:type="character" w:styleId="EndnoteReference">
    <w:name w:val="endnote reference"/>
    <w:basedOn w:val="DefaultParagraphFont"/>
    <w:uiPriority w:val="99"/>
    <w:unhideWhenUsed/>
    <w:rsid w:val="00EC297D"/>
    <w:rPr>
      <w:vertAlign w:val="superscript"/>
    </w:rPr>
  </w:style>
  <w:style w:type="paragraph" w:styleId="Revision">
    <w:name w:val="Revision"/>
    <w:hidden/>
    <w:uiPriority w:val="99"/>
    <w:semiHidden/>
    <w:rsid w:val="00B36930"/>
    <w:rPr>
      <w:rFonts w:ascii="Times New Roman" w:eastAsia="Times New Roman" w:hAnsi="Times New Roman" w:cs="Courier New"/>
      <w:sz w:val="20"/>
      <w:lang w:eastAsia="en-US"/>
    </w:rPr>
  </w:style>
  <w:style w:type="character" w:styleId="FollowedHyperlink">
    <w:name w:val="FollowedHyperlink"/>
    <w:basedOn w:val="DefaultParagraphFont"/>
    <w:uiPriority w:val="99"/>
    <w:semiHidden/>
    <w:unhideWhenUsed/>
    <w:rsid w:val="00BE311A"/>
    <w:rPr>
      <w:color w:val="800080" w:themeColor="followedHyperlink"/>
      <w:u w:val="single"/>
    </w:rPr>
  </w:style>
  <w:style w:type="paragraph" w:customStyle="1" w:styleId="Default">
    <w:name w:val="Default"/>
    <w:rsid w:val="002C1A2A"/>
    <w:pPr>
      <w:autoSpaceDE w:val="0"/>
      <w:autoSpaceDN w:val="0"/>
      <w:adjustRightInd w:val="0"/>
    </w:pPr>
    <w:rPr>
      <w:rFonts w:ascii="Roboto" w:hAnsi="Roboto" w:cs="Roboto"/>
      <w:color w:val="000000"/>
    </w:rPr>
  </w:style>
  <w:style w:type="character" w:customStyle="1" w:styleId="A6">
    <w:name w:val="A6"/>
    <w:uiPriority w:val="99"/>
    <w:rsid w:val="002C1A2A"/>
    <w:rPr>
      <w:rFonts w:ascii="Roboto Black" w:hAnsi="Roboto Black" w:cs="Roboto Black"/>
      <w:b/>
      <w:bCs/>
      <w:color w:val="000000"/>
      <w:sz w:val="26"/>
      <w:szCs w:val="26"/>
    </w:rPr>
  </w:style>
  <w:style w:type="character" w:customStyle="1" w:styleId="UnresolvedMention1">
    <w:name w:val="Unresolved Mention1"/>
    <w:basedOn w:val="DefaultParagraphFont"/>
    <w:uiPriority w:val="99"/>
    <w:semiHidden/>
    <w:unhideWhenUsed/>
    <w:rsid w:val="00BC315F"/>
    <w:rPr>
      <w:color w:val="605E5C"/>
      <w:shd w:val="clear" w:color="auto" w:fill="E1DFDD"/>
    </w:rPr>
  </w:style>
  <w:style w:type="paragraph" w:customStyle="1" w:styleId="Pa15">
    <w:name w:val="Pa15"/>
    <w:basedOn w:val="Default"/>
    <w:next w:val="Default"/>
    <w:uiPriority w:val="99"/>
    <w:rsid w:val="00B162FF"/>
    <w:pPr>
      <w:spacing w:line="241" w:lineRule="atLeast"/>
    </w:pPr>
    <w:rPr>
      <w:rFonts w:ascii="Oxfam TSTAR PRO Headline" w:hAnsi="Oxfam TSTAR PRO Headline" w:cs="Times New Roman"/>
      <w:color w:val="auto"/>
    </w:rPr>
  </w:style>
  <w:style w:type="character" w:customStyle="1" w:styleId="A7">
    <w:name w:val="A7"/>
    <w:uiPriority w:val="99"/>
    <w:rsid w:val="00B162FF"/>
    <w:rPr>
      <w:rFonts w:ascii="Oxfam TSTAR PRO" w:hAnsi="Oxfam TSTAR PRO" w:cs="Oxfam TSTAR PRO"/>
      <w:color w:val="000000"/>
      <w:sz w:val="11"/>
      <w:szCs w:val="11"/>
    </w:rPr>
  </w:style>
  <w:style w:type="paragraph" w:customStyle="1" w:styleId="Pa0">
    <w:name w:val="Pa0"/>
    <w:basedOn w:val="Default"/>
    <w:next w:val="Default"/>
    <w:uiPriority w:val="99"/>
    <w:rsid w:val="00B162FF"/>
    <w:pPr>
      <w:spacing w:line="201" w:lineRule="atLeast"/>
    </w:pPr>
    <w:rPr>
      <w:rFonts w:ascii="Oxfam TSTAR PRO Headline" w:hAnsi="Oxfam TSTAR PRO Headline" w:cs="Times New Roman"/>
      <w:color w:val="auto"/>
    </w:rPr>
  </w:style>
  <w:style w:type="character" w:customStyle="1" w:styleId="websearch-marked">
    <w:name w:val="web_search-marked"/>
    <w:basedOn w:val="DefaultParagraphFont"/>
    <w:rsid w:val="00835C07"/>
  </w:style>
  <w:style w:type="paragraph" w:customStyle="1" w:styleId="Pa1">
    <w:name w:val="Pa1"/>
    <w:basedOn w:val="Default"/>
    <w:next w:val="Default"/>
    <w:uiPriority w:val="99"/>
    <w:rsid w:val="004E6BC4"/>
    <w:pPr>
      <w:spacing w:line="161" w:lineRule="atLeast"/>
    </w:pPr>
    <w:rPr>
      <w:rFonts w:ascii="Open Sans" w:hAnsi="Open Sans" w:cs="Times New Roman"/>
      <w:color w:val="auto"/>
    </w:rPr>
  </w:style>
  <w:style w:type="character" w:customStyle="1" w:styleId="A2">
    <w:name w:val="A2"/>
    <w:uiPriority w:val="99"/>
    <w:rsid w:val="004E6BC4"/>
    <w:rPr>
      <w:rFonts w:cs="Open Sans"/>
      <w:color w:val="000000"/>
      <w:sz w:val="14"/>
      <w:szCs w:val="14"/>
    </w:rPr>
  </w:style>
  <w:style w:type="character" w:customStyle="1" w:styleId="A8">
    <w:name w:val="A8"/>
    <w:uiPriority w:val="99"/>
    <w:rsid w:val="0030102B"/>
    <w:rPr>
      <w:rFonts w:cs="Open Sans"/>
      <w:color w:val="000000"/>
      <w:sz w:val="9"/>
      <w:szCs w:val="9"/>
    </w:rPr>
  </w:style>
  <w:style w:type="character" w:customStyle="1" w:styleId="c-bibliographic-informationvalue">
    <w:name w:val="c-bibliographic-information__value"/>
    <w:basedOn w:val="DefaultParagraphFont"/>
    <w:rsid w:val="00EE18FD"/>
  </w:style>
  <w:style w:type="character" w:customStyle="1" w:styleId="doilabel">
    <w:name w:val="doi__label"/>
    <w:basedOn w:val="DefaultParagraphFont"/>
    <w:rsid w:val="00EE18FD"/>
  </w:style>
  <w:style w:type="character" w:customStyle="1" w:styleId="doilink">
    <w:name w:val="doi_link"/>
    <w:basedOn w:val="DefaultParagraphFont"/>
    <w:rsid w:val="00EE18FD"/>
  </w:style>
  <w:style w:type="character" w:customStyle="1" w:styleId="h2">
    <w:name w:val="h2"/>
    <w:basedOn w:val="DefaultParagraphFont"/>
    <w:rsid w:val="00EE1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601">
      <w:bodyDiv w:val="1"/>
      <w:marLeft w:val="0"/>
      <w:marRight w:val="0"/>
      <w:marTop w:val="0"/>
      <w:marBottom w:val="0"/>
      <w:divBdr>
        <w:top w:val="none" w:sz="0" w:space="0" w:color="auto"/>
        <w:left w:val="none" w:sz="0" w:space="0" w:color="auto"/>
        <w:bottom w:val="none" w:sz="0" w:space="0" w:color="auto"/>
        <w:right w:val="none" w:sz="0" w:space="0" w:color="auto"/>
      </w:divBdr>
      <w:divsChild>
        <w:div w:id="1338731594">
          <w:marLeft w:val="0"/>
          <w:marRight w:val="0"/>
          <w:marTop w:val="0"/>
          <w:marBottom w:val="0"/>
          <w:divBdr>
            <w:top w:val="none" w:sz="0" w:space="0" w:color="auto"/>
            <w:left w:val="none" w:sz="0" w:space="0" w:color="auto"/>
            <w:bottom w:val="none" w:sz="0" w:space="0" w:color="auto"/>
            <w:right w:val="none" w:sz="0" w:space="0" w:color="auto"/>
          </w:divBdr>
          <w:divsChild>
            <w:div w:id="1224831736">
              <w:marLeft w:val="0"/>
              <w:marRight w:val="0"/>
              <w:marTop w:val="0"/>
              <w:marBottom w:val="0"/>
              <w:divBdr>
                <w:top w:val="none" w:sz="0" w:space="0" w:color="auto"/>
                <w:left w:val="none" w:sz="0" w:space="0" w:color="auto"/>
                <w:bottom w:val="none" w:sz="0" w:space="0" w:color="auto"/>
                <w:right w:val="none" w:sz="0" w:space="0" w:color="auto"/>
              </w:divBdr>
              <w:divsChild>
                <w:div w:id="14892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0556">
      <w:bodyDiv w:val="1"/>
      <w:marLeft w:val="0"/>
      <w:marRight w:val="0"/>
      <w:marTop w:val="0"/>
      <w:marBottom w:val="0"/>
      <w:divBdr>
        <w:top w:val="none" w:sz="0" w:space="0" w:color="auto"/>
        <w:left w:val="none" w:sz="0" w:space="0" w:color="auto"/>
        <w:bottom w:val="none" w:sz="0" w:space="0" w:color="auto"/>
        <w:right w:val="none" w:sz="0" w:space="0" w:color="auto"/>
      </w:divBdr>
    </w:div>
    <w:div w:id="25914121">
      <w:bodyDiv w:val="1"/>
      <w:marLeft w:val="0"/>
      <w:marRight w:val="0"/>
      <w:marTop w:val="0"/>
      <w:marBottom w:val="0"/>
      <w:divBdr>
        <w:top w:val="none" w:sz="0" w:space="0" w:color="auto"/>
        <w:left w:val="none" w:sz="0" w:space="0" w:color="auto"/>
        <w:bottom w:val="none" w:sz="0" w:space="0" w:color="auto"/>
        <w:right w:val="none" w:sz="0" w:space="0" w:color="auto"/>
      </w:divBdr>
    </w:div>
    <w:div w:id="47537358">
      <w:bodyDiv w:val="1"/>
      <w:marLeft w:val="0"/>
      <w:marRight w:val="0"/>
      <w:marTop w:val="0"/>
      <w:marBottom w:val="0"/>
      <w:divBdr>
        <w:top w:val="none" w:sz="0" w:space="0" w:color="auto"/>
        <w:left w:val="none" w:sz="0" w:space="0" w:color="auto"/>
        <w:bottom w:val="none" w:sz="0" w:space="0" w:color="auto"/>
        <w:right w:val="none" w:sz="0" w:space="0" w:color="auto"/>
      </w:divBdr>
    </w:div>
    <w:div w:id="60950882">
      <w:bodyDiv w:val="1"/>
      <w:marLeft w:val="0"/>
      <w:marRight w:val="0"/>
      <w:marTop w:val="0"/>
      <w:marBottom w:val="0"/>
      <w:divBdr>
        <w:top w:val="none" w:sz="0" w:space="0" w:color="auto"/>
        <w:left w:val="none" w:sz="0" w:space="0" w:color="auto"/>
        <w:bottom w:val="none" w:sz="0" w:space="0" w:color="auto"/>
        <w:right w:val="none" w:sz="0" w:space="0" w:color="auto"/>
      </w:divBdr>
    </w:div>
    <w:div w:id="76488397">
      <w:bodyDiv w:val="1"/>
      <w:marLeft w:val="0"/>
      <w:marRight w:val="0"/>
      <w:marTop w:val="0"/>
      <w:marBottom w:val="0"/>
      <w:divBdr>
        <w:top w:val="none" w:sz="0" w:space="0" w:color="auto"/>
        <w:left w:val="none" w:sz="0" w:space="0" w:color="auto"/>
        <w:bottom w:val="none" w:sz="0" w:space="0" w:color="auto"/>
        <w:right w:val="none" w:sz="0" w:space="0" w:color="auto"/>
      </w:divBdr>
    </w:div>
    <w:div w:id="106894183">
      <w:bodyDiv w:val="1"/>
      <w:marLeft w:val="0"/>
      <w:marRight w:val="0"/>
      <w:marTop w:val="0"/>
      <w:marBottom w:val="0"/>
      <w:divBdr>
        <w:top w:val="none" w:sz="0" w:space="0" w:color="auto"/>
        <w:left w:val="none" w:sz="0" w:space="0" w:color="auto"/>
        <w:bottom w:val="none" w:sz="0" w:space="0" w:color="auto"/>
        <w:right w:val="none" w:sz="0" w:space="0" w:color="auto"/>
      </w:divBdr>
    </w:div>
    <w:div w:id="107117581">
      <w:bodyDiv w:val="1"/>
      <w:marLeft w:val="0"/>
      <w:marRight w:val="0"/>
      <w:marTop w:val="0"/>
      <w:marBottom w:val="0"/>
      <w:divBdr>
        <w:top w:val="none" w:sz="0" w:space="0" w:color="auto"/>
        <w:left w:val="none" w:sz="0" w:space="0" w:color="auto"/>
        <w:bottom w:val="none" w:sz="0" w:space="0" w:color="auto"/>
        <w:right w:val="none" w:sz="0" w:space="0" w:color="auto"/>
      </w:divBdr>
    </w:div>
    <w:div w:id="124128868">
      <w:bodyDiv w:val="1"/>
      <w:marLeft w:val="0"/>
      <w:marRight w:val="0"/>
      <w:marTop w:val="0"/>
      <w:marBottom w:val="0"/>
      <w:divBdr>
        <w:top w:val="none" w:sz="0" w:space="0" w:color="auto"/>
        <w:left w:val="none" w:sz="0" w:space="0" w:color="auto"/>
        <w:bottom w:val="none" w:sz="0" w:space="0" w:color="auto"/>
        <w:right w:val="none" w:sz="0" w:space="0" w:color="auto"/>
      </w:divBdr>
    </w:div>
    <w:div w:id="126626117">
      <w:bodyDiv w:val="1"/>
      <w:marLeft w:val="0"/>
      <w:marRight w:val="0"/>
      <w:marTop w:val="0"/>
      <w:marBottom w:val="0"/>
      <w:divBdr>
        <w:top w:val="none" w:sz="0" w:space="0" w:color="auto"/>
        <w:left w:val="none" w:sz="0" w:space="0" w:color="auto"/>
        <w:bottom w:val="none" w:sz="0" w:space="0" w:color="auto"/>
        <w:right w:val="none" w:sz="0" w:space="0" w:color="auto"/>
      </w:divBdr>
    </w:div>
    <w:div w:id="140974058">
      <w:bodyDiv w:val="1"/>
      <w:marLeft w:val="0"/>
      <w:marRight w:val="0"/>
      <w:marTop w:val="0"/>
      <w:marBottom w:val="0"/>
      <w:divBdr>
        <w:top w:val="none" w:sz="0" w:space="0" w:color="auto"/>
        <w:left w:val="none" w:sz="0" w:space="0" w:color="auto"/>
        <w:bottom w:val="none" w:sz="0" w:space="0" w:color="auto"/>
        <w:right w:val="none" w:sz="0" w:space="0" w:color="auto"/>
      </w:divBdr>
    </w:div>
    <w:div w:id="155848052">
      <w:bodyDiv w:val="1"/>
      <w:marLeft w:val="0"/>
      <w:marRight w:val="0"/>
      <w:marTop w:val="0"/>
      <w:marBottom w:val="0"/>
      <w:divBdr>
        <w:top w:val="none" w:sz="0" w:space="0" w:color="auto"/>
        <w:left w:val="none" w:sz="0" w:space="0" w:color="auto"/>
        <w:bottom w:val="none" w:sz="0" w:space="0" w:color="auto"/>
        <w:right w:val="none" w:sz="0" w:space="0" w:color="auto"/>
      </w:divBdr>
    </w:div>
    <w:div w:id="167912087">
      <w:bodyDiv w:val="1"/>
      <w:marLeft w:val="0"/>
      <w:marRight w:val="0"/>
      <w:marTop w:val="0"/>
      <w:marBottom w:val="0"/>
      <w:divBdr>
        <w:top w:val="none" w:sz="0" w:space="0" w:color="auto"/>
        <w:left w:val="none" w:sz="0" w:space="0" w:color="auto"/>
        <w:bottom w:val="none" w:sz="0" w:space="0" w:color="auto"/>
        <w:right w:val="none" w:sz="0" w:space="0" w:color="auto"/>
      </w:divBdr>
    </w:div>
    <w:div w:id="223761667">
      <w:bodyDiv w:val="1"/>
      <w:marLeft w:val="0"/>
      <w:marRight w:val="0"/>
      <w:marTop w:val="0"/>
      <w:marBottom w:val="0"/>
      <w:divBdr>
        <w:top w:val="none" w:sz="0" w:space="0" w:color="auto"/>
        <w:left w:val="none" w:sz="0" w:space="0" w:color="auto"/>
        <w:bottom w:val="none" w:sz="0" w:space="0" w:color="auto"/>
        <w:right w:val="none" w:sz="0" w:space="0" w:color="auto"/>
      </w:divBdr>
    </w:div>
    <w:div w:id="224535638">
      <w:bodyDiv w:val="1"/>
      <w:marLeft w:val="0"/>
      <w:marRight w:val="0"/>
      <w:marTop w:val="0"/>
      <w:marBottom w:val="0"/>
      <w:divBdr>
        <w:top w:val="none" w:sz="0" w:space="0" w:color="auto"/>
        <w:left w:val="none" w:sz="0" w:space="0" w:color="auto"/>
        <w:bottom w:val="none" w:sz="0" w:space="0" w:color="auto"/>
        <w:right w:val="none" w:sz="0" w:space="0" w:color="auto"/>
      </w:divBdr>
    </w:div>
    <w:div w:id="233010165">
      <w:bodyDiv w:val="1"/>
      <w:marLeft w:val="0"/>
      <w:marRight w:val="0"/>
      <w:marTop w:val="0"/>
      <w:marBottom w:val="0"/>
      <w:divBdr>
        <w:top w:val="none" w:sz="0" w:space="0" w:color="auto"/>
        <w:left w:val="none" w:sz="0" w:space="0" w:color="auto"/>
        <w:bottom w:val="none" w:sz="0" w:space="0" w:color="auto"/>
        <w:right w:val="none" w:sz="0" w:space="0" w:color="auto"/>
      </w:divBdr>
    </w:div>
    <w:div w:id="283075193">
      <w:bodyDiv w:val="1"/>
      <w:marLeft w:val="0"/>
      <w:marRight w:val="0"/>
      <w:marTop w:val="0"/>
      <w:marBottom w:val="0"/>
      <w:divBdr>
        <w:top w:val="none" w:sz="0" w:space="0" w:color="auto"/>
        <w:left w:val="none" w:sz="0" w:space="0" w:color="auto"/>
        <w:bottom w:val="none" w:sz="0" w:space="0" w:color="auto"/>
        <w:right w:val="none" w:sz="0" w:space="0" w:color="auto"/>
      </w:divBdr>
      <w:divsChild>
        <w:div w:id="316227692">
          <w:marLeft w:val="0"/>
          <w:marRight w:val="0"/>
          <w:marTop w:val="0"/>
          <w:marBottom w:val="120"/>
          <w:divBdr>
            <w:top w:val="none" w:sz="0" w:space="0" w:color="auto"/>
            <w:left w:val="none" w:sz="0" w:space="0" w:color="auto"/>
            <w:bottom w:val="none" w:sz="0" w:space="0" w:color="auto"/>
            <w:right w:val="none" w:sz="0" w:space="0" w:color="auto"/>
          </w:divBdr>
          <w:divsChild>
            <w:div w:id="869033301">
              <w:marLeft w:val="0"/>
              <w:marRight w:val="0"/>
              <w:marTop w:val="0"/>
              <w:marBottom w:val="0"/>
              <w:divBdr>
                <w:top w:val="none" w:sz="0" w:space="0" w:color="auto"/>
                <w:left w:val="none" w:sz="0" w:space="0" w:color="auto"/>
                <w:bottom w:val="none" w:sz="0" w:space="0" w:color="auto"/>
                <w:right w:val="none" w:sz="0" w:space="0" w:color="auto"/>
              </w:divBdr>
              <w:divsChild>
                <w:div w:id="768893603">
                  <w:marLeft w:val="0"/>
                  <w:marRight w:val="0"/>
                  <w:marTop w:val="0"/>
                  <w:marBottom w:val="0"/>
                  <w:divBdr>
                    <w:top w:val="none" w:sz="0" w:space="0" w:color="auto"/>
                    <w:left w:val="none" w:sz="0" w:space="0" w:color="auto"/>
                    <w:bottom w:val="none" w:sz="0" w:space="0" w:color="auto"/>
                    <w:right w:val="none" w:sz="0" w:space="0" w:color="auto"/>
                  </w:divBdr>
                  <w:divsChild>
                    <w:div w:id="17535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3981">
          <w:marLeft w:val="0"/>
          <w:marRight w:val="0"/>
          <w:marTop w:val="0"/>
          <w:marBottom w:val="0"/>
          <w:divBdr>
            <w:top w:val="none" w:sz="0" w:space="0" w:color="auto"/>
            <w:left w:val="none" w:sz="0" w:space="0" w:color="auto"/>
            <w:bottom w:val="none" w:sz="0" w:space="0" w:color="auto"/>
            <w:right w:val="none" w:sz="0" w:space="0" w:color="auto"/>
          </w:divBdr>
        </w:div>
        <w:div w:id="1883204333">
          <w:marLeft w:val="0"/>
          <w:marRight w:val="0"/>
          <w:marTop w:val="0"/>
          <w:marBottom w:val="135"/>
          <w:divBdr>
            <w:top w:val="none" w:sz="0" w:space="0" w:color="auto"/>
            <w:left w:val="none" w:sz="0" w:space="0" w:color="auto"/>
            <w:bottom w:val="single" w:sz="12" w:space="9" w:color="EBEBEB"/>
            <w:right w:val="none" w:sz="0" w:space="0" w:color="auto"/>
          </w:divBdr>
          <w:divsChild>
            <w:div w:id="14587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4291">
      <w:bodyDiv w:val="1"/>
      <w:marLeft w:val="0"/>
      <w:marRight w:val="0"/>
      <w:marTop w:val="0"/>
      <w:marBottom w:val="0"/>
      <w:divBdr>
        <w:top w:val="none" w:sz="0" w:space="0" w:color="auto"/>
        <w:left w:val="none" w:sz="0" w:space="0" w:color="auto"/>
        <w:bottom w:val="none" w:sz="0" w:space="0" w:color="auto"/>
        <w:right w:val="none" w:sz="0" w:space="0" w:color="auto"/>
      </w:divBdr>
      <w:divsChild>
        <w:div w:id="1921989116">
          <w:marLeft w:val="0"/>
          <w:marRight w:val="0"/>
          <w:marTop w:val="0"/>
          <w:marBottom w:val="0"/>
          <w:divBdr>
            <w:top w:val="none" w:sz="0" w:space="0" w:color="auto"/>
            <w:left w:val="none" w:sz="0" w:space="0" w:color="auto"/>
            <w:bottom w:val="none" w:sz="0" w:space="0" w:color="auto"/>
            <w:right w:val="none" w:sz="0" w:space="0" w:color="auto"/>
          </w:divBdr>
          <w:divsChild>
            <w:div w:id="661661291">
              <w:marLeft w:val="0"/>
              <w:marRight w:val="0"/>
              <w:marTop w:val="0"/>
              <w:marBottom w:val="0"/>
              <w:divBdr>
                <w:top w:val="none" w:sz="0" w:space="0" w:color="auto"/>
                <w:left w:val="none" w:sz="0" w:space="0" w:color="auto"/>
                <w:bottom w:val="none" w:sz="0" w:space="0" w:color="auto"/>
                <w:right w:val="none" w:sz="0" w:space="0" w:color="auto"/>
              </w:divBdr>
              <w:divsChild>
                <w:div w:id="5320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40989">
      <w:bodyDiv w:val="1"/>
      <w:marLeft w:val="0"/>
      <w:marRight w:val="0"/>
      <w:marTop w:val="0"/>
      <w:marBottom w:val="0"/>
      <w:divBdr>
        <w:top w:val="none" w:sz="0" w:space="0" w:color="auto"/>
        <w:left w:val="none" w:sz="0" w:space="0" w:color="auto"/>
        <w:bottom w:val="none" w:sz="0" w:space="0" w:color="auto"/>
        <w:right w:val="none" w:sz="0" w:space="0" w:color="auto"/>
      </w:divBdr>
    </w:div>
    <w:div w:id="365178040">
      <w:bodyDiv w:val="1"/>
      <w:marLeft w:val="0"/>
      <w:marRight w:val="0"/>
      <w:marTop w:val="0"/>
      <w:marBottom w:val="0"/>
      <w:divBdr>
        <w:top w:val="none" w:sz="0" w:space="0" w:color="auto"/>
        <w:left w:val="none" w:sz="0" w:space="0" w:color="auto"/>
        <w:bottom w:val="none" w:sz="0" w:space="0" w:color="auto"/>
        <w:right w:val="none" w:sz="0" w:space="0" w:color="auto"/>
      </w:divBdr>
    </w:div>
    <w:div w:id="405881517">
      <w:bodyDiv w:val="1"/>
      <w:marLeft w:val="0"/>
      <w:marRight w:val="0"/>
      <w:marTop w:val="0"/>
      <w:marBottom w:val="0"/>
      <w:divBdr>
        <w:top w:val="none" w:sz="0" w:space="0" w:color="auto"/>
        <w:left w:val="none" w:sz="0" w:space="0" w:color="auto"/>
        <w:bottom w:val="none" w:sz="0" w:space="0" w:color="auto"/>
        <w:right w:val="none" w:sz="0" w:space="0" w:color="auto"/>
      </w:divBdr>
      <w:divsChild>
        <w:div w:id="179904156">
          <w:marLeft w:val="0"/>
          <w:marRight w:val="0"/>
          <w:marTop w:val="0"/>
          <w:marBottom w:val="0"/>
          <w:divBdr>
            <w:top w:val="none" w:sz="0" w:space="0" w:color="auto"/>
            <w:left w:val="none" w:sz="0" w:space="0" w:color="auto"/>
            <w:bottom w:val="none" w:sz="0" w:space="0" w:color="auto"/>
            <w:right w:val="none" w:sz="0" w:space="0" w:color="auto"/>
          </w:divBdr>
        </w:div>
        <w:div w:id="231741341">
          <w:marLeft w:val="0"/>
          <w:marRight w:val="0"/>
          <w:marTop w:val="0"/>
          <w:marBottom w:val="0"/>
          <w:divBdr>
            <w:top w:val="none" w:sz="0" w:space="0" w:color="auto"/>
            <w:left w:val="none" w:sz="0" w:space="0" w:color="auto"/>
            <w:bottom w:val="none" w:sz="0" w:space="0" w:color="auto"/>
            <w:right w:val="none" w:sz="0" w:space="0" w:color="auto"/>
          </w:divBdr>
        </w:div>
        <w:div w:id="266892358">
          <w:marLeft w:val="0"/>
          <w:marRight w:val="0"/>
          <w:marTop w:val="0"/>
          <w:marBottom w:val="0"/>
          <w:divBdr>
            <w:top w:val="none" w:sz="0" w:space="0" w:color="auto"/>
            <w:left w:val="none" w:sz="0" w:space="0" w:color="auto"/>
            <w:bottom w:val="none" w:sz="0" w:space="0" w:color="auto"/>
            <w:right w:val="none" w:sz="0" w:space="0" w:color="auto"/>
          </w:divBdr>
        </w:div>
        <w:div w:id="275067648">
          <w:marLeft w:val="0"/>
          <w:marRight w:val="0"/>
          <w:marTop w:val="0"/>
          <w:marBottom w:val="0"/>
          <w:divBdr>
            <w:top w:val="none" w:sz="0" w:space="0" w:color="auto"/>
            <w:left w:val="none" w:sz="0" w:space="0" w:color="auto"/>
            <w:bottom w:val="none" w:sz="0" w:space="0" w:color="auto"/>
            <w:right w:val="none" w:sz="0" w:space="0" w:color="auto"/>
          </w:divBdr>
        </w:div>
        <w:div w:id="285549389">
          <w:marLeft w:val="0"/>
          <w:marRight w:val="0"/>
          <w:marTop w:val="0"/>
          <w:marBottom w:val="0"/>
          <w:divBdr>
            <w:top w:val="none" w:sz="0" w:space="0" w:color="auto"/>
            <w:left w:val="none" w:sz="0" w:space="0" w:color="auto"/>
            <w:bottom w:val="none" w:sz="0" w:space="0" w:color="auto"/>
            <w:right w:val="none" w:sz="0" w:space="0" w:color="auto"/>
          </w:divBdr>
        </w:div>
        <w:div w:id="302321579">
          <w:marLeft w:val="0"/>
          <w:marRight w:val="0"/>
          <w:marTop w:val="0"/>
          <w:marBottom w:val="0"/>
          <w:divBdr>
            <w:top w:val="none" w:sz="0" w:space="0" w:color="auto"/>
            <w:left w:val="none" w:sz="0" w:space="0" w:color="auto"/>
            <w:bottom w:val="none" w:sz="0" w:space="0" w:color="auto"/>
            <w:right w:val="none" w:sz="0" w:space="0" w:color="auto"/>
          </w:divBdr>
        </w:div>
        <w:div w:id="376393036">
          <w:marLeft w:val="0"/>
          <w:marRight w:val="0"/>
          <w:marTop w:val="0"/>
          <w:marBottom w:val="0"/>
          <w:divBdr>
            <w:top w:val="none" w:sz="0" w:space="0" w:color="auto"/>
            <w:left w:val="none" w:sz="0" w:space="0" w:color="auto"/>
            <w:bottom w:val="none" w:sz="0" w:space="0" w:color="auto"/>
            <w:right w:val="none" w:sz="0" w:space="0" w:color="auto"/>
          </w:divBdr>
        </w:div>
        <w:div w:id="512188717">
          <w:marLeft w:val="0"/>
          <w:marRight w:val="0"/>
          <w:marTop w:val="0"/>
          <w:marBottom w:val="0"/>
          <w:divBdr>
            <w:top w:val="none" w:sz="0" w:space="0" w:color="auto"/>
            <w:left w:val="none" w:sz="0" w:space="0" w:color="auto"/>
            <w:bottom w:val="none" w:sz="0" w:space="0" w:color="auto"/>
            <w:right w:val="none" w:sz="0" w:space="0" w:color="auto"/>
          </w:divBdr>
        </w:div>
        <w:div w:id="563221946">
          <w:marLeft w:val="0"/>
          <w:marRight w:val="0"/>
          <w:marTop w:val="0"/>
          <w:marBottom w:val="0"/>
          <w:divBdr>
            <w:top w:val="none" w:sz="0" w:space="0" w:color="auto"/>
            <w:left w:val="none" w:sz="0" w:space="0" w:color="auto"/>
            <w:bottom w:val="none" w:sz="0" w:space="0" w:color="auto"/>
            <w:right w:val="none" w:sz="0" w:space="0" w:color="auto"/>
          </w:divBdr>
        </w:div>
        <w:div w:id="692610835">
          <w:marLeft w:val="0"/>
          <w:marRight w:val="0"/>
          <w:marTop w:val="0"/>
          <w:marBottom w:val="0"/>
          <w:divBdr>
            <w:top w:val="none" w:sz="0" w:space="0" w:color="auto"/>
            <w:left w:val="none" w:sz="0" w:space="0" w:color="auto"/>
            <w:bottom w:val="none" w:sz="0" w:space="0" w:color="auto"/>
            <w:right w:val="none" w:sz="0" w:space="0" w:color="auto"/>
          </w:divBdr>
        </w:div>
        <w:div w:id="822312359">
          <w:marLeft w:val="0"/>
          <w:marRight w:val="0"/>
          <w:marTop w:val="0"/>
          <w:marBottom w:val="0"/>
          <w:divBdr>
            <w:top w:val="none" w:sz="0" w:space="0" w:color="auto"/>
            <w:left w:val="none" w:sz="0" w:space="0" w:color="auto"/>
            <w:bottom w:val="none" w:sz="0" w:space="0" w:color="auto"/>
            <w:right w:val="none" w:sz="0" w:space="0" w:color="auto"/>
          </w:divBdr>
        </w:div>
        <w:div w:id="873545393">
          <w:marLeft w:val="0"/>
          <w:marRight w:val="0"/>
          <w:marTop w:val="0"/>
          <w:marBottom w:val="0"/>
          <w:divBdr>
            <w:top w:val="none" w:sz="0" w:space="0" w:color="auto"/>
            <w:left w:val="none" w:sz="0" w:space="0" w:color="auto"/>
            <w:bottom w:val="none" w:sz="0" w:space="0" w:color="auto"/>
            <w:right w:val="none" w:sz="0" w:space="0" w:color="auto"/>
          </w:divBdr>
        </w:div>
        <w:div w:id="906838452">
          <w:marLeft w:val="0"/>
          <w:marRight w:val="0"/>
          <w:marTop w:val="0"/>
          <w:marBottom w:val="0"/>
          <w:divBdr>
            <w:top w:val="none" w:sz="0" w:space="0" w:color="auto"/>
            <w:left w:val="none" w:sz="0" w:space="0" w:color="auto"/>
            <w:bottom w:val="none" w:sz="0" w:space="0" w:color="auto"/>
            <w:right w:val="none" w:sz="0" w:space="0" w:color="auto"/>
          </w:divBdr>
        </w:div>
        <w:div w:id="956640751">
          <w:marLeft w:val="0"/>
          <w:marRight w:val="0"/>
          <w:marTop w:val="0"/>
          <w:marBottom w:val="0"/>
          <w:divBdr>
            <w:top w:val="none" w:sz="0" w:space="0" w:color="auto"/>
            <w:left w:val="none" w:sz="0" w:space="0" w:color="auto"/>
            <w:bottom w:val="none" w:sz="0" w:space="0" w:color="auto"/>
            <w:right w:val="none" w:sz="0" w:space="0" w:color="auto"/>
          </w:divBdr>
        </w:div>
        <w:div w:id="969674068">
          <w:marLeft w:val="0"/>
          <w:marRight w:val="0"/>
          <w:marTop w:val="0"/>
          <w:marBottom w:val="0"/>
          <w:divBdr>
            <w:top w:val="none" w:sz="0" w:space="0" w:color="auto"/>
            <w:left w:val="none" w:sz="0" w:space="0" w:color="auto"/>
            <w:bottom w:val="none" w:sz="0" w:space="0" w:color="auto"/>
            <w:right w:val="none" w:sz="0" w:space="0" w:color="auto"/>
          </w:divBdr>
        </w:div>
        <w:div w:id="1038044998">
          <w:marLeft w:val="0"/>
          <w:marRight w:val="0"/>
          <w:marTop w:val="0"/>
          <w:marBottom w:val="0"/>
          <w:divBdr>
            <w:top w:val="none" w:sz="0" w:space="0" w:color="auto"/>
            <w:left w:val="none" w:sz="0" w:space="0" w:color="auto"/>
            <w:bottom w:val="none" w:sz="0" w:space="0" w:color="auto"/>
            <w:right w:val="none" w:sz="0" w:space="0" w:color="auto"/>
          </w:divBdr>
        </w:div>
        <w:div w:id="1122266016">
          <w:marLeft w:val="0"/>
          <w:marRight w:val="0"/>
          <w:marTop w:val="0"/>
          <w:marBottom w:val="0"/>
          <w:divBdr>
            <w:top w:val="none" w:sz="0" w:space="0" w:color="auto"/>
            <w:left w:val="none" w:sz="0" w:space="0" w:color="auto"/>
            <w:bottom w:val="none" w:sz="0" w:space="0" w:color="auto"/>
            <w:right w:val="none" w:sz="0" w:space="0" w:color="auto"/>
          </w:divBdr>
        </w:div>
        <w:div w:id="1151411389">
          <w:marLeft w:val="0"/>
          <w:marRight w:val="0"/>
          <w:marTop w:val="0"/>
          <w:marBottom w:val="0"/>
          <w:divBdr>
            <w:top w:val="none" w:sz="0" w:space="0" w:color="auto"/>
            <w:left w:val="none" w:sz="0" w:space="0" w:color="auto"/>
            <w:bottom w:val="none" w:sz="0" w:space="0" w:color="auto"/>
            <w:right w:val="none" w:sz="0" w:space="0" w:color="auto"/>
          </w:divBdr>
        </w:div>
        <w:div w:id="1192038506">
          <w:marLeft w:val="0"/>
          <w:marRight w:val="0"/>
          <w:marTop w:val="0"/>
          <w:marBottom w:val="0"/>
          <w:divBdr>
            <w:top w:val="none" w:sz="0" w:space="0" w:color="auto"/>
            <w:left w:val="none" w:sz="0" w:space="0" w:color="auto"/>
            <w:bottom w:val="none" w:sz="0" w:space="0" w:color="auto"/>
            <w:right w:val="none" w:sz="0" w:space="0" w:color="auto"/>
          </w:divBdr>
        </w:div>
        <w:div w:id="1220896025">
          <w:marLeft w:val="0"/>
          <w:marRight w:val="0"/>
          <w:marTop w:val="0"/>
          <w:marBottom w:val="0"/>
          <w:divBdr>
            <w:top w:val="none" w:sz="0" w:space="0" w:color="auto"/>
            <w:left w:val="none" w:sz="0" w:space="0" w:color="auto"/>
            <w:bottom w:val="none" w:sz="0" w:space="0" w:color="auto"/>
            <w:right w:val="none" w:sz="0" w:space="0" w:color="auto"/>
          </w:divBdr>
        </w:div>
        <w:div w:id="1222979335">
          <w:marLeft w:val="0"/>
          <w:marRight w:val="0"/>
          <w:marTop w:val="0"/>
          <w:marBottom w:val="0"/>
          <w:divBdr>
            <w:top w:val="none" w:sz="0" w:space="0" w:color="auto"/>
            <w:left w:val="none" w:sz="0" w:space="0" w:color="auto"/>
            <w:bottom w:val="none" w:sz="0" w:space="0" w:color="auto"/>
            <w:right w:val="none" w:sz="0" w:space="0" w:color="auto"/>
          </w:divBdr>
        </w:div>
        <w:div w:id="1223754722">
          <w:marLeft w:val="0"/>
          <w:marRight w:val="0"/>
          <w:marTop w:val="0"/>
          <w:marBottom w:val="0"/>
          <w:divBdr>
            <w:top w:val="none" w:sz="0" w:space="0" w:color="auto"/>
            <w:left w:val="none" w:sz="0" w:space="0" w:color="auto"/>
            <w:bottom w:val="none" w:sz="0" w:space="0" w:color="auto"/>
            <w:right w:val="none" w:sz="0" w:space="0" w:color="auto"/>
          </w:divBdr>
        </w:div>
        <w:div w:id="1284918741">
          <w:marLeft w:val="0"/>
          <w:marRight w:val="0"/>
          <w:marTop w:val="0"/>
          <w:marBottom w:val="0"/>
          <w:divBdr>
            <w:top w:val="none" w:sz="0" w:space="0" w:color="auto"/>
            <w:left w:val="none" w:sz="0" w:space="0" w:color="auto"/>
            <w:bottom w:val="none" w:sz="0" w:space="0" w:color="auto"/>
            <w:right w:val="none" w:sz="0" w:space="0" w:color="auto"/>
          </w:divBdr>
        </w:div>
        <w:div w:id="1348560881">
          <w:marLeft w:val="0"/>
          <w:marRight w:val="0"/>
          <w:marTop w:val="0"/>
          <w:marBottom w:val="0"/>
          <w:divBdr>
            <w:top w:val="none" w:sz="0" w:space="0" w:color="auto"/>
            <w:left w:val="none" w:sz="0" w:space="0" w:color="auto"/>
            <w:bottom w:val="none" w:sz="0" w:space="0" w:color="auto"/>
            <w:right w:val="none" w:sz="0" w:space="0" w:color="auto"/>
          </w:divBdr>
        </w:div>
        <w:div w:id="1370842646">
          <w:marLeft w:val="0"/>
          <w:marRight w:val="0"/>
          <w:marTop w:val="0"/>
          <w:marBottom w:val="0"/>
          <w:divBdr>
            <w:top w:val="none" w:sz="0" w:space="0" w:color="auto"/>
            <w:left w:val="none" w:sz="0" w:space="0" w:color="auto"/>
            <w:bottom w:val="none" w:sz="0" w:space="0" w:color="auto"/>
            <w:right w:val="none" w:sz="0" w:space="0" w:color="auto"/>
          </w:divBdr>
        </w:div>
        <w:div w:id="1504277534">
          <w:marLeft w:val="0"/>
          <w:marRight w:val="0"/>
          <w:marTop w:val="0"/>
          <w:marBottom w:val="0"/>
          <w:divBdr>
            <w:top w:val="none" w:sz="0" w:space="0" w:color="auto"/>
            <w:left w:val="none" w:sz="0" w:space="0" w:color="auto"/>
            <w:bottom w:val="none" w:sz="0" w:space="0" w:color="auto"/>
            <w:right w:val="none" w:sz="0" w:space="0" w:color="auto"/>
          </w:divBdr>
        </w:div>
        <w:div w:id="1523669857">
          <w:marLeft w:val="0"/>
          <w:marRight w:val="0"/>
          <w:marTop w:val="0"/>
          <w:marBottom w:val="0"/>
          <w:divBdr>
            <w:top w:val="none" w:sz="0" w:space="0" w:color="auto"/>
            <w:left w:val="none" w:sz="0" w:space="0" w:color="auto"/>
            <w:bottom w:val="none" w:sz="0" w:space="0" w:color="auto"/>
            <w:right w:val="none" w:sz="0" w:space="0" w:color="auto"/>
          </w:divBdr>
        </w:div>
        <w:div w:id="1671835236">
          <w:marLeft w:val="0"/>
          <w:marRight w:val="0"/>
          <w:marTop w:val="0"/>
          <w:marBottom w:val="0"/>
          <w:divBdr>
            <w:top w:val="none" w:sz="0" w:space="0" w:color="auto"/>
            <w:left w:val="none" w:sz="0" w:space="0" w:color="auto"/>
            <w:bottom w:val="none" w:sz="0" w:space="0" w:color="auto"/>
            <w:right w:val="none" w:sz="0" w:space="0" w:color="auto"/>
          </w:divBdr>
        </w:div>
        <w:div w:id="1709721003">
          <w:marLeft w:val="0"/>
          <w:marRight w:val="0"/>
          <w:marTop w:val="0"/>
          <w:marBottom w:val="0"/>
          <w:divBdr>
            <w:top w:val="none" w:sz="0" w:space="0" w:color="auto"/>
            <w:left w:val="none" w:sz="0" w:space="0" w:color="auto"/>
            <w:bottom w:val="none" w:sz="0" w:space="0" w:color="auto"/>
            <w:right w:val="none" w:sz="0" w:space="0" w:color="auto"/>
          </w:divBdr>
        </w:div>
        <w:div w:id="1938320272">
          <w:marLeft w:val="0"/>
          <w:marRight w:val="0"/>
          <w:marTop w:val="0"/>
          <w:marBottom w:val="0"/>
          <w:divBdr>
            <w:top w:val="none" w:sz="0" w:space="0" w:color="auto"/>
            <w:left w:val="none" w:sz="0" w:space="0" w:color="auto"/>
            <w:bottom w:val="none" w:sz="0" w:space="0" w:color="auto"/>
            <w:right w:val="none" w:sz="0" w:space="0" w:color="auto"/>
          </w:divBdr>
        </w:div>
        <w:div w:id="1945264619">
          <w:marLeft w:val="0"/>
          <w:marRight w:val="0"/>
          <w:marTop w:val="0"/>
          <w:marBottom w:val="0"/>
          <w:divBdr>
            <w:top w:val="none" w:sz="0" w:space="0" w:color="auto"/>
            <w:left w:val="none" w:sz="0" w:space="0" w:color="auto"/>
            <w:bottom w:val="none" w:sz="0" w:space="0" w:color="auto"/>
            <w:right w:val="none" w:sz="0" w:space="0" w:color="auto"/>
          </w:divBdr>
        </w:div>
        <w:div w:id="1953825200">
          <w:marLeft w:val="0"/>
          <w:marRight w:val="0"/>
          <w:marTop w:val="0"/>
          <w:marBottom w:val="0"/>
          <w:divBdr>
            <w:top w:val="none" w:sz="0" w:space="0" w:color="auto"/>
            <w:left w:val="none" w:sz="0" w:space="0" w:color="auto"/>
            <w:bottom w:val="none" w:sz="0" w:space="0" w:color="auto"/>
            <w:right w:val="none" w:sz="0" w:space="0" w:color="auto"/>
          </w:divBdr>
        </w:div>
        <w:div w:id="1963605775">
          <w:marLeft w:val="0"/>
          <w:marRight w:val="0"/>
          <w:marTop w:val="0"/>
          <w:marBottom w:val="0"/>
          <w:divBdr>
            <w:top w:val="none" w:sz="0" w:space="0" w:color="auto"/>
            <w:left w:val="none" w:sz="0" w:space="0" w:color="auto"/>
            <w:bottom w:val="none" w:sz="0" w:space="0" w:color="auto"/>
            <w:right w:val="none" w:sz="0" w:space="0" w:color="auto"/>
          </w:divBdr>
        </w:div>
        <w:div w:id="1966346881">
          <w:marLeft w:val="0"/>
          <w:marRight w:val="0"/>
          <w:marTop w:val="0"/>
          <w:marBottom w:val="0"/>
          <w:divBdr>
            <w:top w:val="none" w:sz="0" w:space="0" w:color="auto"/>
            <w:left w:val="none" w:sz="0" w:space="0" w:color="auto"/>
            <w:bottom w:val="none" w:sz="0" w:space="0" w:color="auto"/>
            <w:right w:val="none" w:sz="0" w:space="0" w:color="auto"/>
          </w:divBdr>
        </w:div>
        <w:div w:id="2070692157">
          <w:marLeft w:val="0"/>
          <w:marRight w:val="0"/>
          <w:marTop w:val="0"/>
          <w:marBottom w:val="0"/>
          <w:divBdr>
            <w:top w:val="none" w:sz="0" w:space="0" w:color="auto"/>
            <w:left w:val="none" w:sz="0" w:space="0" w:color="auto"/>
            <w:bottom w:val="none" w:sz="0" w:space="0" w:color="auto"/>
            <w:right w:val="none" w:sz="0" w:space="0" w:color="auto"/>
          </w:divBdr>
        </w:div>
      </w:divsChild>
    </w:div>
    <w:div w:id="459031214">
      <w:bodyDiv w:val="1"/>
      <w:marLeft w:val="0"/>
      <w:marRight w:val="0"/>
      <w:marTop w:val="0"/>
      <w:marBottom w:val="0"/>
      <w:divBdr>
        <w:top w:val="none" w:sz="0" w:space="0" w:color="auto"/>
        <w:left w:val="none" w:sz="0" w:space="0" w:color="auto"/>
        <w:bottom w:val="none" w:sz="0" w:space="0" w:color="auto"/>
        <w:right w:val="none" w:sz="0" w:space="0" w:color="auto"/>
      </w:divBdr>
    </w:div>
    <w:div w:id="463932066">
      <w:bodyDiv w:val="1"/>
      <w:marLeft w:val="0"/>
      <w:marRight w:val="0"/>
      <w:marTop w:val="0"/>
      <w:marBottom w:val="0"/>
      <w:divBdr>
        <w:top w:val="none" w:sz="0" w:space="0" w:color="auto"/>
        <w:left w:val="none" w:sz="0" w:space="0" w:color="auto"/>
        <w:bottom w:val="none" w:sz="0" w:space="0" w:color="auto"/>
        <w:right w:val="none" w:sz="0" w:space="0" w:color="auto"/>
      </w:divBdr>
    </w:div>
    <w:div w:id="484905234">
      <w:bodyDiv w:val="1"/>
      <w:marLeft w:val="0"/>
      <w:marRight w:val="0"/>
      <w:marTop w:val="0"/>
      <w:marBottom w:val="0"/>
      <w:divBdr>
        <w:top w:val="none" w:sz="0" w:space="0" w:color="auto"/>
        <w:left w:val="none" w:sz="0" w:space="0" w:color="auto"/>
        <w:bottom w:val="none" w:sz="0" w:space="0" w:color="auto"/>
        <w:right w:val="none" w:sz="0" w:space="0" w:color="auto"/>
      </w:divBdr>
    </w:div>
    <w:div w:id="487677064">
      <w:bodyDiv w:val="1"/>
      <w:marLeft w:val="0"/>
      <w:marRight w:val="0"/>
      <w:marTop w:val="0"/>
      <w:marBottom w:val="0"/>
      <w:divBdr>
        <w:top w:val="none" w:sz="0" w:space="0" w:color="auto"/>
        <w:left w:val="none" w:sz="0" w:space="0" w:color="auto"/>
        <w:bottom w:val="none" w:sz="0" w:space="0" w:color="auto"/>
        <w:right w:val="none" w:sz="0" w:space="0" w:color="auto"/>
      </w:divBdr>
    </w:div>
    <w:div w:id="603348583">
      <w:bodyDiv w:val="1"/>
      <w:marLeft w:val="0"/>
      <w:marRight w:val="0"/>
      <w:marTop w:val="0"/>
      <w:marBottom w:val="0"/>
      <w:divBdr>
        <w:top w:val="none" w:sz="0" w:space="0" w:color="auto"/>
        <w:left w:val="none" w:sz="0" w:space="0" w:color="auto"/>
        <w:bottom w:val="none" w:sz="0" w:space="0" w:color="auto"/>
        <w:right w:val="none" w:sz="0" w:space="0" w:color="auto"/>
      </w:divBdr>
    </w:div>
    <w:div w:id="747920988">
      <w:bodyDiv w:val="1"/>
      <w:marLeft w:val="0"/>
      <w:marRight w:val="0"/>
      <w:marTop w:val="0"/>
      <w:marBottom w:val="0"/>
      <w:divBdr>
        <w:top w:val="none" w:sz="0" w:space="0" w:color="auto"/>
        <w:left w:val="none" w:sz="0" w:space="0" w:color="auto"/>
        <w:bottom w:val="none" w:sz="0" w:space="0" w:color="auto"/>
        <w:right w:val="none" w:sz="0" w:space="0" w:color="auto"/>
      </w:divBdr>
    </w:div>
    <w:div w:id="844517364">
      <w:bodyDiv w:val="1"/>
      <w:marLeft w:val="0"/>
      <w:marRight w:val="0"/>
      <w:marTop w:val="0"/>
      <w:marBottom w:val="0"/>
      <w:divBdr>
        <w:top w:val="none" w:sz="0" w:space="0" w:color="auto"/>
        <w:left w:val="none" w:sz="0" w:space="0" w:color="auto"/>
        <w:bottom w:val="none" w:sz="0" w:space="0" w:color="auto"/>
        <w:right w:val="none" w:sz="0" w:space="0" w:color="auto"/>
      </w:divBdr>
    </w:div>
    <w:div w:id="845248424">
      <w:bodyDiv w:val="1"/>
      <w:marLeft w:val="0"/>
      <w:marRight w:val="0"/>
      <w:marTop w:val="0"/>
      <w:marBottom w:val="0"/>
      <w:divBdr>
        <w:top w:val="none" w:sz="0" w:space="0" w:color="auto"/>
        <w:left w:val="none" w:sz="0" w:space="0" w:color="auto"/>
        <w:bottom w:val="none" w:sz="0" w:space="0" w:color="auto"/>
        <w:right w:val="none" w:sz="0" w:space="0" w:color="auto"/>
      </w:divBdr>
    </w:div>
    <w:div w:id="852034143">
      <w:bodyDiv w:val="1"/>
      <w:marLeft w:val="0"/>
      <w:marRight w:val="0"/>
      <w:marTop w:val="0"/>
      <w:marBottom w:val="0"/>
      <w:divBdr>
        <w:top w:val="none" w:sz="0" w:space="0" w:color="auto"/>
        <w:left w:val="none" w:sz="0" w:space="0" w:color="auto"/>
        <w:bottom w:val="none" w:sz="0" w:space="0" w:color="auto"/>
        <w:right w:val="none" w:sz="0" w:space="0" w:color="auto"/>
      </w:divBdr>
    </w:div>
    <w:div w:id="872117336">
      <w:bodyDiv w:val="1"/>
      <w:marLeft w:val="0"/>
      <w:marRight w:val="0"/>
      <w:marTop w:val="0"/>
      <w:marBottom w:val="0"/>
      <w:divBdr>
        <w:top w:val="none" w:sz="0" w:space="0" w:color="auto"/>
        <w:left w:val="none" w:sz="0" w:space="0" w:color="auto"/>
        <w:bottom w:val="none" w:sz="0" w:space="0" w:color="auto"/>
        <w:right w:val="none" w:sz="0" w:space="0" w:color="auto"/>
      </w:divBdr>
    </w:div>
    <w:div w:id="879820998">
      <w:bodyDiv w:val="1"/>
      <w:marLeft w:val="0"/>
      <w:marRight w:val="0"/>
      <w:marTop w:val="0"/>
      <w:marBottom w:val="0"/>
      <w:divBdr>
        <w:top w:val="none" w:sz="0" w:space="0" w:color="auto"/>
        <w:left w:val="none" w:sz="0" w:space="0" w:color="auto"/>
        <w:bottom w:val="none" w:sz="0" w:space="0" w:color="auto"/>
        <w:right w:val="none" w:sz="0" w:space="0" w:color="auto"/>
      </w:divBdr>
      <w:divsChild>
        <w:div w:id="1481653897">
          <w:marLeft w:val="0"/>
          <w:marRight w:val="0"/>
          <w:marTop w:val="0"/>
          <w:marBottom w:val="0"/>
          <w:divBdr>
            <w:top w:val="none" w:sz="0" w:space="0" w:color="auto"/>
            <w:left w:val="none" w:sz="0" w:space="0" w:color="auto"/>
            <w:bottom w:val="none" w:sz="0" w:space="0" w:color="auto"/>
            <w:right w:val="none" w:sz="0" w:space="0" w:color="auto"/>
          </w:divBdr>
          <w:divsChild>
            <w:div w:id="836306032">
              <w:marLeft w:val="0"/>
              <w:marRight w:val="0"/>
              <w:marTop w:val="0"/>
              <w:marBottom w:val="0"/>
              <w:divBdr>
                <w:top w:val="none" w:sz="0" w:space="0" w:color="auto"/>
                <w:left w:val="none" w:sz="0" w:space="0" w:color="auto"/>
                <w:bottom w:val="none" w:sz="0" w:space="0" w:color="auto"/>
                <w:right w:val="none" w:sz="0" w:space="0" w:color="auto"/>
              </w:divBdr>
              <w:divsChild>
                <w:div w:id="1755973327">
                  <w:marLeft w:val="0"/>
                  <w:marRight w:val="0"/>
                  <w:marTop w:val="0"/>
                  <w:marBottom w:val="0"/>
                  <w:divBdr>
                    <w:top w:val="none" w:sz="0" w:space="0" w:color="auto"/>
                    <w:left w:val="none" w:sz="0" w:space="0" w:color="auto"/>
                    <w:bottom w:val="none" w:sz="0" w:space="0" w:color="auto"/>
                    <w:right w:val="none" w:sz="0" w:space="0" w:color="auto"/>
                  </w:divBdr>
                  <w:divsChild>
                    <w:div w:id="1299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73263">
      <w:bodyDiv w:val="1"/>
      <w:marLeft w:val="0"/>
      <w:marRight w:val="0"/>
      <w:marTop w:val="0"/>
      <w:marBottom w:val="0"/>
      <w:divBdr>
        <w:top w:val="none" w:sz="0" w:space="0" w:color="auto"/>
        <w:left w:val="none" w:sz="0" w:space="0" w:color="auto"/>
        <w:bottom w:val="none" w:sz="0" w:space="0" w:color="auto"/>
        <w:right w:val="none" w:sz="0" w:space="0" w:color="auto"/>
      </w:divBdr>
    </w:div>
    <w:div w:id="935215977">
      <w:bodyDiv w:val="1"/>
      <w:marLeft w:val="0"/>
      <w:marRight w:val="0"/>
      <w:marTop w:val="0"/>
      <w:marBottom w:val="0"/>
      <w:divBdr>
        <w:top w:val="none" w:sz="0" w:space="0" w:color="auto"/>
        <w:left w:val="none" w:sz="0" w:space="0" w:color="auto"/>
        <w:bottom w:val="none" w:sz="0" w:space="0" w:color="auto"/>
        <w:right w:val="none" w:sz="0" w:space="0" w:color="auto"/>
      </w:divBdr>
    </w:div>
    <w:div w:id="945649171">
      <w:bodyDiv w:val="1"/>
      <w:marLeft w:val="0"/>
      <w:marRight w:val="0"/>
      <w:marTop w:val="0"/>
      <w:marBottom w:val="0"/>
      <w:divBdr>
        <w:top w:val="none" w:sz="0" w:space="0" w:color="auto"/>
        <w:left w:val="none" w:sz="0" w:space="0" w:color="auto"/>
        <w:bottom w:val="none" w:sz="0" w:space="0" w:color="auto"/>
        <w:right w:val="none" w:sz="0" w:space="0" w:color="auto"/>
      </w:divBdr>
    </w:div>
    <w:div w:id="973291856">
      <w:bodyDiv w:val="1"/>
      <w:marLeft w:val="0"/>
      <w:marRight w:val="0"/>
      <w:marTop w:val="0"/>
      <w:marBottom w:val="0"/>
      <w:divBdr>
        <w:top w:val="none" w:sz="0" w:space="0" w:color="auto"/>
        <w:left w:val="none" w:sz="0" w:space="0" w:color="auto"/>
        <w:bottom w:val="none" w:sz="0" w:space="0" w:color="auto"/>
        <w:right w:val="none" w:sz="0" w:space="0" w:color="auto"/>
      </w:divBdr>
    </w:div>
    <w:div w:id="1007712285">
      <w:bodyDiv w:val="1"/>
      <w:marLeft w:val="0"/>
      <w:marRight w:val="0"/>
      <w:marTop w:val="0"/>
      <w:marBottom w:val="0"/>
      <w:divBdr>
        <w:top w:val="none" w:sz="0" w:space="0" w:color="auto"/>
        <w:left w:val="none" w:sz="0" w:space="0" w:color="auto"/>
        <w:bottom w:val="none" w:sz="0" w:space="0" w:color="auto"/>
        <w:right w:val="none" w:sz="0" w:space="0" w:color="auto"/>
      </w:divBdr>
    </w:div>
    <w:div w:id="1016033203">
      <w:bodyDiv w:val="1"/>
      <w:marLeft w:val="0"/>
      <w:marRight w:val="0"/>
      <w:marTop w:val="0"/>
      <w:marBottom w:val="0"/>
      <w:divBdr>
        <w:top w:val="none" w:sz="0" w:space="0" w:color="auto"/>
        <w:left w:val="none" w:sz="0" w:space="0" w:color="auto"/>
        <w:bottom w:val="none" w:sz="0" w:space="0" w:color="auto"/>
        <w:right w:val="none" w:sz="0" w:space="0" w:color="auto"/>
      </w:divBdr>
    </w:div>
    <w:div w:id="1025448909">
      <w:bodyDiv w:val="1"/>
      <w:marLeft w:val="0"/>
      <w:marRight w:val="0"/>
      <w:marTop w:val="0"/>
      <w:marBottom w:val="0"/>
      <w:divBdr>
        <w:top w:val="none" w:sz="0" w:space="0" w:color="auto"/>
        <w:left w:val="none" w:sz="0" w:space="0" w:color="auto"/>
        <w:bottom w:val="none" w:sz="0" w:space="0" w:color="auto"/>
        <w:right w:val="none" w:sz="0" w:space="0" w:color="auto"/>
      </w:divBdr>
    </w:div>
    <w:div w:id="1044139571">
      <w:bodyDiv w:val="1"/>
      <w:marLeft w:val="0"/>
      <w:marRight w:val="0"/>
      <w:marTop w:val="0"/>
      <w:marBottom w:val="0"/>
      <w:divBdr>
        <w:top w:val="none" w:sz="0" w:space="0" w:color="auto"/>
        <w:left w:val="none" w:sz="0" w:space="0" w:color="auto"/>
        <w:bottom w:val="none" w:sz="0" w:space="0" w:color="auto"/>
        <w:right w:val="none" w:sz="0" w:space="0" w:color="auto"/>
      </w:divBdr>
    </w:div>
    <w:div w:id="1057901526">
      <w:bodyDiv w:val="1"/>
      <w:marLeft w:val="0"/>
      <w:marRight w:val="0"/>
      <w:marTop w:val="0"/>
      <w:marBottom w:val="0"/>
      <w:divBdr>
        <w:top w:val="none" w:sz="0" w:space="0" w:color="auto"/>
        <w:left w:val="none" w:sz="0" w:space="0" w:color="auto"/>
        <w:bottom w:val="none" w:sz="0" w:space="0" w:color="auto"/>
        <w:right w:val="none" w:sz="0" w:space="0" w:color="auto"/>
      </w:divBdr>
    </w:div>
    <w:div w:id="1075205620">
      <w:bodyDiv w:val="1"/>
      <w:marLeft w:val="0"/>
      <w:marRight w:val="0"/>
      <w:marTop w:val="0"/>
      <w:marBottom w:val="0"/>
      <w:divBdr>
        <w:top w:val="none" w:sz="0" w:space="0" w:color="auto"/>
        <w:left w:val="none" w:sz="0" w:space="0" w:color="auto"/>
        <w:bottom w:val="none" w:sz="0" w:space="0" w:color="auto"/>
        <w:right w:val="none" w:sz="0" w:space="0" w:color="auto"/>
      </w:divBdr>
    </w:div>
    <w:div w:id="1080906585">
      <w:bodyDiv w:val="1"/>
      <w:marLeft w:val="0"/>
      <w:marRight w:val="0"/>
      <w:marTop w:val="0"/>
      <w:marBottom w:val="0"/>
      <w:divBdr>
        <w:top w:val="none" w:sz="0" w:space="0" w:color="auto"/>
        <w:left w:val="none" w:sz="0" w:space="0" w:color="auto"/>
        <w:bottom w:val="none" w:sz="0" w:space="0" w:color="auto"/>
        <w:right w:val="none" w:sz="0" w:space="0" w:color="auto"/>
      </w:divBdr>
    </w:div>
    <w:div w:id="1092160804">
      <w:bodyDiv w:val="1"/>
      <w:marLeft w:val="0"/>
      <w:marRight w:val="0"/>
      <w:marTop w:val="0"/>
      <w:marBottom w:val="0"/>
      <w:divBdr>
        <w:top w:val="none" w:sz="0" w:space="0" w:color="auto"/>
        <w:left w:val="none" w:sz="0" w:space="0" w:color="auto"/>
        <w:bottom w:val="none" w:sz="0" w:space="0" w:color="auto"/>
        <w:right w:val="none" w:sz="0" w:space="0" w:color="auto"/>
      </w:divBdr>
      <w:divsChild>
        <w:div w:id="120922322">
          <w:marLeft w:val="0"/>
          <w:marRight w:val="0"/>
          <w:marTop w:val="0"/>
          <w:marBottom w:val="0"/>
          <w:divBdr>
            <w:top w:val="none" w:sz="0" w:space="0" w:color="auto"/>
            <w:left w:val="none" w:sz="0" w:space="0" w:color="auto"/>
            <w:bottom w:val="none" w:sz="0" w:space="0" w:color="auto"/>
            <w:right w:val="none" w:sz="0" w:space="0" w:color="auto"/>
          </w:divBdr>
        </w:div>
        <w:div w:id="132793864">
          <w:marLeft w:val="0"/>
          <w:marRight w:val="0"/>
          <w:marTop w:val="0"/>
          <w:marBottom w:val="0"/>
          <w:divBdr>
            <w:top w:val="none" w:sz="0" w:space="0" w:color="auto"/>
            <w:left w:val="none" w:sz="0" w:space="0" w:color="auto"/>
            <w:bottom w:val="none" w:sz="0" w:space="0" w:color="auto"/>
            <w:right w:val="none" w:sz="0" w:space="0" w:color="auto"/>
          </w:divBdr>
        </w:div>
        <w:div w:id="537160411">
          <w:marLeft w:val="0"/>
          <w:marRight w:val="0"/>
          <w:marTop w:val="0"/>
          <w:marBottom w:val="0"/>
          <w:divBdr>
            <w:top w:val="none" w:sz="0" w:space="0" w:color="auto"/>
            <w:left w:val="none" w:sz="0" w:space="0" w:color="auto"/>
            <w:bottom w:val="none" w:sz="0" w:space="0" w:color="auto"/>
            <w:right w:val="none" w:sz="0" w:space="0" w:color="auto"/>
          </w:divBdr>
        </w:div>
        <w:div w:id="1045330972">
          <w:marLeft w:val="0"/>
          <w:marRight w:val="0"/>
          <w:marTop w:val="0"/>
          <w:marBottom w:val="0"/>
          <w:divBdr>
            <w:top w:val="none" w:sz="0" w:space="0" w:color="auto"/>
            <w:left w:val="none" w:sz="0" w:space="0" w:color="auto"/>
            <w:bottom w:val="none" w:sz="0" w:space="0" w:color="auto"/>
            <w:right w:val="none" w:sz="0" w:space="0" w:color="auto"/>
          </w:divBdr>
        </w:div>
        <w:div w:id="1137452671">
          <w:marLeft w:val="0"/>
          <w:marRight w:val="0"/>
          <w:marTop w:val="0"/>
          <w:marBottom w:val="0"/>
          <w:divBdr>
            <w:top w:val="none" w:sz="0" w:space="0" w:color="auto"/>
            <w:left w:val="none" w:sz="0" w:space="0" w:color="auto"/>
            <w:bottom w:val="none" w:sz="0" w:space="0" w:color="auto"/>
            <w:right w:val="none" w:sz="0" w:space="0" w:color="auto"/>
          </w:divBdr>
        </w:div>
        <w:div w:id="1265842659">
          <w:marLeft w:val="0"/>
          <w:marRight w:val="0"/>
          <w:marTop w:val="0"/>
          <w:marBottom w:val="0"/>
          <w:divBdr>
            <w:top w:val="none" w:sz="0" w:space="0" w:color="auto"/>
            <w:left w:val="none" w:sz="0" w:space="0" w:color="auto"/>
            <w:bottom w:val="none" w:sz="0" w:space="0" w:color="auto"/>
            <w:right w:val="none" w:sz="0" w:space="0" w:color="auto"/>
          </w:divBdr>
        </w:div>
        <w:div w:id="1574271488">
          <w:marLeft w:val="0"/>
          <w:marRight w:val="0"/>
          <w:marTop w:val="0"/>
          <w:marBottom w:val="0"/>
          <w:divBdr>
            <w:top w:val="none" w:sz="0" w:space="0" w:color="auto"/>
            <w:left w:val="none" w:sz="0" w:space="0" w:color="auto"/>
            <w:bottom w:val="none" w:sz="0" w:space="0" w:color="auto"/>
            <w:right w:val="none" w:sz="0" w:space="0" w:color="auto"/>
          </w:divBdr>
        </w:div>
        <w:div w:id="1643853269">
          <w:marLeft w:val="0"/>
          <w:marRight w:val="0"/>
          <w:marTop w:val="0"/>
          <w:marBottom w:val="0"/>
          <w:divBdr>
            <w:top w:val="none" w:sz="0" w:space="0" w:color="auto"/>
            <w:left w:val="none" w:sz="0" w:space="0" w:color="auto"/>
            <w:bottom w:val="none" w:sz="0" w:space="0" w:color="auto"/>
            <w:right w:val="none" w:sz="0" w:space="0" w:color="auto"/>
          </w:divBdr>
        </w:div>
        <w:div w:id="1763063270">
          <w:marLeft w:val="0"/>
          <w:marRight w:val="0"/>
          <w:marTop w:val="0"/>
          <w:marBottom w:val="0"/>
          <w:divBdr>
            <w:top w:val="none" w:sz="0" w:space="0" w:color="auto"/>
            <w:left w:val="none" w:sz="0" w:space="0" w:color="auto"/>
            <w:bottom w:val="none" w:sz="0" w:space="0" w:color="auto"/>
            <w:right w:val="none" w:sz="0" w:space="0" w:color="auto"/>
          </w:divBdr>
        </w:div>
        <w:div w:id="1878547108">
          <w:marLeft w:val="0"/>
          <w:marRight w:val="0"/>
          <w:marTop w:val="0"/>
          <w:marBottom w:val="0"/>
          <w:divBdr>
            <w:top w:val="none" w:sz="0" w:space="0" w:color="auto"/>
            <w:left w:val="none" w:sz="0" w:space="0" w:color="auto"/>
            <w:bottom w:val="none" w:sz="0" w:space="0" w:color="auto"/>
            <w:right w:val="none" w:sz="0" w:space="0" w:color="auto"/>
          </w:divBdr>
        </w:div>
        <w:div w:id="1893148712">
          <w:marLeft w:val="0"/>
          <w:marRight w:val="0"/>
          <w:marTop w:val="0"/>
          <w:marBottom w:val="0"/>
          <w:divBdr>
            <w:top w:val="none" w:sz="0" w:space="0" w:color="auto"/>
            <w:left w:val="none" w:sz="0" w:space="0" w:color="auto"/>
            <w:bottom w:val="none" w:sz="0" w:space="0" w:color="auto"/>
            <w:right w:val="none" w:sz="0" w:space="0" w:color="auto"/>
          </w:divBdr>
        </w:div>
        <w:div w:id="1993212948">
          <w:marLeft w:val="0"/>
          <w:marRight w:val="0"/>
          <w:marTop w:val="0"/>
          <w:marBottom w:val="0"/>
          <w:divBdr>
            <w:top w:val="none" w:sz="0" w:space="0" w:color="auto"/>
            <w:left w:val="none" w:sz="0" w:space="0" w:color="auto"/>
            <w:bottom w:val="none" w:sz="0" w:space="0" w:color="auto"/>
            <w:right w:val="none" w:sz="0" w:space="0" w:color="auto"/>
          </w:divBdr>
        </w:div>
      </w:divsChild>
    </w:div>
    <w:div w:id="1143355212">
      <w:bodyDiv w:val="1"/>
      <w:marLeft w:val="0"/>
      <w:marRight w:val="0"/>
      <w:marTop w:val="0"/>
      <w:marBottom w:val="0"/>
      <w:divBdr>
        <w:top w:val="none" w:sz="0" w:space="0" w:color="auto"/>
        <w:left w:val="none" w:sz="0" w:space="0" w:color="auto"/>
        <w:bottom w:val="none" w:sz="0" w:space="0" w:color="auto"/>
        <w:right w:val="none" w:sz="0" w:space="0" w:color="auto"/>
      </w:divBdr>
    </w:div>
    <w:div w:id="1178278735">
      <w:bodyDiv w:val="1"/>
      <w:marLeft w:val="0"/>
      <w:marRight w:val="0"/>
      <w:marTop w:val="0"/>
      <w:marBottom w:val="0"/>
      <w:divBdr>
        <w:top w:val="none" w:sz="0" w:space="0" w:color="auto"/>
        <w:left w:val="none" w:sz="0" w:space="0" w:color="auto"/>
        <w:bottom w:val="none" w:sz="0" w:space="0" w:color="auto"/>
        <w:right w:val="none" w:sz="0" w:space="0" w:color="auto"/>
      </w:divBdr>
    </w:div>
    <w:div w:id="1189877333">
      <w:bodyDiv w:val="1"/>
      <w:marLeft w:val="0"/>
      <w:marRight w:val="0"/>
      <w:marTop w:val="0"/>
      <w:marBottom w:val="0"/>
      <w:divBdr>
        <w:top w:val="none" w:sz="0" w:space="0" w:color="auto"/>
        <w:left w:val="none" w:sz="0" w:space="0" w:color="auto"/>
        <w:bottom w:val="none" w:sz="0" w:space="0" w:color="auto"/>
        <w:right w:val="none" w:sz="0" w:space="0" w:color="auto"/>
      </w:divBdr>
    </w:div>
    <w:div w:id="1227759589">
      <w:bodyDiv w:val="1"/>
      <w:marLeft w:val="0"/>
      <w:marRight w:val="0"/>
      <w:marTop w:val="0"/>
      <w:marBottom w:val="0"/>
      <w:divBdr>
        <w:top w:val="none" w:sz="0" w:space="0" w:color="auto"/>
        <w:left w:val="none" w:sz="0" w:space="0" w:color="auto"/>
        <w:bottom w:val="none" w:sz="0" w:space="0" w:color="auto"/>
        <w:right w:val="none" w:sz="0" w:space="0" w:color="auto"/>
      </w:divBdr>
    </w:div>
    <w:div w:id="1227763491">
      <w:bodyDiv w:val="1"/>
      <w:marLeft w:val="0"/>
      <w:marRight w:val="0"/>
      <w:marTop w:val="0"/>
      <w:marBottom w:val="0"/>
      <w:divBdr>
        <w:top w:val="none" w:sz="0" w:space="0" w:color="auto"/>
        <w:left w:val="none" w:sz="0" w:space="0" w:color="auto"/>
        <w:bottom w:val="none" w:sz="0" w:space="0" w:color="auto"/>
        <w:right w:val="none" w:sz="0" w:space="0" w:color="auto"/>
      </w:divBdr>
      <w:divsChild>
        <w:div w:id="604536286">
          <w:marLeft w:val="0"/>
          <w:marRight w:val="0"/>
          <w:marTop w:val="0"/>
          <w:marBottom w:val="0"/>
          <w:divBdr>
            <w:top w:val="none" w:sz="0" w:space="0" w:color="auto"/>
            <w:left w:val="none" w:sz="0" w:space="0" w:color="auto"/>
            <w:bottom w:val="none" w:sz="0" w:space="0" w:color="auto"/>
            <w:right w:val="none" w:sz="0" w:space="0" w:color="auto"/>
          </w:divBdr>
          <w:divsChild>
            <w:div w:id="32072949">
              <w:marLeft w:val="0"/>
              <w:marRight w:val="0"/>
              <w:marTop w:val="0"/>
              <w:marBottom w:val="0"/>
              <w:divBdr>
                <w:top w:val="none" w:sz="0" w:space="0" w:color="auto"/>
                <w:left w:val="none" w:sz="0" w:space="0" w:color="auto"/>
                <w:bottom w:val="none" w:sz="0" w:space="0" w:color="auto"/>
                <w:right w:val="none" w:sz="0" w:space="0" w:color="auto"/>
              </w:divBdr>
              <w:divsChild>
                <w:div w:id="1056516109">
                  <w:marLeft w:val="0"/>
                  <w:marRight w:val="0"/>
                  <w:marTop w:val="0"/>
                  <w:marBottom w:val="0"/>
                  <w:divBdr>
                    <w:top w:val="none" w:sz="0" w:space="0" w:color="auto"/>
                    <w:left w:val="none" w:sz="0" w:space="0" w:color="auto"/>
                    <w:bottom w:val="none" w:sz="0" w:space="0" w:color="auto"/>
                    <w:right w:val="none" w:sz="0" w:space="0" w:color="auto"/>
                  </w:divBdr>
                  <w:divsChild>
                    <w:div w:id="20983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87055">
      <w:bodyDiv w:val="1"/>
      <w:marLeft w:val="0"/>
      <w:marRight w:val="0"/>
      <w:marTop w:val="0"/>
      <w:marBottom w:val="0"/>
      <w:divBdr>
        <w:top w:val="none" w:sz="0" w:space="0" w:color="auto"/>
        <w:left w:val="none" w:sz="0" w:space="0" w:color="auto"/>
        <w:bottom w:val="none" w:sz="0" w:space="0" w:color="auto"/>
        <w:right w:val="none" w:sz="0" w:space="0" w:color="auto"/>
      </w:divBdr>
    </w:div>
    <w:div w:id="1238901437">
      <w:bodyDiv w:val="1"/>
      <w:marLeft w:val="0"/>
      <w:marRight w:val="0"/>
      <w:marTop w:val="0"/>
      <w:marBottom w:val="0"/>
      <w:divBdr>
        <w:top w:val="none" w:sz="0" w:space="0" w:color="auto"/>
        <w:left w:val="none" w:sz="0" w:space="0" w:color="auto"/>
        <w:bottom w:val="none" w:sz="0" w:space="0" w:color="auto"/>
        <w:right w:val="none" w:sz="0" w:space="0" w:color="auto"/>
      </w:divBdr>
      <w:divsChild>
        <w:div w:id="1252932187">
          <w:marLeft w:val="0"/>
          <w:marRight w:val="0"/>
          <w:marTop w:val="0"/>
          <w:marBottom w:val="0"/>
          <w:divBdr>
            <w:top w:val="none" w:sz="0" w:space="0" w:color="auto"/>
            <w:left w:val="none" w:sz="0" w:space="0" w:color="auto"/>
            <w:bottom w:val="none" w:sz="0" w:space="0" w:color="auto"/>
            <w:right w:val="none" w:sz="0" w:space="0" w:color="auto"/>
          </w:divBdr>
          <w:divsChild>
            <w:div w:id="1235818459">
              <w:marLeft w:val="0"/>
              <w:marRight w:val="0"/>
              <w:marTop w:val="0"/>
              <w:marBottom w:val="0"/>
              <w:divBdr>
                <w:top w:val="none" w:sz="0" w:space="0" w:color="auto"/>
                <w:left w:val="none" w:sz="0" w:space="0" w:color="auto"/>
                <w:bottom w:val="none" w:sz="0" w:space="0" w:color="auto"/>
                <w:right w:val="none" w:sz="0" w:space="0" w:color="auto"/>
              </w:divBdr>
              <w:divsChild>
                <w:div w:id="14254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362473">
      <w:bodyDiv w:val="1"/>
      <w:marLeft w:val="0"/>
      <w:marRight w:val="0"/>
      <w:marTop w:val="0"/>
      <w:marBottom w:val="0"/>
      <w:divBdr>
        <w:top w:val="none" w:sz="0" w:space="0" w:color="auto"/>
        <w:left w:val="none" w:sz="0" w:space="0" w:color="auto"/>
        <w:bottom w:val="none" w:sz="0" w:space="0" w:color="auto"/>
        <w:right w:val="none" w:sz="0" w:space="0" w:color="auto"/>
      </w:divBdr>
    </w:div>
    <w:div w:id="1309702520">
      <w:bodyDiv w:val="1"/>
      <w:marLeft w:val="0"/>
      <w:marRight w:val="0"/>
      <w:marTop w:val="0"/>
      <w:marBottom w:val="0"/>
      <w:divBdr>
        <w:top w:val="none" w:sz="0" w:space="0" w:color="auto"/>
        <w:left w:val="none" w:sz="0" w:space="0" w:color="auto"/>
        <w:bottom w:val="none" w:sz="0" w:space="0" w:color="auto"/>
        <w:right w:val="none" w:sz="0" w:space="0" w:color="auto"/>
      </w:divBdr>
    </w:div>
    <w:div w:id="1390223828">
      <w:bodyDiv w:val="1"/>
      <w:marLeft w:val="0"/>
      <w:marRight w:val="0"/>
      <w:marTop w:val="0"/>
      <w:marBottom w:val="0"/>
      <w:divBdr>
        <w:top w:val="none" w:sz="0" w:space="0" w:color="auto"/>
        <w:left w:val="none" w:sz="0" w:space="0" w:color="auto"/>
        <w:bottom w:val="none" w:sz="0" w:space="0" w:color="auto"/>
        <w:right w:val="none" w:sz="0" w:space="0" w:color="auto"/>
      </w:divBdr>
    </w:div>
    <w:div w:id="1393650593">
      <w:bodyDiv w:val="1"/>
      <w:marLeft w:val="0"/>
      <w:marRight w:val="0"/>
      <w:marTop w:val="0"/>
      <w:marBottom w:val="0"/>
      <w:divBdr>
        <w:top w:val="none" w:sz="0" w:space="0" w:color="auto"/>
        <w:left w:val="none" w:sz="0" w:space="0" w:color="auto"/>
        <w:bottom w:val="none" w:sz="0" w:space="0" w:color="auto"/>
        <w:right w:val="none" w:sz="0" w:space="0" w:color="auto"/>
      </w:divBdr>
      <w:divsChild>
        <w:div w:id="229318080">
          <w:marLeft w:val="0"/>
          <w:marRight w:val="0"/>
          <w:marTop w:val="0"/>
          <w:marBottom w:val="0"/>
          <w:divBdr>
            <w:top w:val="none" w:sz="0" w:space="0" w:color="auto"/>
            <w:left w:val="none" w:sz="0" w:space="0" w:color="auto"/>
            <w:bottom w:val="none" w:sz="0" w:space="0" w:color="auto"/>
            <w:right w:val="none" w:sz="0" w:space="0" w:color="auto"/>
          </w:divBdr>
        </w:div>
        <w:div w:id="1211844939">
          <w:marLeft w:val="0"/>
          <w:marRight w:val="0"/>
          <w:marTop w:val="0"/>
          <w:marBottom w:val="0"/>
          <w:divBdr>
            <w:top w:val="none" w:sz="0" w:space="0" w:color="auto"/>
            <w:left w:val="none" w:sz="0" w:space="0" w:color="auto"/>
            <w:bottom w:val="none" w:sz="0" w:space="0" w:color="auto"/>
            <w:right w:val="none" w:sz="0" w:space="0" w:color="auto"/>
          </w:divBdr>
        </w:div>
        <w:div w:id="1889144733">
          <w:marLeft w:val="0"/>
          <w:marRight w:val="0"/>
          <w:marTop w:val="0"/>
          <w:marBottom w:val="0"/>
          <w:divBdr>
            <w:top w:val="none" w:sz="0" w:space="0" w:color="auto"/>
            <w:left w:val="none" w:sz="0" w:space="0" w:color="auto"/>
            <w:bottom w:val="none" w:sz="0" w:space="0" w:color="auto"/>
            <w:right w:val="none" w:sz="0" w:space="0" w:color="auto"/>
          </w:divBdr>
        </w:div>
      </w:divsChild>
    </w:div>
    <w:div w:id="1407915866">
      <w:bodyDiv w:val="1"/>
      <w:marLeft w:val="0"/>
      <w:marRight w:val="0"/>
      <w:marTop w:val="0"/>
      <w:marBottom w:val="0"/>
      <w:divBdr>
        <w:top w:val="none" w:sz="0" w:space="0" w:color="auto"/>
        <w:left w:val="none" w:sz="0" w:space="0" w:color="auto"/>
        <w:bottom w:val="none" w:sz="0" w:space="0" w:color="auto"/>
        <w:right w:val="none" w:sz="0" w:space="0" w:color="auto"/>
      </w:divBdr>
    </w:div>
    <w:div w:id="1407990533">
      <w:bodyDiv w:val="1"/>
      <w:marLeft w:val="0"/>
      <w:marRight w:val="0"/>
      <w:marTop w:val="0"/>
      <w:marBottom w:val="0"/>
      <w:divBdr>
        <w:top w:val="none" w:sz="0" w:space="0" w:color="auto"/>
        <w:left w:val="none" w:sz="0" w:space="0" w:color="auto"/>
        <w:bottom w:val="none" w:sz="0" w:space="0" w:color="auto"/>
        <w:right w:val="none" w:sz="0" w:space="0" w:color="auto"/>
      </w:divBdr>
    </w:div>
    <w:div w:id="1413429300">
      <w:bodyDiv w:val="1"/>
      <w:marLeft w:val="0"/>
      <w:marRight w:val="0"/>
      <w:marTop w:val="0"/>
      <w:marBottom w:val="0"/>
      <w:divBdr>
        <w:top w:val="none" w:sz="0" w:space="0" w:color="auto"/>
        <w:left w:val="none" w:sz="0" w:space="0" w:color="auto"/>
        <w:bottom w:val="none" w:sz="0" w:space="0" w:color="auto"/>
        <w:right w:val="none" w:sz="0" w:space="0" w:color="auto"/>
      </w:divBdr>
    </w:div>
    <w:div w:id="1415861501">
      <w:bodyDiv w:val="1"/>
      <w:marLeft w:val="0"/>
      <w:marRight w:val="0"/>
      <w:marTop w:val="0"/>
      <w:marBottom w:val="0"/>
      <w:divBdr>
        <w:top w:val="none" w:sz="0" w:space="0" w:color="auto"/>
        <w:left w:val="none" w:sz="0" w:space="0" w:color="auto"/>
        <w:bottom w:val="none" w:sz="0" w:space="0" w:color="auto"/>
        <w:right w:val="none" w:sz="0" w:space="0" w:color="auto"/>
      </w:divBdr>
    </w:div>
    <w:div w:id="1439328478">
      <w:bodyDiv w:val="1"/>
      <w:marLeft w:val="0"/>
      <w:marRight w:val="0"/>
      <w:marTop w:val="0"/>
      <w:marBottom w:val="0"/>
      <w:divBdr>
        <w:top w:val="none" w:sz="0" w:space="0" w:color="auto"/>
        <w:left w:val="none" w:sz="0" w:space="0" w:color="auto"/>
        <w:bottom w:val="none" w:sz="0" w:space="0" w:color="auto"/>
        <w:right w:val="none" w:sz="0" w:space="0" w:color="auto"/>
      </w:divBdr>
    </w:div>
    <w:div w:id="1473870506">
      <w:bodyDiv w:val="1"/>
      <w:marLeft w:val="0"/>
      <w:marRight w:val="0"/>
      <w:marTop w:val="0"/>
      <w:marBottom w:val="0"/>
      <w:divBdr>
        <w:top w:val="none" w:sz="0" w:space="0" w:color="auto"/>
        <w:left w:val="none" w:sz="0" w:space="0" w:color="auto"/>
        <w:bottom w:val="none" w:sz="0" w:space="0" w:color="auto"/>
        <w:right w:val="none" w:sz="0" w:space="0" w:color="auto"/>
      </w:divBdr>
    </w:div>
    <w:div w:id="1478843267">
      <w:bodyDiv w:val="1"/>
      <w:marLeft w:val="0"/>
      <w:marRight w:val="0"/>
      <w:marTop w:val="0"/>
      <w:marBottom w:val="0"/>
      <w:divBdr>
        <w:top w:val="none" w:sz="0" w:space="0" w:color="auto"/>
        <w:left w:val="none" w:sz="0" w:space="0" w:color="auto"/>
        <w:bottom w:val="none" w:sz="0" w:space="0" w:color="auto"/>
        <w:right w:val="none" w:sz="0" w:space="0" w:color="auto"/>
      </w:divBdr>
    </w:div>
    <w:div w:id="1491871012">
      <w:bodyDiv w:val="1"/>
      <w:marLeft w:val="0"/>
      <w:marRight w:val="0"/>
      <w:marTop w:val="0"/>
      <w:marBottom w:val="0"/>
      <w:divBdr>
        <w:top w:val="none" w:sz="0" w:space="0" w:color="auto"/>
        <w:left w:val="none" w:sz="0" w:space="0" w:color="auto"/>
        <w:bottom w:val="none" w:sz="0" w:space="0" w:color="auto"/>
        <w:right w:val="none" w:sz="0" w:space="0" w:color="auto"/>
      </w:divBdr>
    </w:div>
    <w:div w:id="1510408950">
      <w:bodyDiv w:val="1"/>
      <w:marLeft w:val="0"/>
      <w:marRight w:val="0"/>
      <w:marTop w:val="0"/>
      <w:marBottom w:val="0"/>
      <w:divBdr>
        <w:top w:val="none" w:sz="0" w:space="0" w:color="auto"/>
        <w:left w:val="none" w:sz="0" w:space="0" w:color="auto"/>
        <w:bottom w:val="none" w:sz="0" w:space="0" w:color="auto"/>
        <w:right w:val="none" w:sz="0" w:space="0" w:color="auto"/>
      </w:divBdr>
    </w:div>
    <w:div w:id="1539506722">
      <w:bodyDiv w:val="1"/>
      <w:marLeft w:val="0"/>
      <w:marRight w:val="0"/>
      <w:marTop w:val="0"/>
      <w:marBottom w:val="0"/>
      <w:divBdr>
        <w:top w:val="none" w:sz="0" w:space="0" w:color="auto"/>
        <w:left w:val="none" w:sz="0" w:space="0" w:color="auto"/>
        <w:bottom w:val="none" w:sz="0" w:space="0" w:color="auto"/>
        <w:right w:val="none" w:sz="0" w:space="0" w:color="auto"/>
      </w:divBdr>
      <w:divsChild>
        <w:div w:id="1084568362">
          <w:marLeft w:val="0"/>
          <w:marRight w:val="0"/>
          <w:marTop w:val="0"/>
          <w:marBottom w:val="0"/>
          <w:divBdr>
            <w:top w:val="none" w:sz="0" w:space="0" w:color="auto"/>
            <w:left w:val="none" w:sz="0" w:space="0" w:color="auto"/>
            <w:bottom w:val="none" w:sz="0" w:space="0" w:color="auto"/>
            <w:right w:val="none" w:sz="0" w:space="0" w:color="auto"/>
          </w:divBdr>
          <w:divsChild>
            <w:div w:id="1279945433">
              <w:marLeft w:val="0"/>
              <w:marRight w:val="0"/>
              <w:marTop w:val="0"/>
              <w:marBottom w:val="0"/>
              <w:divBdr>
                <w:top w:val="none" w:sz="0" w:space="0" w:color="auto"/>
                <w:left w:val="none" w:sz="0" w:space="0" w:color="auto"/>
                <w:bottom w:val="none" w:sz="0" w:space="0" w:color="auto"/>
                <w:right w:val="none" w:sz="0" w:space="0" w:color="auto"/>
              </w:divBdr>
              <w:divsChild>
                <w:div w:id="1913392157">
                  <w:marLeft w:val="0"/>
                  <w:marRight w:val="0"/>
                  <w:marTop w:val="0"/>
                  <w:marBottom w:val="0"/>
                  <w:divBdr>
                    <w:top w:val="none" w:sz="0" w:space="0" w:color="auto"/>
                    <w:left w:val="none" w:sz="0" w:space="0" w:color="auto"/>
                    <w:bottom w:val="none" w:sz="0" w:space="0" w:color="auto"/>
                    <w:right w:val="none" w:sz="0" w:space="0" w:color="auto"/>
                  </w:divBdr>
                  <w:divsChild>
                    <w:div w:id="17081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85050">
      <w:bodyDiv w:val="1"/>
      <w:marLeft w:val="0"/>
      <w:marRight w:val="0"/>
      <w:marTop w:val="0"/>
      <w:marBottom w:val="0"/>
      <w:divBdr>
        <w:top w:val="none" w:sz="0" w:space="0" w:color="auto"/>
        <w:left w:val="none" w:sz="0" w:space="0" w:color="auto"/>
        <w:bottom w:val="none" w:sz="0" w:space="0" w:color="auto"/>
        <w:right w:val="none" w:sz="0" w:space="0" w:color="auto"/>
      </w:divBdr>
      <w:divsChild>
        <w:div w:id="240023446">
          <w:marLeft w:val="0"/>
          <w:marRight w:val="0"/>
          <w:marTop w:val="0"/>
          <w:marBottom w:val="0"/>
          <w:divBdr>
            <w:top w:val="none" w:sz="0" w:space="0" w:color="auto"/>
            <w:left w:val="none" w:sz="0" w:space="0" w:color="auto"/>
            <w:bottom w:val="none" w:sz="0" w:space="0" w:color="auto"/>
            <w:right w:val="none" w:sz="0" w:space="0" w:color="auto"/>
          </w:divBdr>
          <w:divsChild>
            <w:div w:id="970985343">
              <w:marLeft w:val="0"/>
              <w:marRight w:val="0"/>
              <w:marTop w:val="0"/>
              <w:marBottom w:val="0"/>
              <w:divBdr>
                <w:top w:val="none" w:sz="0" w:space="0" w:color="auto"/>
                <w:left w:val="none" w:sz="0" w:space="0" w:color="auto"/>
                <w:bottom w:val="none" w:sz="0" w:space="0" w:color="auto"/>
                <w:right w:val="none" w:sz="0" w:space="0" w:color="auto"/>
              </w:divBdr>
              <w:divsChild>
                <w:div w:id="13691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57231">
      <w:bodyDiv w:val="1"/>
      <w:marLeft w:val="0"/>
      <w:marRight w:val="0"/>
      <w:marTop w:val="0"/>
      <w:marBottom w:val="0"/>
      <w:divBdr>
        <w:top w:val="none" w:sz="0" w:space="0" w:color="auto"/>
        <w:left w:val="none" w:sz="0" w:space="0" w:color="auto"/>
        <w:bottom w:val="none" w:sz="0" w:space="0" w:color="auto"/>
        <w:right w:val="none" w:sz="0" w:space="0" w:color="auto"/>
      </w:divBdr>
    </w:div>
    <w:div w:id="1575431867">
      <w:bodyDiv w:val="1"/>
      <w:marLeft w:val="0"/>
      <w:marRight w:val="0"/>
      <w:marTop w:val="0"/>
      <w:marBottom w:val="0"/>
      <w:divBdr>
        <w:top w:val="none" w:sz="0" w:space="0" w:color="auto"/>
        <w:left w:val="none" w:sz="0" w:space="0" w:color="auto"/>
        <w:bottom w:val="none" w:sz="0" w:space="0" w:color="auto"/>
        <w:right w:val="none" w:sz="0" w:space="0" w:color="auto"/>
      </w:divBdr>
    </w:div>
    <w:div w:id="1613050625">
      <w:bodyDiv w:val="1"/>
      <w:marLeft w:val="0"/>
      <w:marRight w:val="0"/>
      <w:marTop w:val="0"/>
      <w:marBottom w:val="0"/>
      <w:divBdr>
        <w:top w:val="none" w:sz="0" w:space="0" w:color="auto"/>
        <w:left w:val="none" w:sz="0" w:space="0" w:color="auto"/>
        <w:bottom w:val="none" w:sz="0" w:space="0" w:color="auto"/>
        <w:right w:val="none" w:sz="0" w:space="0" w:color="auto"/>
      </w:divBdr>
      <w:divsChild>
        <w:div w:id="206188358">
          <w:marLeft w:val="0"/>
          <w:marRight w:val="0"/>
          <w:marTop w:val="0"/>
          <w:marBottom w:val="0"/>
          <w:divBdr>
            <w:top w:val="none" w:sz="0" w:space="0" w:color="auto"/>
            <w:left w:val="none" w:sz="0" w:space="0" w:color="auto"/>
            <w:bottom w:val="none" w:sz="0" w:space="0" w:color="auto"/>
            <w:right w:val="none" w:sz="0" w:space="0" w:color="auto"/>
          </w:divBdr>
        </w:div>
        <w:div w:id="491993985">
          <w:marLeft w:val="0"/>
          <w:marRight w:val="0"/>
          <w:marTop w:val="0"/>
          <w:marBottom w:val="0"/>
          <w:divBdr>
            <w:top w:val="none" w:sz="0" w:space="0" w:color="auto"/>
            <w:left w:val="none" w:sz="0" w:space="0" w:color="auto"/>
            <w:bottom w:val="none" w:sz="0" w:space="0" w:color="auto"/>
            <w:right w:val="none" w:sz="0" w:space="0" w:color="auto"/>
          </w:divBdr>
        </w:div>
        <w:div w:id="675694077">
          <w:marLeft w:val="0"/>
          <w:marRight w:val="0"/>
          <w:marTop w:val="0"/>
          <w:marBottom w:val="0"/>
          <w:divBdr>
            <w:top w:val="none" w:sz="0" w:space="0" w:color="auto"/>
            <w:left w:val="none" w:sz="0" w:space="0" w:color="auto"/>
            <w:bottom w:val="none" w:sz="0" w:space="0" w:color="auto"/>
            <w:right w:val="none" w:sz="0" w:space="0" w:color="auto"/>
          </w:divBdr>
        </w:div>
        <w:div w:id="691148049">
          <w:marLeft w:val="0"/>
          <w:marRight w:val="0"/>
          <w:marTop w:val="0"/>
          <w:marBottom w:val="0"/>
          <w:divBdr>
            <w:top w:val="none" w:sz="0" w:space="0" w:color="auto"/>
            <w:left w:val="none" w:sz="0" w:space="0" w:color="auto"/>
            <w:bottom w:val="none" w:sz="0" w:space="0" w:color="auto"/>
            <w:right w:val="none" w:sz="0" w:space="0" w:color="auto"/>
          </w:divBdr>
        </w:div>
        <w:div w:id="1166284421">
          <w:marLeft w:val="0"/>
          <w:marRight w:val="0"/>
          <w:marTop w:val="0"/>
          <w:marBottom w:val="0"/>
          <w:divBdr>
            <w:top w:val="none" w:sz="0" w:space="0" w:color="auto"/>
            <w:left w:val="none" w:sz="0" w:space="0" w:color="auto"/>
            <w:bottom w:val="none" w:sz="0" w:space="0" w:color="auto"/>
            <w:right w:val="none" w:sz="0" w:space="0" w:color="auto"/>
          </w:divBdr>
        </w:div>
        <w:div w:id="1297685545">
          <w:marLeft w:val="0"/>
          <w:marRight w:val="0"/>
          <w:marTop w:val="0"/>
          <w:marBottom w:val="0"/>
          <w:divBdr>
            <w:top w:val="none" w:sz="0" w:space="0" w:color="auto"/>
            <w:left w:val="none" w:sz="0" w:space="0" w:color="auto"/>
            <w:bottom w:val="none" w:sz="0" w:space="0" w:color="auto"/>
            <w:right w:val="none" w:sz="0" w:space="0" w:color="auto"/>
          </w:divBdr>
        </w:div>
        <w:div w:id="1411197888">
          <w:marLeft w:val="0"/>
          <w:marRight w:val="0"/>
          <w:marTop w:val="0"/>
          <w:marBottom w:val="0"/>
          <w:divBdr>
            <w:top w:val="none" w:sz="0" w:space="0" w:color="auto"/>
            <w:left w:val="none" w:sz="0" w:space="0" w:color="auto"/>
            <w:bottom w:val="none" w:sz="0" w:space="0" w:color="auto"/>
            <w:right w:val="none" w:sz="0" w:space="0" w:color="auto"/>
          </w:divBdr>
        </w:div>
        <w:div w:id="1749770509">
          <w:marLeft w:val="0"/>
          <w:marRight w:val="0"/>
          <w:marTop w:val="0"/>
          <w:marBottom w:val="0"/>
          <w:divBdr>
            <w:top w:val="none" w:sz="0" w:space="0" w:color="auto"/>
            <w:left w:val="none" w:sz="0" w:space="0" w:color="auto"/>
            <w:bottom w:val="none" w:sz="0" w:space="0" w:color="auto"/>
            <w:right w:val="none" w:sz="0" w:space="0" w:color="auto"/>
          </w:divBdr>
        </w:div>
        <w:div w:id="1840190448">
          <w:marLeft w:val="0"/>
          <w:marRight w:val="0"/>
          <w:marTop w:val="0"/>
          <w:marBottom w:val="0"/>
          <w:divBdr>
            <w:top w:val="none" w:sz="0" w:space="0" w:color="auto"/>
            <w:left w:val="none" w:sz="0" w:space="0" w:color="auto"/>
            <w:bottom w:val="none" w:sz="0" w:space="0" w:color="auto"/>
            <w:right w:val="none" w:sz="0" w:space="0" w:color="auto"/>
          </w:divBdr>
        </w:div>
        <w:div w:id="1994793808">
          <w:marLeft w:val="0"/>
          <w:marRight w:val="0"/>
          <w:marTop w:val="0"/>
          <w:marBottom w:val="0"/>
          <w:divBdr>
            <w:top w:val="none" w:sz="0" w:space="0" w:color="auto"/>
            <w:left w:val="none" w:sz="0" w:space="0" w:color="auto"/>
            <w:bottom w:val="none" w:sz="0" w:space="0" w:color="auto"/>
            <w:right w:val="none" w:sz="0" w:space="0" w:color="auto"/>
          </w:divBdr>
        </w:div>
      </w:divsChild>
    </w:div>
    <w:div w:id="1621297045">
      <w:bodyDiv w:val="1"/>
      <w:marLeft w:val="0"/>
      <w:marRight w:val="0"/>
      <w:marTop w:val="0"/>
      <w:marBottom w:val="0"/>
      <w:divBdr>
        <w:top w:val="none" w:sz="0" w:space="0" w:color="auto"/>
        <w:left w:val="none" w:sz="0" w:space="0" w:color="auto"/>
        <w:bottom w:val="none" w:sz="0" w:space="0" w:color="auto"/>
        <w:right w:val="none" w:sz="0" w:space="0" w:color="auto"/>
      </w:divBdr>
    </w:div>
    <w:div w:id="1624921899">
      <w:bodyDiv w:val="1"/>
      <w:marLeft w:val="0"/>
      <w:marRight w:val="0"/>
      <w:marTop w:val="0"/>
      <w:marBottom w:val="0"/>
      <w:divBdr>
        <w:top w:val="none" w:sz="0" w:space="0" w:color="auto"/>
        <w:left w:val="none" w:sz="0" w:space="0" w:color="auto"/>
        <w:bottom w:val="none" w:sz="0" w:space="0" w:color="auto"/>
        <w:right w:val="none" w:sz="0" w:space="0" w:color="auto"/>
      </w:divBdr>
    </w:div>
    <w:div w:id="1630895099">
      <w:bodyDiv w:val="1"/>
      <w:marLeft w:val="0"/>
      <w:marRight w:val="0"/>
      <w:marTop w:val="0"/>
      <w:marBottom w:val="0"/>
      <w:divBdr>
        <w:top w:val="none" w:sz="0" w:space="0" w:color="auto"/>
        <w:left w:val="none" w:sz="0" w:space="0" w:color="auto"/>
        <w:bottom w:val="none" w:sz="0" w:space="0" w:color="auto"/>
        <w:right w:val="none" w:sz="0" w:space="0" w:color="auto"/>
      </w:divBdr>
    </w:div>
    <w:div w:id="1637955759">
      <w:bodyDiv w:val="1"/>
      <w:marLeft w:val="0"/>
      <w:marRight w:val="0"/>
      <w:marTop w:val="0"/>
      <w:marBottom w:val="0"/>
      <w:divBdr>
        <w:top w:val="none" w:sz="0" w:space="0" w:color="auto"/>
        <w:left w:val="none" w:sz="0" w:space="0" w:color="auto"/>
        <w:bottom w:val="none" w:sz="0" w:space="0" w:color="auto"/>
        <w:right w:val="none" w:sz="0" w:space="0" w:color="auto"/>
      </w:divBdr>
    </w:div>
    <w:div w:id="1683358118">
      <w:bodyDiv w:val="1"/>
      <w:marLeft w:val="0"/>
      <w:marRight w:val="0"/>
      <w:marTop w:val="0"/>
      <w:marBottom w:val="0"/>
      <w:divBdr>
        <w:top w:val="none" w:sz="0" w:space="0" w:color="auto"/>
        <w:left w:val="none" w:sz="0" w:space="0" w:color="auto"/>
        <w:bottom w:val="none" w:sz="0" w:space="0" w:color="auto"/>
        <w:right w:val="none" w:sz="0" w:space="0" w:color="auto"/>
      </w:divBdr>
    </w:div>
    <w:div w:id="1738556680">
      <w:bodyDiv w:val="1"/>
      <w:marLeft w:val="0"/>
      <w:marRight w:val="0"/>
      <w:marTop w:val="0"/>
      <w:marBottom w:val="0"/>
      <w:divBdr>
        <w:top w:val="none" w:sz="0" w:space="0" w:color="auto"/>
        <w:left w:val="none" w:sz="0" w:space="0" w:color="auto"/>
        <w:bottom w:val="none" w:sz="0" w:space="0" w:color="auto"/>
        <w:right w:val="none" w:sz="0" w:space="0" w:color="auto"/>
      </w:divBdr>
    </w:div>
    <w:div w:id="1830706162">
      <w:bodyDiv w:val="1"/>
      <w:marLeft w:val="0"/>
      <w:marRight w:val="0"/>
      <w:marTop w:val="0"/>
      <w:marBottom w:val="0"/>
      <w:divBdr>
        <w:top w:val="none" w:sz="0" w:space="0" w:color="auto"/>
        <w:left w:val="none" w:sz="0" w:space="0" w:color="auto"/>
        <w:bottom w:val="none" w:sz="0" w:space="0" w:color="auto"/>
        <w:right w:val="none" w:sz="0" w:space="0" w:color="auto"/>
      </w:divBdr>
    </w:div>
    <w:div w:id="1919902021">
      <w:bodyDiv w:val="1"/>
      <w:marLeft w:val="0"/>
      <w:marRight w:val="0"/>
      <w:marTop w:val="0"/>
      <w:marBottom w:val="0"/>
      <w:divBdr>
        <w:top w:val="none" w:sz="0" w:space="0" w:color="auto"/>
        <w:left w:val="none" w:sz="0" w:space="0" w:color="auto"/>
        <w:bottom w:val="none" w:sz="0" w:space="0" w:color="auto"/>
        <w:right w:val="none" w:sz="0" w:space="0" w:color="auto"/>
      </w:divBdr>
    </w:div>
    <w:div w:id="1936088761">
      <w:bodyDiv w:val="1"/>
      <w:marLeft w:val="0"/>
      <w:marRight w:val="0"/>
      <w:marTop w:val="0"/>
      <w:marBottom w:val="0"/>
      <w:divBdr>
        <w:top w:val="none" w:sz="0" w:space="0" w:color="auto"/>
        <w:left w:val="none" w:sz="0" w:space="0" w:color="auto"/>
        <w:bottom w:val="none" w:sz="0" w:space="0" w:color="auto"/>
        <w:right w:val="none" w:sz="0" w:space="0" w:color="auto"/>
      </w:divBdr>
      <w:divsChild>
        <w:div w:id="1732119596">
          <w:marLeft w:val="0"/>
          <w:marRight w:val="0"/>
          <w:marTop w:val="0"/>
          <w:marBottom w:val="0"/>
          <w:divBdr>
            <w:top w:val="none" w:sz="0" w:space="0" w:color="auto"/>
            <w:left w:val="none" w:sz="0" w:space="0" w:color="auto"/>
            <w:bottom w:val="none" w:sz="0" w:space="0" w:color="auto"/>
            <w:right w:val="none" w:sz="0" w:space="0" w:color="auto"/>
          </w:divBdr>
          <w:divsChild>
            <w:div w:id="163281150">
              <w:marLeft w:val="0"/>
              <w:marRight w:val="0"/>
              <w:marTop w:val="0"/>
              <w:marBottom w:val="0"/>
              <w:divBdr>
                <w:top w:val="none" w:sz="0" w:space="0" w:color="auto"/>
                <w:left w:val="none" w:sz="0" w:space="0" w:color="auto"/>
                <w:bottom w:val="none" w:sz="0" w:space="0" w:color="auto"/>
                <w:right w:val="none" w:sz="0" w:space="0" w:color="auto"/>
              </w:divBdr>
              <w:divsChild>
                <w:div w:id="6121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79201">
      <w:bodyDiv w:val="1"/>
      <w:marLeft w:val="0"/>
      <w:marRight w:val="0"/>
      <w:marTop w:val="0"/>
      <w:marBottom w:val="0"/>
      <w:divBdr>
        <w:top w:val="none" w:sz="0" w:space="0" w:color="auto"/>
        <w:left w:val="none" w:sz="0" w:space="0" w:color="auto"/>
        <w:bottom w:val="none" w:sz="0" w:space="0" w:color="auto"/>
        <w:right w:val="none" w:sz="0" w:space="0" w:color="auto"/>
      </w:divBdr>
    </w:div>
    <w:div w:id="1981693246">
      <w:bodyDiv w:val="1"/>
      <w:marLeft w:val="0"/>
      <w:marRight w:val="0"/>
      <w:marTop w:val="0"/>
      <w:marBottom w:val="0"/>
      <w:divBdr>
        <w:top w:val="none" w:sz="0" w:space="0" w:color="auto"/>
        <w:left w:val="none" w:sz="0" w:space="0" w:color="auto"/>
        <w:bottom w:val="none" w:sz="0" w:space="0" w:color="auto"/>
        <w:right w:val="none" w:sz="0" w:space="0" w:color="auto"/>
      </w:divBdr>
    </w:div>
    <w:div w:id="2000230500">
      <w:bodyDiv w:val="1"/>
      <w:marLeft w:val="0"/>
      <w:marRight w:val="0"/>
      <w:marTop w:val="0"/>
      <w:marBottom w:val="0"/>
      <w:divBdr>
        <w:top w:val="none" w:sz="0" w:space="0" w:color="auto"/>
        <w:left w:val="none" w:sz="0" w:space="0" w:color="auto"/>
        <w:bottom w:val="none" w:sz="0" w:space="0" w:color="auto"/>
        <w:right w:val="none" w:sz="0" w:space="0" w:color="auto"/>
      </w:divBdr>
    </w:div>
    <w:div w:id="2009559550">
      <w:bodyDiv w:val="1"/>
      <w:marLeft w:val="0"/>
      <w:marRight w:val="0"/>
      <w:marTop w:val="0"/>
      <w:marBottom w:val="0"/>
      <w:divBdr>
        <w:top w:val="none" w:sz="0" w:space="0" w:color="auto"/>
        <w:left w:val="none" w:sz="0" w:space="0" w:color="auto"/>
        <w:bottom w:val="none" w:sz="0" w:space="0" w:color="auto"/>
        <w:right w:val="none" w:sz="0" w:space="0" w:color="auto"/>
      </w:divBdr>
    </w:div>
    <w:div w:id="2054694112">
      <w:bodyDiv w:val="1"/>
      <w:marLeft w:val="0"/>
      <w:marRight w:val="0"/>
      <w:marTop w:val="0"/>
      <w:marBottom w:val="0"/>
      <w:divBdr>
        <w:top w:val="none" w:sz="0" w:space="0" w:color="auto"/>
        <w:left w:val="none" w:sz="0" w:space="0" w:color="auto"/>
        <w:bottom w:val="none" w:sz="0" w:space="0" w:color="auto"/>
        <w:right w:val="none" w:sz="0" w:space="0" w:color="auto"/>
      </w:divBdr>
    </w:div>
    <w:div w:id="2061435977">
      <w:bodyDiv w:val="1"/>
      <w:marLeft w:val="0"/>
      <w:marRight w:val="0"/>
      <w:marTop w:val="0"/>
      <w:marBottom w:val="0"/>
      <w:divBdr>
        <w:top w:val="none" w:sz="0" w:space="0" w:color="auto"/>
        <w:left w:val="none" w:sz="0" w:space="0" w:color="auto"/>
        <w:bottom w:val="none" w:sz="0" w:space="0" w:color="auto"/>
        <w:right w:val="none" w:sz="0" w:space="0" w:color="auto"/>
      </w:divBdr>
    </w:div>
    <w:div w:id="2068409506">
      <w:bodyDiv w:val="1"/>
      <w:marLeft w:val="0"/>
      <w:marRight w:val="0"/>
      <w:marTop w:val="0"/>
      <w:marBottom w:val="0"/>
      <w:divBdr>
        <w:top w:val="none" w:sz="0" w:space="0" w:color="auto"/>
        <w:left w:val="none" w:sz="0" w:space="0" w:color="auto"/>
        <w:bottom w:val="none" w:sz="0" w:space="0" w:color="auto"/>
        <w:right w:val="none" w:sz="0" w:space="0" w:color="auto"/>
      </w:divBdr>
    </w:div>
    <w:div w:id="2084906775">
      <w:bodyDiv w:val="1"/>
      <w:marLeft w:val="0"/>
      <w:marRight w:val="0"/>
      <w:marTop w:val="0"/>
      <w:marBottom w:val="0"/>
      <w:divBdr>
        <w:top w:val="none" w:sz="0" w:space="0" w:color="auto"/>
        <w:left w:val="none" w:sz="0" w:space="0" w:color="auto"/>
        <w:bottom w:val="none" w:sz="0" w:space="0" w:color="auto"/>
        <w:right w:val="none" w:sz="0" w:space="0" w:color="auto"/>
      </w:divBdr>
    </w:div>
    <w:div w:id="2117363781">
      <w:bodyDiv w:val="1"/>
      <w:marLeft w:val="0"/>
      <w:marRight w:val="0"/>
      <w:marTop w:val="0"/>
      <w:marBottom w:val="0"/>
      <w:divBdr>
        <w:top w:val="none" w:sz="0" w:space="0" w:color="auto"/>
        <w:left w:val="none" w:sz="0" w:space="0" w:color="auto"/>
        <w:bottom w:val="none" w:sz="0" w:space="0" w:color="auto"/>
        <w:right w:val="none" w:sz="0" w:space="0" w:color="auto"/>
      </w:divBdr>
    </w:div>
    <w:div w:id="2117944987">
      <w:bodyDiv w:val="1"/>
      <w:marLeft w:val="0"/>
      <w:marRight w:val="0"/>
      <w:marTop w:val="0"/>
      <w:marBottom w:val="0"/>
      <w:divBdr>
        <w:top w:val="none" w:sz="0" w:space="0" w:color="auto"/>
        <w:left w:val="none" w:sz="0" w:space="0" w:color="auto"/>
        <w:bottom w:val="none" w:sz="0" w:space="0" w:color="auto"/>
        <w:right w:val="none" w:sz="0" w:space="0" w:color="auto"/>
      </w:divBdr>
    </w:div>
    <w:div w:id="2122188436">
      <w:bodyDiv w:val="1"/>
      <w:marLeft w:val="0"/>
      <w:marRight w:val="0"/>
      <w:marTop w:val="0"/>
      <w:marBottom w:val="0"/>
      <w:divBdr>
        <w:top w:val="none" w:sz="0" w:space="0" w:color="auto"/>
        <w:left w:val="none" w:sz="0" w:space="0" w:color="auto"/>
        <w:bottom w:val="none" w:sz="0" w:space="0" w:color="auto"/>
        <w:right w:val="none" w:sz="0" w:space="0" w:color="auto"/>
      </w:divBdr>
      <w:divsChild>
        <w:div w:id="375079658">
          <w:marLeft w:val="0"/>
          <w:marRight w:val="0"/>
          <w:marTop w:val="0"/>
          <w:marBottom w:val="0"/>
          <w:divBdr>
            <w:top w:val="none" w:sz="0" w:space="0" w:color="auto"/>
            <w:left w:val="none" w:sz="0" w:space="0" w:color="auto"/>
            <w:bottom w:val="none" w:sz="0" w:space="0" w:color="auto"/>
            <w:right w:val="none" w:sz="0" w:space="0" w:color="auto"/>
          </w:divBdr>
        </w:div>
        <w:div w:id="427966584">
          <w:marLeft w:val="0"/>
          <w:marRight w:val="0"/>
          <w:marTop w:val="0"/>
          <w:marBottom w:val="0"/>
          <w:divBdr>
            <w:top w:val="none" w:sz="0" w:space="0" w:color="auto"/>
            <w:left w:val="none" w:sz="0" w:space="0" w:color="auto"/>
            <w:bottom w:val="none" w:sz="0" w:space="0" w:color="auto"/>
            <w:right w:val="none" w:sz="0" w:space="0" w:color="auto"/>
          </w:divBdr>
        </w:div>
        <w:div w:id="441341927">
          <w:marLeft w:val="0"/>
          <w:marRight w:val="0"/>
          <w:marTop w:val="0"/>
          <w:marBottom w:val="0"/>
          <w:divBdr>
            <w:top w:val="none" w:sz="0" w:space="0" w:color="auto"/>
            <w:left w:val="none" w:sz="0" w:space="0" w:color="auto"/>
            <w:bottom w:val="none" w:sz="0" w:space="0" w:color="auto"/>
            <w:right w:val="none" w:sz="0" w:space="0" w:color="auto"/>
          </w:divBdr>
        </w:div>
        <w:div w:id="828329126">
          <w:marLeft w:val="0"/>
          <w:marRight w:val="0"/>
          <w:marTop w:val="0"/>
          <w:marBottom w:val="0"/>
          <w:divBdr>
            <w:top w:val="none" w:sz="0" w:space="0" w:color="auto"/>
            <w:left w:val="none" w:sz="0" w:space="0" w:color="auto"/>
            <w:bottom w:val="none" w:sz="0" w:space="0" w:color="auto"/>
            <w:right w:val="none" w:sz="0" w:space="0" w:color="auto"/>
          </w:divBdr>
        </w:div>
        <w:div w:id="1275790560">
          <w:marLeft w:val="0"/>
          <w:marRight w:val="0"/>
          <w:marTop w:val="0"/>
          <w:marBottom w:val="0"/>
          <w:divBdr>
            <w:top w:val="none" w:sz="0" w:space="0" w:color="auto"/>
            <w:left w:val="none" w:sz="0" w:space="0" w:color="auto"/>
            <w:bottom w:val="none" w:sz="0" w:space="0" w:color="auto"/>
            <w:right w:val="none" w:sz="0" w:space="0" w:color="auto"/>
          </w:divBdr>
        </w:div>
        <w:div w:id="1343163503">
          <w:marLeft w:val="0"/>
          <w:marRight w:val="0"/>
          <w:marTop w:val="0"/>
          <w:marBottom w:val="0"/>
          <w:divBdr>
            <w:top w:val="none" w:sz="0" w:space="0" w:color="auto"/>
            <w:left w:val="none" w:sz="0" w:space="0" w:color="auto"/>
            <w:bottom w:val="none" w:sz="0" w:space="0" w:color="auto"/>
            <w:right w:val="none" w:sz="0" w:space="0" w:color="auto"/>
          </w:divBdr>
        </w:div>
        <w:div w:id="1427309982">
          <w:marLeft w:val="0"/>
          <w:marRight w:val="0"/>
          <w:marTop w:val="0"/>
          <w:marBottom w:val="0"/>
          <w:divBdr>
            <w:top w:val="none" w:sz="0" w:space="0" w:color="auto"/>
            <w:left w:val="none" w:sz="0" w:space="0" w:color="auto"/>
            <w:bottom w:val="none" w:sz="0" w:space="0" w:color="auto"/>
            <w:right w:val="none" w:sz="0" w:space="0" w:color="auto"/>
          </w:divBdr>
        </w:div>
        <w:div w:id="1857575461">
          <w:marLeft w:val="0"/>
          <w:marRight w:val="0"/>
          <w:marTop w:val="0"/>
          <w:marBottom w:val="0"/>
          <w:divBdr>
            <w:top w:val="none" w:sz="0" w:space="0" w:color="auto"/>
            <w:left w:val="none" w:sz="0" w:space="0" w:color="auto"/>
            <w:bottom w:val="none" w:sz="0" w:space="0" w:color="auto"/>
            <w:right w:val="none" w:sz="0" w:space="0" w:color="auto"/>
          </w:divBdr>
        </w:div>
        <w:div w:id="1976596689">
          <w:marLeft w:val="0"/>
          <w:marRight w:val="0"/>
          <w:marTop w:val="0"/>
          <w:marBottom w:val="0"/>
          <w:divBdr>
            <w:top w:val="none" w:sz="0" w:space="0" w:color="auto"/>
            <w:left w:val="none" w:sz="0" w:space="0" w:color="auto"/>
            <w:bottom w:val="none" w:sz="0" w:space="0" w:color="auto"/>
            <w:right w:val="none" w:sz="0" w:space="0" w:color="auto"/>
          </w:divBdr>
        </w:div>
        <w:div w:id="2083600037">
          <w:marLeft w:val="0"/>
          <w:marRight w:val="0"/>
          <w:marTop w:val="0"/>
          <w:marBottom w:val="0"/>
          <w:divBdr>
            <w:top w:val="none" w:sz="0" w:space="0" w:color="auto"/>
            <w:left w:val="none" w:sz="0" w:space="0" w:color="auto"/>
            <w:bottom w:val="none" w:sz="0" w:space="0" w:color="auto"/>
            <w:right w:val="none" w:sz="0" w:space="0" w:color="auto"/>
          </w:divBdr>
        </w:div>
      </w:divsChild>
    </w:div>
    <w:div w:id="2141144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sbm.12473" TargetMode="External"/><Relationship Id="rId13" Type="http://schemas.openxmlformats.org/officeDocument/2006/relationships/hyperlink" Target="https://doi.org/10.1111/j.1540-6520.2010.00427.x" TargetMode="External"/><Relationship Id="rId18"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11/j.1540-6520.2012.00522.x\"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tor.org/stable/213817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177/026624262094913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DW4HLgYPl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E0F03-4AA6-954D-B561-270979BB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53</Pages>
  <Words>15814</Words>
  <Characters>90140</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Telfer School of Management</Company>
  <LinksUpToDate>false</LinksUpToDate>
  <CharactersWithSpaces>105743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Orser</dc:creator>
  <cp:keywords/>
  <dc:description/>
  <cp:lastModifiedBy>Barbara Orser</cp:lastModifiedBy>
  <cp:revision>5</cp:revision>
  <cp:lastPrinted>2020-08-10T22:59:00Z</cp:lastPrinted>
  <dcterms:created xsi:type="dcterms:W3CDTF">2021-01-04T16:27:00Z</dcterms:created>
  <dcterms:modified xsi:type="dcterms:W3CDTF">2021-01-04T16:43:00Z</dcterms:modified>
</cp:coreProperties>
</file>