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9804" w14:textId="28D30FAC" w:rsidR="00EA6D91" w:rsidRDefault="00EA6D91" w:rsidP="00EA6D91">
      <w:pPr>
        <w:spacing w:after="0" w:line="240" w:lineRule="auto"/>
        <w:rPr>
          <w:b/>
          <w:bCs/>
          <w:color w:val="0000FF"/>
          <w:sz w:val="32"/>
          <w:szCs w:val="32"/>
        </w:rPr>
      </w:pPr>
      <w:r w:rsidRPr="003A31A0">
        <w:rPr>
          <w:b/>
          <w:bCs/>
          <w:color w:val="0000FF"/>
          <w:sz w:val="32"/>
          <w:szCs w:val="32"/>
        </w:rPr>
        <w:t>Stress Scale in the Context of Online Learning among Junior High School Students (ages 11-17): Development, Validity, and Reliability</w:t>
      </w:r>
    </w:p>
    <w:p w14:paraId="440D0C48" w14:textId="77777777" w:rsidR="00EA6D91" w:rsidRPr="00EA6D91" w:rsidRDefault="00EA6D91" w:rsidP="00EA6D91">
      <w:pPr>
        <w:spacing w:after="0" w:line="240" w:lineRule="auto"/>
        <w:rPr>
          <w:b/>
          <w:bCs/>
          <w:color w:val="0000FF"/>
          <w:sz w:val="10"/>
          <w:szCs w:val="10"/>
        </w:rPr>
      </w:pPr>
    </w:p>
    <w:p w14:paraId="1A1F7F29" w14:textId="77777777" w:rsidR="00EA6D91" w:rsidRDefault="00EA6D91" w:rsidP="00EA6D91">
      <w:pPr>
        <w:spacing w:after="0" w:line="240" w:lineRule="auto"/>
        <w:rPr>
          <w:b/>
          <w:bCs/>
        </w:rPr>
      </w:pPr>
      <w:r>
        <w:rPr>
          <w:b/>
          <w:bCs/>
        </w:rPr>
        <w:t>Mardocheo Y. Crispino</w:t>
      </w:r>
      <w:r>
        <w:rPr>
          <w:b/>
          <w:bCs/>
          <w:vertAlign w:val="superscript"/>
        </w:rPr>
        <w:t>1</w:t>
      </w:r>
      <w:r>
        <w:rPr>
          <w:b/>
          <w:bCs/>
        </w:rPr>
        <w:t xml:space="preserve">, </w:t>
      </w:r>
      <w:proofErr w:type="spellStart"/>
      <w:r>
        <w:rPr>
          <w:b/>
          <w:bCs/>
        </w:rPr>
        <w:t>Laarni</w:t>
      </w:r>
      <w:proofErr w:type="spellEnd"/>
      <w:r>
        <w:rPr>
          <w:b/>
          <w:bCs/>
        </w:rPr>
        <w:t xml:space="preserve"> Ann T. Ledesma</w:t>
      </w:r>
      <w:r>
        <w:rPr>
          <w:b/>
          <w:bCs/>
          <w:vertAlign w:val="superscript"/>
        </w:rPr>
        <w:t>1</w:t>
      </w:r>
      <w:r>
        <w:rPr>
          <w:b/>
          <w:bCs/>
        </w:rPr>
        <w:t>, Reyna Lou P. Belaro</w:t>
      </w:r>
      <w:r>
        <w:rPr>
          <w:b/>
          <w:bCs/>
          <w:vertAlign w:val="superscript"/>
        </w:rPr>
        <w:t>1</w:t>
      </w:r>
      <w:r>
        <w:rPr>
          <w:b/>
          <w:bCs/>
        </w:rPr>
        <w:t xml:space="preserve">, &amp; </w:t>
      </w:r>
      <w:proofErr w:type="spellStart"/>
      <w:r>
        <w:rPr>
          <w:b/>
          <w:bCs/>
        </w:rPr>
        <w:t>Randolf</w:t>
      </w:r>
      <w:proofErr w:type="spellEnd"/>
      <w:r>
        <w:rPr>
          <w:b/>
          <w:bCs/>
        </w:rPr>
        <w:t xml:space="preserve"> S. Sasota</w:t>
      </w:r>
      <w:r>
        <w:rPr>
          <w:b/>
          <w:bCs/>
          <w:vertAlign w:val="superscript"/>
        </w:rPr>
        <w:t>1,2</w:t>
      </w:r>
    </w:p>
    <w:p w14:paraId="455E1A17" w14:textId="77777777" w:rsidR="00EA6D91" w:rsidRDefault="00EA6D91" w:rsidP="00EA6D91">
      <w:pPr>
        <w:spacing w:after="0" w:line="240" w:lineRule="auto"/>
      </w:pPr>
      <w:r>
        <w:t>mycrispino@up.edu.ph| ltledesma2@up.edu.ph | reynz0231@gmail.com | randolf.sasota@upd.edu.ph</w:t>
      </w:r>
    </w:p>
    <w:p w14:paraId="461BC829" w14:textId="77777777" w:rsidR="00EA6D91" w:rsidRDefault="00EA6D91" w:rsidP="00EA6D91">
      <w:pPr>
        <w:pBdr>
          <w:bottom w:val="single" w:sz="12" w:space="1" w:color="auto"/>
        </w:pBdr>
        <w:spacing w:after="0" w:line="240" w:lineRule="auto"/>
      </w:pPr>
      <w:r>
        <w:rPr>
          <w:vertAlign w:val="superscript"/>
        </w:rPr>
        <w:t>1</w:t>
      </w:r>
      <w:r>
        <w:t>University of the Philippines Diliman | College of Education</w:t>
      </w:r>
    </w:p>
    <w:p w14:paraId="32DAA4A3" w14:textId="77777777" w:rsidR="00EA6D91" w:rsidRDefault="00EA6D91" w:rsidP="00EA6D91">
      <w:pPr>
        <w:pBdr>
          <w:bottom w:val="single" w:sz="12" w:space="1" w:color="auto"/>
        </w:pBdr>
        <w:spacing w:after="0" w:line="240" w:lineRule="auto"/>
      </w:pPr>
      <w:r>
        <w:rPr>
          <w:vertAlign w:val="superscript"/>
        </w:rPr>
        <w:t>2</w:t>
      </w:r>
      <w:r>
        <w:t>Department of Science and Technology | Science Education Institute</w:t>
      </w:r>
    </w:p>
    <w:p w14:paraId="08EACF98" w14:textId="77777777" w:rsidR="00EA6D91" w:rsidRPr="00154E3C" w:rsidRDefault="00EA6D91" w:rsidP="00EA6D91"/>
    <w:p w14:paraId="00000005" w14:textId="77777777" w:rsidR="00421882" w:rsidRDefault="00421882">
      <w:pPr>
        <w:spacing w:after="0" w:line="240" w:lineRule="auto"/>
        <w:rPr>
          <w:sz w:val="10"/>
          <w:szCs w:val="10"/>
        </w:rPr>
      </w:pPr>
    </w:p>
    <w:p w14:paraId="00000006" w14:textId="77777777" w:rsidR="00421882" w:rsidRDefault="00363292">
      <w:pPr>
        <w:spacing w:after="0" w:line="240" w:lineRule="auto"/>
        <w:jc w:val="center"/>
        <w:rPr>
          <w:b/>
        </w:rPr>
      </w:pPr>
      <w:r>
        <w:rPr>
          <w:b/>
        </w:rPr>
        <w:t>Abstract</w:t>
      </w:r>
    </w:p>
    <w:p w14:paraId="00000007" w14:textId="17CE30B5" w:rsidR="00421882" w:rsidRDefault="00363292">
      <w:pPr>
        <w:spacing w:after="0" w:line="240" w:lineRule="auto"/>
        <w:ind w:left="1134" w:right="1161"/>
        <w:jc w:val="both"/>
      </w:pPr>
      <w:r>
        <w:t xml:space="preserve">The COVID-19 pandemic has prompted an unprecedented shift from face-to-face to online learning. Considering the impact of this transition, the researchers developed a scale measuring the stress levels of </w:t>
      </w:r>
      <w:r w:rsidR="00312EE7">
        <w:t xml:space="preserve">319 </w:t>
      </w:r>
      <w:r>
        <w:t xml:space="preserve">junior high school students. Based on the evaluation of experts, the item content validity index (I-CVI) proved the validity of each item. From the original 32, 20 items were retained after conducting exploratory factor analysis (EFA). A new clustering was derived from the results, namely: (1) physical health, (2) task management, (3) valuing, and (4) relating to oneself and others. The final 20-item scale was proven to have internal consistency among items with Cronbach’s alpha of 0.923. The results of measurement invariance (MI) tests indicate that the newly developed four-factor stress scale in the context of online learning measure the same underlying constructs across sex, grade level, and age groups. Consequently, the differences in stress levels among the groups were also determined. </w:t>
      </w:r>
    </w:p>
    <w:p w14:paraId="00000008" w14:textId="77777777" w:rsidR="00421882" w:rsidRDefault="00421882">
      <w:pPr>
        <w:spacing w:after="0" w:line="240" w:lineRule="auto"/>
        <w:ind w:left="1134" w:right="1161"/>
        <w:jc w:val="both"/>
        <w:rPr>
          <w:sz w:val="10"/>
          <w:szCs w:val="10"/>
        </w:rPr>
      </w:pPr>
    </w:p>
    <w:p w14:paraId="00000009" w14:textId="77777777" w:rsidR="00421882" w:rsidRDefault="00363292">
      <w:pPr>
        <w:spacing w:after="0" w:line="240" w:lineRule="auto"/>
        <w:ind w:left="1134" w:right="1161"/>
        <w:jc w:val="both"/>
        <w:rPr>
          <w:i/>
        </w:rPr>
      </w:pPr>
      <w:r>
        <w:rPr>
          <w:b/>
        </w:rPr>
        <w:t>Keywords:</w:t>
      </w:r>
      <w:r>
        <w:t xml:space="preserve"> </w:t>
      </w:r>
      <w:r>
        <w:rPr>
          <w:i/>
        </w:rPr>
        <w:t>stress, validity, reliability, scale development, measurement invariance, online learning, junior high school</w:t>
      </w:r>
    </w:p>
    <w:p w14:paraId="0000000C" w14:textId="178AFB75" w:rsidR="00421882" w:rsidRDefault="00421882">
      <w:pPr>
        <w:spacing w:after="0" w:line="240" w:lineRule="auto"/>
        <w:ind w:left="1134" w:right="1161"/>
        <w:jc w:val="both"/>
      </w:pPr>
    </w:p>
    <w:p w14:paraId="49DD807C" w14:textId="77777777" w:rsidR="00EA6D91" w:rsidRDefault="00EA6D91">
      <w:pPr>
        <w:spacing w:after="0" w:line="240" w:lineRule="auto"/>
        <w:ind w:left="1134" w:right="1161"/>
        <w:jc w:val="both"/>
      </w:pPr>
    </w:p>
    <w:p w14:paraId="0000000D" w14:textId="77777777" w:rsidR="00421882" w:rsidRDefault="00363292">
      <w:pPr>
        <w:numPr>
          <w:ilvl w:val="0"/>
          <w:numId w:val="2"/>
        </w:numPr>
        <w:spacing w:after="0" w:line="240" w:lineRule="auto"/>
        <w:ind w:left="0" w:hanging="284"/>
        <w:rPr>
          <w:b/>
        </w:rPr>
      </w:pPr>
      <w:r>
        <w:rPr>
          <w:b/>
          <w:color w:val="0000FF"/>
        </w:rPr>
        <w:t>INTRODUCTION</w:t>
      </w:r>
    </w:p>
    <w:p w14:paraId="0000000E" w14:textId="77777777" w:rsidR="00421882" w:rsidRDefault="00363292">
      <w:pPr>
        <w:spacing w:after="0" w:line="240" w:lineRule="auto"/>
        <w:jc w:val="both"/>
      </w:pPr>
      <w:r>
        <w:t>Due to the COVID-19 pandemic, schools have resorted to online distance education. Many researchers investigated how the current circumstances have negatively affected students. Based on recent studies conducted in various countries, university students have shown a significant increase in levels of stress especially at the onset of the pandemic (</w:t>
      </w:r>
      <w:proofErr w:type="spellStart"/>
      <w:r>
        <w:t>AlAteeq</w:t>
      </w:r>
      <w:proofErr w:type="spellEnd"/>
      <w:r>
        <w:t xml:space="preserve"> et al., 2020; Cao et al., 2020; Chandra, 2020; Chen et al., 2020; Dwivedi, 2020; Fawaz &amp; Samaha, 2020; </w:t>
      </w:r>
      <w:proofErr w:type="spellStart"/>
      <w:r>
        <w:t>Kecojevic</w:t>
      </w:r>
      <w:proofErr w:type="spellEnd"/>
      <w:r>
        <w:t xml:space="preserve"> et al., 2020; </w:t>
      </w:r>
      <w:proofErr w:type="spellStart"/>
      <w:r>
        <w:t>Moawad</w:t>
      </w:r>
      <w:proofErr w:type="spellEnd"/>
      <w:r>
        <w:t xml:space="preserve">, 2020; Rodriguez-Hidalgo et al., 2020; Son et al., 2020; Zurlo et al, 2020). High levels of stress, if not managed properly, could result in problematic behaviors, mental health issues, and poor academic performance (Pascoe et al., 2019). </w:t>
      </w:r>
    </w:p>
    <w:p w14:paraId="0000000F" w14:textId="77777777" w:rsidR="00421882" w:rsidRDefault="00421882">
      <w:pPr>
        <w:spacing w:after="0" w:line="240" w:lineRule="auto"/>
      </w:pPr>
    </w:p>
    <w:p w14:paraId="00000012" w14:textId="25DE9192" w:rsidR="00421882" w:rsidRDefault="00363292">
      <w:pPr>
        <w:spacing w:after="0" w:line="240" w:lineRule="auto"/>
        <w:jc w:val="both"/>
      </w:pPr>
      <w:r>
        <w:t>Most studies have been devoted to understanding the impact of the pandemic among university students. Less attention has been paid to those in secondary education. It is important to note that high school students are in their adolescent years which means that they may be less capable of managing stress because of the many developmental changes happening to them (</w:t>
      </w:r>
      <w:proofErr w:type="spellStart"/>
      <w:r>
        <w:t>Veyis</w:t>
      </w:r>
      <w:proofErr w:type="spellEnd"/>
      <w:r>
        <w:t xml:space="preserve"> et al., 2019). According to the World Health Organization (2020), the rapid growth adolescents are experiencing has a significant effect on their feelings, ways of thinking, decision making, and interpersonal relationships. It is crucial, therefore, for parents, teachers, and administrators to make data-driven decisions in responding to stress-related concerns of adolescents. Leonard et al. (2015) observed that adolescents, particularly those in private high schools are an understudied population when it comes to this topic. Thus, researchers wanted to develop an empirically validated scale measuring levels of stress among adolescents especially in this time of the pandemic. The study aims to develop a valid and reliable scale that will be used to measure junior high school students’ stress levels in the context of online learning.</w:t>
      </w:r>
    </w:p>
    <w:p w14:paraId="00000013" w14:textId="77777777" w:rsidR="00421882" w:rsidRDefault="00421882">
      <w:pPr>
        <w:spacing w:after="0" w:line="240" w:lineRule="auto"/>
        <w:jc w:val="both"/>
      </w:pPr>
    </w:p>
    <w:p w14:paraId="00000014" w14:textId="77777777" w:rsidR="00421882" w:rsidRDefault="00363292">
      <w:pPr>
        <w:spacing w:after="0" w:line="240" w:lineRule="auto"/>
        <w:jc w:val="both"/>
        <w:rPr>
          <w:i/>
        </w:rPr>
      </w:pPr>
      <w:r>
        <w:rPr>
          <w:i/>
        </w:rPr>
        <w:lastRenderedPageBreak/>
        <w:t>School-related stress among adolescents</w:t>
      </w:r>
    </w:p>
    <w:p w14:paraId="00000015" w14:textId="77777777" w:rsidR="00421882" w:rsidRDefault="00363292">
      <w:pPr>
        <w:spacing w:after="0" w:line="240" w:lineRule="auto"/>
        <w:jc w:val="both"/>
      </w:pPr>
      <w:r>
        <w:t>Adolescents spend approximately six hours a day for 200 days in school during the most crucial years of their physical, social, and cognitive development. Potential causes of school stress include exams, heavy workload, involvement in extracurricular activities, unrealistic expectations coming from parents and teachers, and poor relationships with peers (</w:t>
      </w:r>
      <w:proofErr w:type="spellStart"/>
      <w:r>
        <w:t>Veyis</w:t>
      </w:r>
      <w:proofErr w:type="spellEnd"/>
      <w:r>
        <w:t xml:space="preserve"> et al., 2019). Adolescents </w:t>
      </w:r>
      <w:proofErr w:type="gramStart"/>
      <w:r>
        <w:t>have to</w:t>
      </w:r>
      <w:proofErr w:type="gramEnd"/>
      <w:r>
        <w:t xml:space="preserve"> deal with all of these while they cope with the changes happening to them. </w:t>
      </w:r>
    </w:p>
    <w:p w14:paraId="00000016" w14:textId="77777777" w:rsidR="00421882" w:rsidRDefault="00421882">
      <w:pPr>
        <w:spacing w:after="0" w:line="240" w:lineRule="auto"/>
        <w:jc w:val="both"/>
        <w:rPr>
          <w:color w:val="FF0000"/>
          <w:sz w:val="10"/>
          <w:szCs w:val="10"/>
        </w:rPr>
      </w:pPr>
    </w:p>
    <w:p w14:paraId="00000017" w14:textId="77777777" w:rsidR="00421882" w:rsidRDefault="00363292">
      <w:pPr>
        <w:spacing w:after="0" w:line="240" w:lineRule="auto"/>
        <w:jc w:val="both"/>
      </w:pPr>
      <w:r>
        <w:t>Studies have shown that there is a direct relationship between school stress and other variables such as mental health problems like depression and anxiety, disruption to sleep quality and quantity, and risky behaviors like drug use (Leonard et al., 2015; Pascoe et al., 2019). Anything that compromises students’ well-being could hinder them from attaining desired learning outcomes. According to WHO (1996), good health and emotional security are essential for students to be actively involved in the learning process. It comes as no surprise how high levels of stress not only affect overall health but also impede academic success (</w:t>
      </w:r>
      <w:proofErr w:type="spellStart"/>
      <w:r>
        <w:t>Sohail</w:t>
      </w:r>
      <w:proofErr w:type="spellEnd"/>
      <w:r>
        <w:t xml:space="preserve">, 2013; Pascoe et al., 2019). The long-term consequences of stress can be even more detrimental to adolescents. When exposed to distressing experiences, they may suffer from psychological problems later in life (Bolton et al., 2000). </w:t>
      </w:r>
    </w:p>
    <w:p w14:paraId="00000018" w14:textId="77777777" w:rsidR="00421882" w:rsidRDefault="00421882">
      <w:pPr>
        <w:spacing w:after="0" w:line="240" w:lineRule="auto"/>
        <w:jc w:val="both"/>
        <w:rPr>
          <w:i/>
          <w:color w:val="FF0000"/>
          <w:sz w:val="10"/>
          <w:szCs w:val="10"/>
        </w:rPr>
      </w:pPr>
    </w:p>
    <w:p w14:paraId="00000019" w14:textId="77777777" w:rsidR="00421882" w:rsidRDefault="00363292">
      <w:pPr>
        <w:spacing w:after="0" w:line="240" w:lineRule="auto"/>
        <w:jc w:val="both"/>
        <w:rPr>
          <w:i/>
        </w:rPr>
      </w:pPr>
      <w:r>
        <w:rPr>
          <w:i/>
        </w:rPr>
        <w:t>Stress scales</w:t>
      </w:r>
    </w:p>
    <w:p w14:paraId="0000001A" w14:textId="77777777" w:rsidR="00421882" w:rsidRDefault="00363292">
      <w:pPr>
        <w:spacing w:after="0" w:line="240" w:lineRule="auto"/>
        <w:jc w:val="both"/>
      </w:pPr>
      <w:r>
        <w:t xml:space="preserve">There are readily available self-report instruments that could be used to gather data on stress. One of the most widely used scales on stress is the Perceived Stress Scale (PSS) by Cohen, </w:t>
      </w:r>
      <w:proofErr w:type="spellStart"/>
      <w:r>
        <w:t>Kamarck</w:t>
      </w:r>
      <w:proofErr w:type="spellEnd"/>
      <w:r>
        <w:t xml:space="preserve">, and </w:t>
      </w:r>
      <w:proofErr w:type="spellStart"/>
      <w:r>
        <w:t>Mermelstein</w:t>
      </w:r>
      <w:proofErr w:type="spellEnd"/>
      <w:r>
        <w:t xml:space="preserve"> (1983). The scale has a total of fourteen items that ask about how respondents thought or felt towards stressful situations. This instrument was proven to be valid because higher scores were linked to the inability of individuals to stop their smoking habit and to their considerable distress in social situations among others (Cohen, </w:t>
      </w:r>
      <w:proofErr w:type="spellStart"/>
      <w:r>
        <w:t>Kamarck</w:t>
      </w:r>
      <w:proofErr w:type="spellEnd"/>
      <w:r>
        <w:t xml:space="preserve">, &amp; </w:t>
      </w:r>
      <w:proofErr w:type="spellStart"/>
      <w:r>
        <w:t>Mermelstein</w:t>
      </w:r>
      <w:proofErr w:type="spellEnd"/>
      <w:r>
        <w:t xml:space="preserve">, 1983). Using the PSS, </w:t>
      </w:r>
      <w:proofErr w:type="spellStart"/>
      <w:r>
        <w:t>AlAteeq</w:t>
      </w:r>
      <w:proofErr w:type="spellEnd"/>
      <w:r>
        <w:t xml:space="preserve">, </w:t>
      </w:r>
      <w:proofErr w:type="spellStart"/>
      <w:r>
        <w:t>AlJhani</w:t>
      </w:r>
      <w:proofErr w:type="spellEnd"/>
      <w:r>
        <w:t xml:space="preserve">, and </w:t>
      </w:r>
      <w:proofErr w:type="spellStart"/>
      <w:r>
        <w:t>AlEesa</w:t>
      </w:r>
      <w:proofErr w:type="spellEnd"/>
      <w:r>
        <w:t xml:space="preserve"> (2020) investigated the levels of stress among university students upon the implementation of online learning. They found that students from the Kingdom of Saudi Arabia had moderate to high stress levels at the onset of the pandemic. Cohen and Williamson (1988) developed a shorter version of the PSS by taking out four items that had the lowest factor loading scores resulting in a ten-item scale. The PSS-10 showed better psychometric properties than the original instrument (</w:t>
      </w:r>
      <w:proofErr w:type="spellStart"/>
      <w:r>
        <w:t>Baik</w:t>
      </w:r>
      <w:proofErr w:type="spellEnd"/>
      <w:r>
        <w:t xml:space="preserve"> et al., 2019). Son et al. (2020) utilized the PSS-10 to look at the stress levels of college students during the COVID-19 pandemic. They found that </w:t>
      </w:r>
      <w:proofErr w:type="gramStart"/>
      <w:r>
        <w:t>the majority of</w:t>
      </w:r>
      <w:proofErr w:type="gramEnd"/>
      <w:r>
        <w:t xml:space="preserve"> the respondents reported increased levels of stress and anxiety. </w:t>
      </w:r>
    </w:p>
    <w:p w14:paraId="0000001B" w14:textId="77777777" w:rsidR="00421882" w:rsidRDefault="00421882">
      <w:pPr>
        <w:spacing w:after="0" w:line="240" w:lineRule="auto"/>
        <w:jc w:val="both"/>
        <w:rPr>
          <w:sz w:val="10"/>
          <w:szCs w:val="10"/>
        </w:rPr>
      </w:pPr>
    </w:p>
    <w:p w14:paraId="0000001C" w14:textId="77777777" w:rsidR="00421882" w:rsidRDefault="00363292">
      <w:pPr>
        <w:spacing w:after="0" w:line="240" w:lineRule="auto"/>
        <w:jc w:val="both"/>
      </w:pPr>
      <w:r>
        <w:t xml:space="preserve">There are instruments that have been developed to measure academic stress. One is the Educational Stress Scale for Adolescents (ESSA) by Sun et al. (2011). This instrument consists of 16 items and the following variables are considered: pressure from study, workload, worry about grades, self-expectation, and despondency. Reliability and validity tests revealed acceptable to satisfactory results. Somewhat </w:t>
      </w:r>
      <w:proofErr w:type="gramStart"/>
      <w:r>
        <w:t>similar to</w:t>
      </w:r>
      <w:proofErr w:type="gramEnd"/>
      <w:r>
        <w:t xml:space="preserve"> the PSS is the Perception of Academic Stress Scale (PASS), an 18-item scale that evaluates perceived academic stress among students in the undergraduate and graduate levels (</w:t>
      </w:r>
      <w:proofErr w:type="spellStart"/>
      <w:r>
        <w:t>Bedewy</w:t>
      </w:r>
      <w:proofErr w:type="spellEnd"/>
      <w:r>
        <w:t xml:space="preserve"> &amp; Gabriel, 2015). The scale consists of items related to academic expectations, workload and assessments, and academic self-perceptions. The instrument is reported to have a fair internal consistency. The analysis yielded four factors that are correlated with each other. </w:t>
      </w:r>
    </w:p>
    <w:p w14:paraId="0000001D" w14:textId="77777777" w:rsidR="00421882" w:rsidRDefault="00421882">
      <w:pPr>
        <w:spacing w:after="0" w:line="240" w:lineRule="auto"/>
        <w:jc w:val="both"/>
        <w:rPr>
          <w:sz w:val="10"/>
          <w:szCs w:val="10"/>
        </w:rPr>
      </w:pPr>
    </w:p>
    <w:p w14:paraId="0000001E" w14:textId="77777777" w:rsidR="00421882" w:rsidRDefault="00363292">
      <w:pPr>
        <w:spacing w:after="0" w:line="240" w:lineRule="auto"/>
        <w:jc w:val="both"/>
      </w:pPr>
      <w:r>
        <w:t xml:space="preserve">Moreover, some tools were specifically developed to measure stress brought about by COVID-19. </w:t>
      </w:r>
      <w:proofErr w:type="spellStart"/>
      <w:r>
        <w:t>Aiyer</w:t>
      </w:r>
      <w:proofErr w:type="spellEnd"/>
      <w:r>
        <w:t xml:space="preserve"> et al. (2020) came up with the COVID-19 Anxiety and Stress Survey (CASS) by taking some items from two already existing instruments–the Perceived Stress Scale and the Patient Health Questionnaire for Depression and Anxiety. The survey was used to determine the level of anxiety and stress among high school and college students due to the continuous rise in cases. In Zurlo et al.’s (2020) study, the COVID-19 Student Stress Questionnaire (CSSQ) was constructed to assess the stressors brought about by the pandemic among students in tertiary education. There are three subscales in this survey that measure sources of stress related to the following: relationships and academic life, isolation, and fear of contagion. The CSSQ was proven to have satisfactory internal consistency after computing for the inter-item correlation, Cronbach’s alpha, and McDonald’s omega.</w:t>
      </w:r>
    </w:p>
    <w:p w14:paraId="0000001F" w14:textId="5C043F5F" w:rsidR="00421882" w:rsidRDefault="00421882">
      <w:pPr>
        <w:spacing w:after="0" w:line="240" w:lineRule="auto"/>
        <w:jc w:val="both"/>
        <w:rPr>
          <w:i/>
        </w:rPr>
      </w:pPr>
    </w:p>
    <w:p w14:paraId="2A0011C7" w14:textId="77777777" w:rsidR="00CC2A59" w:rsidRDefault="00CC2A59">
      <w:pPr>
        <w:spacing w:after="0" w:line="240" w:lineRule="auto"/>
        <w:jc w:val="both"/>
        <w:rPr>
          <w:i/>
        </w:rPr>
      </w:pPr>
    </w:p>
    <w:p w14:paraId="00000020" w14:textId="77777777" w:rsidR="00421882" w:rsidRDefault="00363292">
      <w:pPr>
        <w:spacing w:after="0" w:line="240" w:lineRule="auto"/>
        <w:jc w:val="both"/>
        <w:rPr>
          <w:i/>
        </w:rPr>
      </w:pPr>
      <w:r>
        <w:rPr>
          <w:i/>
        </w:rPr>
        <w:lastRenderedPageBreak/>
        <w:t>Online learning and stress</w:t>
      </w:r>
    </w:p>
    <w:p w14:paraId="00000021" w14:textId="77777777" w:rsidR="00421882" w:rsidRDefault="00363292">
      <w:pPr>
        <w:spacing w:after="0" w:line="240" w:lineRule="auto"/>
        <w:jc w:val="both"/>
      </w:pPr>
      <w:r>
        <w:t xml:space="preserve">What makes this change in the mode of learning delivery significant in the study of stress? Online learning poses a whole new challenge for students. According to </w:t>
      </w:r>
      <w:proofErr w:type="spellStart"/>
      <w:r>
        <w:t>Shahsavarani</w:t>
      </w:r>
      <w:proofErr w:type="spellEnd"/>
      <w:r>
        <w:t xml:space="preserve">, </w:t>
      </w:r>
      <w:proofErr w:type="spellStart"/>
      <w:r>
        <w:t>Ashayeri</w:t>
      </w:r>
      <w:proofErr w:type="spellEnd"/>
      <w:r>
        <w:t xml:space="preserve">, </w:t>
      </w:r>
      <w:proofErr w:type="spellStart"/>
      <w:r>
        <w:t>Lotfian</w:t>
      </w:r>
      <w:proofErr w:type="spellEnd"/>
      <w:r>
        <w:t xml:space="preserve">, and </w:t>
      </w:r>
      <w:proofErr w:type="spellStart"/>
      <w:r>
        <w:t>Sattari</w:t>
      </w:r>
      <w:proofErr w:type="spellEnd"/>
      <w:r>
        <w:t xml:space="preserve"> (2013), stress arises when there is a huge change in the environment that disrupts an individual’s homeostasis. As a result of long periods of isolation, there has been an apparent loss of motivation, meaning, and self-worth among individuals (Williams et al., 2020). According to Hans Selye, father of stress research, stress is the “nonspecific response of the body to any demand” (1976, p.15). Major sources of stress in online learning include workload, time for synchronous classes, a home environment that is not conducive to learning, the use of online platforms, and uncertainty about the new learning setup (</w:t>
      </w:r>
      <w:proofErr w:type="spellStart"/>
      <w:r>
        <w:t>Moawad</w:t>
      </w:r>
      <w:proofErr w:type="spellEnd"/>
      <w:r>
        <w:t xml:space="preserve">, 2020). With studying taking place at home, parents may set higher expectations from their </w:t>
      </w:r>
      <w:proofErr w:type="gramStart"/>
      <w:r>
        <w:t>children</w:t>
      </w:r>
      <w:proofErr w:type="gramEnd"/>
      <w:r>
        <w:t xml:space="preserve"> and this could result in higher levels of stress.</w:t>
      </w:r>
    </w:p>
    <w:p w14:paraId="00000022" w14:textId="77777777" w:rsidR="00421882" w:rsidRDefault="00421882">
      <w:pPr>
        <w:spacing w:after="0" w:line="240" w:lineRule="auto"/>
        <w:jc w:val="both"/>
        <w:rPr>
          <w:sz w:val="10"/>
          <w:szCs w:val="10"/>
        </w:rPr>
      </w:pPr>
    </w:p>
    <w:p w14:paraId="00000023" w14:textId="77777777" w:rsidR="00421882" w:rsidRDefault="00363292">
      <w:pPr>
        <w:spacing w:after="0" w:line="240" w:lineRule="auto"/>
        <w:jc w:val="both"/>
      </w:pPr>
      <w:proofErr w:type="spellStart"/>
      <w:r>
        <w:t>Shahsavarani</w:t>
      </w:r>
      <w:proofErr w:type="spellEnd"/>
      <w:r>
        <w:t xml:space="preserve">, Abadi, and </w:t>
      </w:r>
      <w:proofErr w:type="spellStart"/>
      <w:r>
        <w:t>Kalkhoran</w:t>
      </w:r>
      <w:proofErr w:type="spellEnd"/>
      <w:r>
        <w:t xml:space="preserve"> (2015) conducted a systematic review of various studies on stress and were able to identify eleven major definitions that looked at the consequences of environmental demands upon individuals. Lazarus (as cited in Robinson, 2018, p. 7) noted how responses to stress could be classified into four categories: “(a) disturbed affect, (b) motor behavioral reactions, (c) change in cognitive functioning, and (d) physiological changes”. The researchers attempted to put these domains together into a single scale. </w:t>
      </w:r>
    </w:p>
    <w:p w14:paraId="00000024" w14:textId="77777777" w:rsidR="00421882" w:rsidRDefault="00421882">
      <w:pPr>
        <w:spacing w:after="0" w:line="240" w:lineRule="auto"/>
        <w:jc w:val="both"/>
        <w:rPr>
          <w:b/>
          <w:sz w:val="10"/>
          <w:szCs w:val="10"/>
        </w:rPr>
      </w:pPr>
    </w:p>
    <w:p w14:paraId="00000025" w14:textId="77777777" w:rsidR="00421882" w:rsidRDefault="00363292">
      <w:pPr>
        <w:spacing w:after="0" w:line="240" w:lineRule="auto"/>
        <w:jc w:val="both"/>
        <w:rPr>
          <w:i/>
        </w:rPr>
      </w:pPr>
      <w:r>
        <w:rPr>
          <w:i/>
        </w:rPr>
        <w:t>Cognitive, Behavioral, Affective, and Physiological Domains</w:t>
      </w:r>
    </w:p>
    <w:p w14:paraId="00000026" w14:textId="77777777" w:rsidR="00421882" w:rsidRDefault="00363292">
      <w:pPr>
        <w:spacing w:after="0" w:line="240" w:lineRule="auto"/>
        <w:jc w:val="both"/>
      </w:pPr>
      <w:r>
        <w:t>Based on different reviews, studies, and meta-analyses, Shields (2020) enumerated some of the well-known consequences of stressors on human cognition such as difficulty in retrieving information from short-term and long-term memory, struggling to avoid distractions, and being hasty in making decisions (Shields, 2020). Changes in cognitive functioning may be evident if an individual worries constantly, has racing thoughts, becomes forgetful and disorganized, and only looks at the negative side of things (</w:t>
      </w:r>
      <w:proofErr w:type="spellStart"/>
      <w:r>
        <w:t>Dua</w:t>
      </w:r>
      <w:proofErr w:type="spellEnd"/>
      <w:r>
        <w:t xml:space="preserve">, 2019). When an individual is exposed to too much external pressure, he may show apparent changes in behavior. Accounting for several studies and literature reviews, </w:t>
      </w:r>
      <w:proofErr w:type="spellStart"/>
      <w:r>
        <w:t>Dua</w:t>
      </w:r>
      <w:proofErr w:type="spellEnd"/>
      <w:r>
        <w:t xml:space="preserve"> (2019) was able to specifically enumerate the most common behavioral symptoms of stress. They are changes in appetite, tendency to cram and avoid one’s responsibilities, substance use, and abuse, and display of nervous behaviors like biting nails, moving restlessly, and pacing (</w:t>
      </w:r>
      <w:proofErr w:type="spellStart"/>
      <w:r>
        <w:t>Dua</w:t>
      </w:r>
      <w:proofErr w:type="spellEnd"/>
      <w:r>
        <w:t xml:space="preserve">, 2019). </w:t>
      </w:r>
    </w:p>
    <w:p w14:paraId="00000027" w14:textId="77777777" w:rsidR="00421882" w:rsidRDefault="00421882">
      <w:pPr>
        <w:spacing w:after="0" w:line="240" w:lineRule="auto"/>
        <w:jc w:val="both"/>
        <w:rPr>
          <w:i/>
          <w:sz w:val="10"/>
          <w:szCs w:val="10"/>
        </w:rPr>
      </w:pPr>
    </w:p>
    <w:p w14:paraId="00000028" w14:textId="5F2736B2" w:rsidR="00421882" w:rsidRDefault="00363292">
      <w:pPr>
        <w:spacing w:after="0" w:line="240" w:lineRule="auto"/>
        <w:jc w:val="both"/>
      </w:pPr>
      <w:r>
        <w:t xml:space="preserve">Emotional intelligence pertains to a person’s knowledge of self and others, ability to manage oneself and others, and ability to motivate </w:t>
      </w:r>
      <w:r w:rsidR="00CC2A59">
        <w:t>oneself</w:t>
      </w:r>
      <w:r>
        <w:t xml:space="preserve"> and others (Gujral, 2013). It helps an individual cope with environmental demands. However, students who are stressed tend to have difficulty dealing with others and lose the motivation to perform well in school (</w:t>
      </w:r>
      <w:proofErr w:type="spellStart"/>
      <w:r>
        <w:t>Humensky</w:t>
      </w:r>
      <w:proofErr w:type="spellEnd"/>
      <w:r>
        <w:t xml:space="preserve">, et al., 2010). Consequences of disturbed affect include low self-awareness, poor self-regulation, and poor emotional literacy. Excessive demands could also affect students’ bodily functions. Pascoe et al. (2019) found that academic-related stress caused individuals to develop serious health issues primarily because of the lack of exercise and the cultivation of harmful habits. </w:t>
      </w:r>
      <w:proofErr w:type="spellStart"/>
      <w:r>
        <w:t>Yaribeygi</w:t>
      </w:r>
      <w:proofErr w:type="spellEnd"/>
      <w:r>
        <w:t xml:space="preserve"> et al. (2017) explained how stressors may compromise various physiological systems of the body such as the immune system, cardiovascular system, and digestive system. A person who is stressed may exhibit the following symptoms: low energy, diarrhea, muscle pains, increase in heart rate, insomnia, and frequent colds and infection (</w:t>
      </w:r>
      <w:proofErr w:type="spellStart"/>
      <w:r>
        <w:t>Dua</w:t>
      </w:r>
      <w:proofErr w:type="spellEnd"/>
      <w:r>
        <w:t>, 2019). In addition, Martin (2016) discussed the link between stress and headaches. This is one symptom commonly experienced by individuals when they are under extreme pressure.</w:t>
      </w:r>
    </w:p>
    <w:p w14:paraId="00000029" w14:textId="77777777" w:rsidR="00421882" w:rsidRDefault="00421882">
      <w:pPr>
        <w:spacing w:after="0" w:line="240" w:lineRule="auto"/>
        <w:rPr>
          <w:sz w:val="10"/>
          <w:szCs w:val="10"/>
        </w:rPr>
      </w:pPr>
    </w:p>
    <w:p w14:paraId="0000002A" w14:textId="77777777" w:rsidR="00421882" w:rsidRDefault="00363292">
      <w:pPr>
        <w:spacing w:after="0" w:line="240" w:lineRule="auto"/>
        <w:jc w:val="both"/>
      </w:pPr>
      <w:r>
        <w:t>As the COVID-19 pandemic continues to unfold, educational institutions should initiate courses of action that would help students adjust to the new learning setup and promote their overall health. Data about stress is important to achieve health and educational gains (Gross, 2014). Said data will be used to provide evidence-based interventions. Examples of these are programs that develop students’ stress management and coping skills (</w:t>
      </w:r>
      <w:proofErr w:type="spellStart"/>
      <w:r>
        <w:t>Kraag</w:t>
      </w:r>
      <w:proofErr w:type="spellEnd"/>
      <w:r>
        <w:t xml:space="preserve"> et al., 2006). Prioritizing students’ health above all else especially in this time of a global health emergency will have significant educational returns in the long run.</w:t>
      </w:r>
    </w:p>
    <w:p w14:paraId="0000002B" w14:textId="77777777" w:rsidR="00421882" w:rsidRDefault="00421882">
      <w:pPr>
        <w:spacing w:after="0" w:line="240" w:lineRule="auto"/>
        <w:jc w:val="both"/>
      </w:pPr>
    </w:p>
    <w:p w14:paraId="0000002C" w14:textId="7E6A428C" w:rsidR="00421882" w:rsidRDefault="00421882">
      <w:pPr>
        <w:spacing w:after="0" w:line="240" w:lineRule="auto"/>
        <w:jc w:val="both"/>
      </w:pPr>
    </w:p>
    <w:p w14:paraId="4D87E6AD" w14:textId="77777777" w:rsidR="00CC2A59" w:rsidRDefault="00CC2A59">
      <w:pPr>
        <w:spacing w:after="0" w:line="240" w:lineRule="auto"/>
        <w:jc w:val="both"/>
      </w:pPr>
    </w:p>
    <w:p w14:paraId="0000002D" w14:textId="77777777" w:rsidR="00421882" w:rsidRDefault="00363292">
      <w:pPr>
        <w:numPr>
          <w:ilvl w:val="0"/>
          <w:numId w:val="2"/>
        </w:numPr>
        <w:spacing w:after="0" w:line="240" w:lineRule="auto"/>
        <w:ind w:left="0" w:hanging="284"/>
        <w:rPr>
          <w:b/>
        </w:rPr>
      </w:pPr>
      <w:r>
        <w:rPr>
          <w:b/>
          <w:color w:val="0000FF"/>
        </w:rPr>
        <w:lastRenderedPageBreak/>
        <w:t>METHODOLOGY</w:t>
      </w:r>
    </w:p>
    <w:p w14:paraId="0000002E" w14:textId="77777777" w:rsidR="00421882" w:rsidRDefault="00363292">
      <w:pPr>
        <w:spacing w:after="0" w:line="240" w:lineRule="auto"/>
        <w:rPr>
          <w:b/>
          <w:color w:val="002060"/>
        </w:rPr>
      </w:pPr>
      <w:r>
        <w:rPr>
          <w:b/>
          <w:color w:val="0000FF"/>
        </w:rPr>
        <w:t>A. Scale development, research participants, and data collection</w:t>
      </w:r>
    </w:p>
    <w:p w14:paraId="0000002F" w14:textId="77777777" w:rsidR="00421882" w:rsidRDefault="00363292">
      <w:pPr>
        <w:spacing w:after="0" w:line="240" w:lineRule="auto"/>
        <w:jc w:val="both"/>
      </w:pPr>
      <w:r>
        <w:t>The researchers developed original items for the questionnaire based on existing literature on stress levels. The first part contains demographic questions while the second part consists of items that would measure students’ stress levels in the online learning setup. These items fell under the cognitive, behavioral, affective, and physiological domains. Each domain was composed of eight statements that would be ranked on a 5-point Likert scale ranging from 1 (never) to 5 (always). The items were pretested among 20 junior high school students. The researchers opted to use purposive sampling because participants had to be students in junior high school who are currently enrolled in an online learning setup for the academic year 2020-2021. A total of 319 students participated in the study.</w:t>
      </w:r>
    </w:p>
    <w:p w14:paraId="00000030" w14:textId="77777777" w:rsidR="00421882" w:rsidRDefault="00421882">
      <w:pPr>
        <w:spacing w:after="0" w:line="240" w:lineRule="auto"/>
        <w:rPr>
          <w:sz w:val="10"/>
          <w:szCs w:val="10"/>
        </w:rPr>
      </w:pPr>
    </w:p>
    <w:p w14:paraId="00000031" w14:textId="77777777" w:rsidR="00421882" w:rsidRDefault="00363292">
      <w:pPr>
        <w:spacing w:after="0" w:line="240" w:lineRule="auto"/>
        <w:rPr>
          <w:b/>
          <w:color w:val="0000FF"/>
        </w:rPr>
      </w:pPr>
      <w:r>
        <w:rPr>
          <w:b/>
          <w:color w:val="0000FF"/>
        </w:rPr>
        <w:t>B. Establishing validity and reliability</w:t>
      </w:r>
    </w:p>
    <w:p w14:paraId="00000032" w14:textId="77777777" w:rsidR="00421882" w:rsidRDefault="00363292">
      <w:pPr>
        <w:spacing w:after="0" w:line="240" w:lineRule="auto"/>
        <w:jc w:val="both"/>
      </w:pPr>
      <w:r>
        <w:t>The researchers investigated the existing and most recent literature on the most common themes in studying stress. Four domains were used to group the items, which are all backed up by the premises of the studies. The domains are (1) cognitive, (2) affective, (3) behavioral, and (4) physiological. The researchers asked five (5) field experts to evaluate the thirty-two (32) items (eight items for each domain) based on their relevance to the domain of interest. Each expert was asked to give comments on the items and to assess each item through a Likert Scale with the following choices: (1) not relevant, (2) somewhat relevant, (3) quite relevant, and (4) highly relevant.</w:t>
      </w:r>
    </w:p>
    <w:p w14:paraId="00000033" w14:textId="77777777" w:rsidR="00421882" w:rsidRDefault="00363292">
      <w:pPr>
        <w:spacing w:after="0" w:line="240" w:lineRule="auto"/>
        <w:jc w:val="both"/>
        <w:rPr>
          <w:sz w:val="10"/>
          <w:szCs w:val="10"/>
        </w:rPr>
      </w:pPr>
      <w:r>
        <w:rPr>
          <w:sz w:val="10"/>
          <w:szCs w:val="10"/>
        </w:rPr>
        <w:t xml:space="preserve"> </w:t>
      </w:r>
    </w:p>
    <w:p w14:paraId="00000034" w14:textId="77777777" w:rsidR="00421882" w:rsidRDefault="00363292">
      <w:pPr>
        <w:spacing w:after="0" w:line="240" w:lineRule="auto"/>
        <w:jc w:val="both"/>
      </w:pPr>
      <w:r>
        <w:t>To quantitatively determine the degree to which an instrument sufficiently and appropriately includes the items for the construct being measured, content validity is utilized. Specifically, the statistic involved is called Content Validity Index (CVI), of which there are two kinds: item content validity index (I-CVI) and scale content validity index (S-CVI). For this study, I-CVI was utilized. For each item, the proportion of those who gave (3) quite relevant and (4) highly relevant over those who gave (1) not relevant and (2) somewhat relevant was determined. This means the value of I-CVI ranges from 0 to 1. A scale with excellent content validity is composed of I-CVIs of 0.78 or higher (Shi, et al., 2012).</w:t>
      </w:r>
    </w:p>
    <w:p w14:paraId="00000035" w14:textId="77777777" w:rsidR="00421882" w:rsidRDefault="00421882">
      <w:pPr>
        <w:spacing w:after="0" w:line="240" w:lineRule="auto"/>
        <w:jc w:val="both"/>
        <w:rPr>
          <w:sz w:val="10"/>
          <w:szCs w:val="10"/>
        </w:rPr>
      </w:pPr>
    </w:p>
    <w:p w14:paraId="00000036" w14:textId="77777777" w:rsidR="00421882" w:rsidRDefault="00363292">
      <w:pPr>
        <w:spacing w:after="0" w:line="240" w:lineRule="auto"/>
        <w:jc w:val="both"/>
      </w:pPr>
      <w:r>
        <w:t>To measure the reliability or internal consistency of the scale, Cronbach’s alpha was utilized. For each item on a scale, there are two variances that can be computed: the variance within the item and the covariance between a particular item and any other item on the scale. The values may range from zero (0) to one (1). The often interpretation of this measure of reliability is that a value of 0.7 or  0.8 is acceptable (Field, 2009).</w:t>
      </w:r>
    </w:p>
    <w:p w14:paraId="00000037" w14:textId="77777777" w:rsidR="00421882" w:rsidRDefault="00421882">
      <w:pPr>
        <w:spacing w:after="0" w:line="240" w:lineRule="auto"/>
        <w:jc w:val="both"/>
        <w:rPr>
          <w:b/>
          <w:color w:val="0000FF"/>
          <w:sz w:val="10"/>
          <w:szCs w:val="10"/>
        </w:rPr>
      </w:pPr>
    </w:p>
    <w:p w14:paraId="00000038" w14:textId="77777777" w:rsidR="00421882" w:rsidRDefault="00363292">
      <w:pPr>
        <w:spacing w:after="0" w:line="240" w:lineRule="auto"/>
        <w:rPr>
          <w:b/>
          <w:color w:val="0000FF"/>
        </w:rPr>
      </w:pPr>
      <w:r>
        <w:rPr>
          <w:b/>
          <w:color w:val="0000FF"/>
        </w:rPr>
        <w:t>C. Conducting exploratory factor analysis</w:t>
      </w:r>
    </w:p>
    <w:p w14:paraId="00000039" w14:textId="77777777" w:rsidR="00421882" w:rsidRDefault="00363292">
      <w:pPr>
        <w:spacing w:after="0" w:line="240" w:lineRule="auto"/>
        <w:jc w:val="both"/>
      </w:pPr>
      <w:r>
        <w:t>With the goal of identifying the domains or variables that could explain the construct of interest, which is stress level, the researchers subjected the responses to exploratory factor analysis (EFA). However, before conducting EFA, Kaiser–Meyer–Olkin (KMO) measure shall be used for sampling adequacy. The KMO measure is equivalent to the squared correlation between variables to the squared partial correlation between variables. This statistic ranges from zero (0) to one (1). Kaiser (1974), as cited in Field (2009) recommends that values lower than 0.5 means either collecting more data or rethinking of the variables to include.</w:t>
      </w:r>
    </w:p>
    <w:p w14:paraId="0000003A" w14:textId="77777777" w:rsidR="00421882" w:rsidRDefault="00363292">
      <w:pPr>
        <w:spacing w:after="0" w:line="240" w:lineRule="auto"/>
        <w:jc w:val="both"/>
        <w:rPr>
          <w:sz w:val="10"/>
          <w:szCs w:val="10"/>
        </w:rPr>
      </w:pPr>
      <w:r>
        <w:rPr>
          <w:sz w:val="10"/>
          <w:szCs w:val="10"/>
        </w:rPr>
        <w:t xml:space="preserve"> </w:t>
      </w:r>
    </w:p>
    <w:p w14:paraId="0000003B" w14:textId="77777777" w:rsidR="00421882" w:rsidRDefault="00363292">
      <w:pPr>
        <w:spacing w:after="0" w:line="240" w:lineRule="auto"/>
        <w:jc w:val="both"/>
      </w:pPr>
      <w:r>
        <w:t>The differences or similarities of the variances among the treatment groups were also determined. Values closer to one (1) mean more homogenous variances among treatment groups (</w:t>
      </w:r>
      <w:proofErr w:type="spellStart"/>
      <w:r>
        <w:t>Arsham</w:t>
      </w:r>
      <w:proofErr w:type="spellEnd"/>
      <w:r>
        <w:t xml:space="preserve"> &amp; </w:t>
      </w:r>
      <w:proofErr w:type="spellStart"/>
      <w:r>
        <w:t>Lovric</w:t>
      </w:r>
      <w:proofErr w:type="spellEnd"/>
      <w:r>
        <w:t xml:space="preserve">, 2011). The exploratory factor analysis (EFA) attempts to determine if there are hypothetical constructs or factors of the smallest number that can explain the covariation among the measured variables (Watkins, 2018). A factor, as described by Brown (2015) as cited in Watkins (2018) is </w:t>
      </w:r>
      <w:r>
        <w:rPr>
          <w:i/>
        </w:rPr>
        <w:t>“…an unobservable variable that influences more than one observed measure and that accounts for the correlations among these observed measures (p. 10</w:t>
      </w:r>
      <w:r>
        <w:t>).” This was the first time that the scale was used, so this context required exploratory factor analysis.</w:t>
      </w:r>
    </w:p>
    <w:p w14:paraId="0000003C" w14:textId="77777777" w:rsidR="00421882" w:rsidRDefault="00421882">
      <w:pPr>
        <w:spacing w:after="0" w:line="240" w:lineRule="auto"/>
      </w:pPr>
    </w:p>
    <w:p w14:paraId="0000003D" w14:textId="71A95163" w:rsidR="00421882" w:rsidRDefault="00421882">
      <w:pPr>
        <w:spacing w:after="0" w:line="240" w:lineRule="auto"/>
      </w:pPr>
    </w:p>
    <w:p w14:paraId="07A43B4E" w14:textId="77777777" w:rsidR="00CC2A59" w:rsidRDefault="00CC2A59">
      <w:pPr>
        <w:spacing w:after="0" w:line="240" w:lineRule="auto"/>
      </w:pPr>
    </w:p>
    <w:p w14:paraId="0000003E" w14:textId="77777777" w:rsidR="00421882" w:rsidRDefault="00363292">
      <w:pPr>
        <w:spacing w:after="0" w:line="240" w:lineRule="auto"/>
        <w:rPr>
          <w:b/>
        </w:rPr>
      </w:pPr>
      <w:r>
        <w:rPr>
          <w:b/>
          <w:color w:val="0000FF"/>
        </w:rPr>
        <w:lastRenderedPageBreak/>
        <w:t>D. Establishing measurement invariance</w:t>
      </w:r>
    </w:p>
    <w:p w14:paraId="0000003F" w14:textId="77777777" w:rsidR="00421882" w:rsidRDefault="00363292">
      <w:pPr>
        <w:spacing w:after="0" w:line="240" w:lineRule="auto"/>
        <w:jc w:val="both"/>
      </w:pPr>
      <w:r>
        <w:t xml:space="preserve">The data using the newly developed stress scale need to undergo measurement invariance to ascertain that the construct being measured by the scale is applicable to different groups and to ensure that group comparisons are valid. Measurement invariance tests were conducted across sex, grade level, and age groups of respondents. Invariance refers to the requirement that quantitatively measured constructs have the same meaning across different groups, and that group differences of sample estimates such as means reflect true differences, not from group-specific characteristics that are not related to the construct of interest. </w:t>
      </w:r>
    </w:p>
    <w:p w14:paraId="00000040" w14:textId="77777777" w:rsidR="00421882" w:rsidRDefault="00421882">
      <w:pPr>
        <w:spacing w:after="0" w:line="240" w:lineRule="auto"/>
        <w:rPr>
          <w:sz w:val="10"/>
          <w:szCs w:val="10"/>
        </w:rPr>
      </w:pPr>
    </w:p>
    <w:p w14:paraId="00000041" w14:textId="77777777" w:rsidR="00421882" w:rsidRDefault="00363292">
      <w:pPr>
        <w:spacing w:after="0" w:line="240" w:lineRule="auto"/>
        <w:jc w:val="both"/>
      </w:pPr>
      <w:r>
        <w:t>The multi-group confirmatory factor analysis (MG-CFA) framework allows invariance testing in a sequence of increasingly strict invariance. Dimensional (baseline) invariance is the most basic form of invariance, in which the same number of factors can be found in all groups, regardless of the underlying item and factor configuration. Configural invariance is the most frequently tested type of invariance, in which it is determined if the same factors are associated with the same items in all groups. Configural invariance is inadequate to defend quantitative comparisons between groups because factor-intercorrelations and factor weights per item will vary across groups (</w:t>
      </w:r>
      <w:proofErr w:type="spellStart"/>
      <w:r>
        <w:t>Gregorich</w:t>
      </w:r>
      <w:proofErr w:type="spellEnd"/>
      <w:r>
        <w:t xml:space="preserve">, 2006, as cited in </w:t>
      </w:r>
      <w:proofErr w:type="spellStart"/>
      <w:r>
        <w:t>Strijbos</w:t>
      </w:r>
      <w:proofErr w:type="spellEnd"/>
      <w:r>
        <w:t xml:space="preserve">, Pat-El, &amp; </w:t>
      </w:r>
      <w:proofErr w:type="spellStart"/>
      <w:r>
        <w:t>Narciss</w:t>
      </w:r>
      <w:proofErr w:type="spellEnd"/>
      <w:r>
        <w:t xml:space="preserve">, 2021). </w:t>
      </w:r>
    </w:p>
    <w:p w14:paraId="00000042" w14:textId="77777777" w:rsidR="00421882" w:rsidRDefault="00421882">
      <w:pPr>
        <w:spacing w:after="0" w:line="240" w:lineRule="auto"/>
        <w:jc w:val="both"/>
        <w:rPr>
          <w:sz w:val="10"/>
          <w:szCs w:val="10"/>
        </w:rPr>
      </w:pPr>
    </w:p>
    <w:p w14:paraId="00000043" w14:textId="77777777" w:rsidR="00421882" w:rsidRDefault="00363292">
      <w:pPr>
        <w:spacing w:after="0" w:line="240" w:lineRule="auto"/>
        <w:jc w:val="both"/>
      </w:pPr>
      <w:r>
        <w:t>The next level of invariance is metric invariance (also known as weak-factorial invariance), which examines whether (common) factors have the same meaning across groups – expressed as equal factor loadings. Scalar invariance (also known as strong-factorial invariance) is the first level of invariance that is sufficient to defend quantitative group comparisons when factor-loadings and factor intercorrelations are equal across groups (meaning that common factors have the same meaning across groups) and there is no differential response bias between groups. Scalar invariance allows for accurate population comparisons because (1) group variations in predicted factor means are specifically attributable to group differences in factor means and are not contaminated by differential additive response bias. Finally, strict factorial invariance (also known as residual invariance) is the most restrictive type of invariance, in which item-residuals are equal across populations. This would allow researchers to compare not only the means of different groups, but also their variance estimates (</w:t>
      </w:r>
      <w:proofErr w:type="spellStart"/>
      <w:r>
        <w:t>Gregorich</w:t>
      </w:r>
      <w:proofErr w:type="spellEnd"/>
      <w:r>
        <w:t xml:space="preserve">, 2006, as cited in </w:t>
      </w:r>
      <w:proofErr w:type="spellStart"/>
      <w:r>
        <w:t>Strijbos</w:t>
      </w:r>
      <w:proofErr w:type="spellEnd"/>
      <w:r>
        <w:t>, et al., 2021).</w:t>
      </w:r>
    </w:p>
    <w:p w14:paraId="00000044" w14:textId="77777777" w:rsidR="00421882" w:rsidRDefault="00421882">
      <w:pPr>
        <w:spacing w:after="0" w:line="240" w:lineRule="auto"/>
        <w:rPr>
          <w:sz w:val="10"/>
          <w:szCs w:val="10"/>
        </w:rPr>
      </w:pPr>
    </w:p>
    <w:p w14:paraId="00000045" w14:textId="77777777" w:rsidR="00421882" w:rsidRDefault="00363292">
      <w:pPr>
        <w:spacing w:after="0" w:line="240" w:lineRule="auto"/>
        <w:jc w:val="both"/>
      </w:pPr>
      <w:r>
        <w:t xml:space="preserve">As recommended by most scholars, reporting of fit statistics included chi-square (x2) and at least two alternative fit indices (AFI), namely, Standardized Root Mean-square Residual (SRMR) and Root Mean-square Residual (SRMR). Measurement invariance is established when at least 2 of 3 fit statistics proved acceptance of model equivalence:  non-significance of chi-square (x2) p-value means good fit; SRMR ≤ 0.08 = good fit; Change in SRMR ≤ .030 for metric and ≤ .015 for scalar or residual = good fit; RMSEA ≤ 0.05 = very good fit and ≤ 0.06 and ≤ 0.08 = good fit; and </w:t>
      </w:r>
      <w:proofErr w:type="gramStart"/>
      <w:r>
        <w:t>Change</w:t>
      </w:r>
      <w:proofErr w:type="gramEnd"/>
      <w:r>
        <w:t xml:space="preserve"> in RMSEA ≤ .015 = good fit (</w:t>
      </w:r>
      <w:proofErr w:type="spellStart"/>
      <w:r>
        <w:t>Putnick</w:t>
      </w:r>
      <w:proofErr w:type="spellEnd"/>
      <w:r>
        <w:t xml:space="preserve"> &amp; Bornstein, 2016).</w:t>
      </w:r>
    </w:p>
    <w:p w14:paraId="00000046" w14:textId="77777777" w:rsidR="00421882" w:rsidRDefault="00421882">
      <w:pPr>
        <w:spacing w:after="0" w:line="240" w:lineRule="auto"/>
        <w:jc w:val="both"/>
        <w:rPr>
          <w:sz w:val="10"/>
          <w:szCs w:val="10"/>
        </w:rPr>
      </w:pPr>
    </w:p>
    <w:p w14:paraId="00000047" w14:textId="77777777" w:rsidR="00421882" w:rsidRDefault="00363292">
      <w:pPr>
        <w:numPr>
          <w:ilvl w:val="0"/>
          <w:numId w:val="2"/>
        </w:numPr>
        <w:spacing w:after="0" w:line="240" w:lineRule="auto"/>
        <w:ind w:left="0" w:hanging="284"/>
        <w:rPr>
          <w:b/>
        </w:rPr>
      </w:pPr>
      <w:r>
        <w:rPr>
          <w:b/>
          <w:color w:val="0000FF"/>
        </w:rPr>
        <w:t>RESULTS AND DISCUSSION</w:t>
      </w:r>
    </w:p>
    <w:p w14:paraId="00000048" w14:textId="77777777" w:rsidR="00421882" w:rsidRDefault="00363292">
      <w:pPr>
        <w:spacing w:after="0" w:line="240" w:lineRule="auto"/>
        <w:jc w:val="both"/>
        <w:rPr>
          <w:b/>
          <w:color w:val="0000FF"/>
        </w:rPr>
      </w:pPr>
      <w:r>
        <w:rPr>
          <w:b/>
          <w:color w:val="0000FF"/>
        </w:rPr>
        <w:t>A. Content validity index (CVI) from the evaluation of the field experts</w:t>
      </w:r>
    </w:p>
    <w:p w14:paraId="00000049" w14:textId="77777777" w:rsidR="00421882" w:rsidRDefault="00363292">
      <w:pPr>
        <w:spacing w:after="0" w:line="240" w:lineRule="auto"/>
        <w:jc w:val="both"/>
      </w:pPr>
      <w:r>
        <w:t>The data gathered from the solicitation of evaluation from the experts were used to determine the Content Validity Index (CVI) of each of the thirty-two (32) items. According to Rodrigues et al. (2017), the well-accepted value of the CVI by the research community is 0.80 to 1.00. Following this cutoff, ten (10) of the items will be eliminated—five (5) from the cognitive domain and five (5), as well, from the affective domain. Rather than pushing through with elimination, the researchers decided to keep the items because most of the evaluations were contradictory. In some items, one or few of the evaluators regarded an item to be highly relevant while the others considered them as not relevant. Instead of completely discarding the items, overall and major revisions were made to the format of the items.</w:t>
      </w:r>
    </w:p>
    <w:p w14:paraId="0000004A" w14:textId="77777777" w:rsidR="00421882" w:rsidRDefault="00421882">
      <w:pPr>
        <w:spacing w:after="0" w:line="240" w:lineRule="auto"/>
        <w:rPr>
          <w:color w:val="0000FF"/>
          <w:sz w:val="10"/>
          <w:szCs w:val="10"/>
        </w:rPr>
      </w:pPr>
    </w:p>
    <w:p w14:paraId="0000004B" w14:textId="77777777" w:rsidR="00421882" w:rsidRDefault="00363292">
      <w:pPr>
        <w:pBdr>
          <w:top w:val="nil"/>
          <w:left w:val="nil"/>
          <w:bottom w:val="nil"/>
          <w:right w:val="nil"/>
          <w:between w:val="nil"/>
        </w:pBdr>
        <w:spacing w:after="0" w:line="240" w:lineRule="auto"/>
        <w:rPr>
          <w:b/>
          <w:color w:val="0000FF"/>
        </w:rPr>
      </w:pPr>
      <w:r>
        <w:rPr>
          <w:b/>
          <w:color w:val="0000FF"/>
        </w:rPr>
        <w:t xml:space="preserve">B. Pretesting of the items </w:t>
      </w:r>
    </w:p>
    <w:p w14:paraId="0000004C" w14:textId="77777777" w:rsidR="00421882" w:rsidRDefault="00363292">
      <w:pPr>
        <w:pBdr>
          <w:top w:val="nil"/>
          <w:left w:val="nil"/>
          <w:bottom w:val="nil"/>
          <w:right w:val="nil"/>
          <w:between w:val="nil"/>
        </w:pBdr>
        <w:spacing w:after="0" w:line="240" w:lineRule="auto"/>
        <w:jc w:val="both"/>
      </w:pPr>
      <w:r>
        <w:t xml:space="preserve">After soliciting the experts’ evaluations and adopting their recommendations, a pretest was conducted among twenty (20) students—five (5) from each junior high school grades levels 7, 8, 9, and 10. After answering the items, the students were also asked to give their comments on the items. The facilitators were also asked the questions </w:t>
      </w:r>
      <w:r>
        <w:lastRenderedPageBreak/>
        <w:t xml:space="preserve">raised during the answering of the questionnaire. Based on the list of the comments, the students found the items easy to understand. There were just some instances where some students asked what the word </w:t>
      </w:r>
      <w:r>
        <w:rPr>
          <w:i/>
        </w:rPr>
        <w:t>“cramming”</w:t>
      </w:r>
      <w:r>
        <w:t xml:space="preserve"> meant. This has been duly addressed and necessary tweaking was done. </w:t>
      </w:r>
    </w:p>
    <w:p w14:paraId="0000004D" w14:textId="77777777" w:rsidR="00421882" w:rsidRDefault="00421882">
      <w:pPr>
        <w:pBdr>
          <w:top w:val="nil"/>
          <w:left w:val="nil"/>
          <w:bottom w:val="nil"/>
          <w:right w:val="nil"/>
          <w:between w:val="nil"/>
        </w:pBdr>
        <w:spacing w:after="0" w:line="240" w:lineRule="auto"/>
        <w:rPr>
          <w:b/>
          <w:color w:val="000000"/>
          <w:sz w:val="10"/>
          <w:szCs w:val="10"/>
        </w:rPr>
      </w:pPr>
    </w:p>
    <w:p w14:paraId="0000004E" w14:textId="77777777" w:rsidR="00421882" w:rsidRDefault="00363292">
      <w:pPr>
        <w:pBdr>
          <w:top w:val="nil"/>
          <w:left w:val="nil"/>
          <w:bottom w:val="nil"/>
          <w:right w:val="nil"/>
          <w:between w:val="nil"/>
        </w:pBdr>
        <w:spacing w:after="0" w:line="240" w:lineRule="auto"/>
        <w:rPr>
          <w:b/>
          <w:color w:val="0000FF"/>
        </w:rPr>
      </w:pPr>
      <w:r>
        <w:rPr>
          <w:b/>
          <w:color w:val="0000FF"/>
        </w:rPr>
        <w:t>C. Demographics of the research respondents</w:t>
      </w:r>
    </w:p>
    <w:p w14:paraId="0000004F" w14:textId="77777777" w:rsidR="00421882" w:rsidRDefault="00363292">
      <w:pPr>
        <w:pBdr>
          <w:top w:val="nil"/>
          <w:left w:val="nil"/>
          <w:bottom w:val="nil"/>
          <w:right w:val="nil"/>
          <w:between w:val="nil"/>
        </w:pBdr>
        <w:spacing w:after="0" w:line="240" w:lineRule="auto"/>
        <w:jc w:val="both"/>
      </w:pPr>
      <w:r>
        <w:rPr>
          <w:color w:val="000000"/>
        </w:rPr>
        <w:t>The questionnaire was administered to 319 respondents, which were composed of 151 males (47.3%) and 168 females (52.7%). The respondents were in Grade 7 (n=73, 22.9%), Grade 8 (n=86, 27.0%), Grade 9 (n=83, 26.0%), and Grade 10 (n=77, 24.1%). In terms of the age of the respondents, the data ranged from eleven years old (11) to seventeen years old (17</w:t>
      </w:r>
      <w:r>
        <w:t xml:space="preserve">) with an average age of 13.9. In the analysis conducted, the means of stress level were based on age groups: 11-12, 13-14, and 15-17. Table 1 displays the frequency distribution of respondents by demographic variables. </w:t>
      </w:r>
    </w:p>
    <w:p w14:paraId="00000050" w14:textId="77777777" w:rsidR="00421882" w:rsidRDefault="00421882">
      <w:pPr>
        <w:pBdr>
          <w:top w:val="nil"/>
          <w:left w:val="nil"/>
          <w:bottom w:val="nil"/>
          <w:right w:val="nil"/>
          <w:between w:val="nil"/>
        </w:pBdr>
        <w:spacing w:after="0" w:line="240" w:lineRule="auto"/>
        <w:rPr>
          <w:color w:val="FF0000"/>
          <w:sz w:val="10"/>
          <w:szCs w:val="10"/>
        </w:rPr>
      </w:pPr>
    </w:p>
    <w:p w14:paraId="00000051" w14:textId="77777777" w:rsidR="00421882" w:rsidRDefault="00363292">
      <w:pPr>
        <w:pBdr>
          <w:top w:val="nil"/>
          <w:left w:val="nil"/>
          <w:bottom w:val="nil"/>
          <w:right w:val="nil"/>
          <w:between w:val="nil"/>
        </w:pBdr>
        <w:spacing w:after="0" w:line="240" w:lineRule="auto"/>
        <w:rPr>
          <w:color w:val="000000"/>
        </w:rPr>
      </w:pPr>
      <w:r>
        <w:rPr>
          <w:b/>
          <w:color w:val="000000"/>
        </w:rPr>
        <w:t xml:space="preserve">Table </w:t>
      </w:r>
      <w:r>
        <w:rPr>
          <w:b/>
        </w:rPr>
        <w:t>1</w:t>
      </w:r>
      <w:r>
        <w:rPr>
          <w:b/>
          <w:color w:val="000000"/>
        </w:rPr>
        <w:t>.</w:t>
      </w:r>
      <w:r>
        <w:rPr>
          <w:color w:val="000000"/>
        </w:rPr>
        <w:t xml:space="preserve"> Demographic frequencies and SPSS value assignments</w:t>
      </w:r>
    </w:p>
    <w:tbl>
      <w:tblPr>
        <w:tblStyle w:val="a"/>
        <w:tblW w:w="10070" w:type="dxa"/>
        <w:tblBorders>
          <w:top w:val="nil"/>
          <w:left w:val="nil"/>
          <w:bottom w:val="nil"/>
          <w:right w:val="nil"/>
          <w:insideH w:val="nil"/>
          <w:insideV w:val="nil"/>
        </w:tblBorders>
        <w:tblLayout w:type="fixed"/>
        <w:tblLook w:val="0400" w:firstRow="0" w:lastRow="0" w:firstColumn="0" w:lastColumn="0" w:noHBand="0" w:noVBand="1"/>
      </w:tblPr>
      <w:tblGrid>
        <w:gridCol w:w="1543"/>
        <w:gridCol w:w="3334"/>
        <w:gridCol w:w="2593"/>
        <w:gridCol w:w="2600"/>
      </w:tblGrid>
      <w:tr w:rsidR="00421882" w14:paraId="5C573C5A" w14:textId="77777777">
        <w:trPr>
          <w:trHeight w:val="458"/>
        </w:trPr>
        <w:tc>
          <w:tcPr>
            <w:tcW w:w="1543" w:type="dxa"/>
            <w:tcBorders>
              <w:top w:val="single" w:sz="12" w:space="0" w:color="000000"/>
              <w:bottom w:val="single" w:sz="4" w:space="0" w:color="000000"/>
            </w:tcBorders>
            <w:vAlign w:val="center"/>
          </w:tcPr>
          <w:p w14:paraId="00000052"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Demographics</w:t>
            </w:r>
          </w:p>
        </w:tc>
        <w:tc>
          <w:tcPr>
            <w:tcW w:w="3334" w:type="dxa"/>
            <w:tcBorders>
              <w:top w:val="single" w:sz="12" w:space="0" w:color="000000"/>
              <w:bottom w:val="single" w:sz="4" w:space="0" w:color="000000"/>
            </w:tcBorders>
            <w:vAlign w:val="center"/>
          </w:tcPr>
          <w:p w14:paraId="00000053"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Assignment of Values in SPSS</w:t>
            </w:r>
          </w:p>
        </w:tc>
        <w:tc>
          <w:tcPr>
            <w:tcW w:w="2593" w:type="dxa"/>
            <w:tcBorders>
              <w:top w:val="single" w:sz="12" w:space="0" w:color="000000"/>
              <w:bottom w:val="single" w:sz="4" w:space="0" w:color="000000"/>
            </w:tcBorders>
            <w:vAlign w:val="center"/>
          </w:tcPr>
          <w:p w14:paraId="00000054"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Frequencies</w:t>
            </w:r>
          </w:p>
        </w:tc>
        <w:tc>
          <w:tcPr>
            <w:tcW w:w="2600" w:type="dxa"/>
            <w:tcBorders>
              <w:top w:val="single" w:sz="12" w:space="0" w:color="000000"/>
              <w:bottom w:val="single" w:sz="4" w:space="0" w:color="000000"/>
            </w:tcBorders>
            <w:vAlign w:val="center"/>
          </w:tcPr>
          <w:p w14:paraId="00000055"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Percentages (%)</w:t>
            </w:r>
          </w:p>
        </w:tc>
      </w:tr>
      <w:tr w:rsidR="00421882" w14:paraId="19B31F77" w14:textId="77777777">
        <w:tc>
          <w:tcPr>
            <w:tcW w:w="1543" w:type="dxa"/>
            <w:tcBorders>
              <w:top w:val="single" w:sz="4" w:space="0" w:color="000000"/>
            </w:tcBorders>
          </w:tcPr>
          <w:p w14:paraId="00000056" w14:textId="77777777" w:rsidR="00421882" w:rsidRDefault="00363292">
            <w:pPr>
              <w:pBdr>
                <w:top w:val="nil"/>
                <w:left w:val="nil"/>
                <w:bottom w:val="nil"/>
                <w:right w:val="nil"/>
                <w:between w:val="nil"/>
              </w:pBdr>
              <w:spacing w:after="0" w:line="240" w:lineRule="auto"/>
              <w:rPr>
                <w:b/>
                <w:color w:val="000000"/>
                <w:sz w:val="20"/>
                <w:szCs w:val="20"/>
              </w:rPr>
            </w:pPr>
            <w:r>
              <w:rPr>
                <w:b/>
                <w:color w:val="000000"/>
                <w:sz w:val="20"/>
                <w:szCs w:val="20"/>
              </w:rPr>
              <w:t>Sex:</w:t>
            </w:r>
          </w:p>
        </w:tc>
        <w:tc>
          <w:tcPr>
            <w:tcW w:w="3334" w:type="dxa"/>
            <w:tcBorders>
              <w:top w:val="single" w:sz="4" w:space="0" w:color="000000"/>
            </w:tcBorders>
          </w:tcPr>
          <w:p w14:paraId="00000057" w14:textId="77777777" w:rsidR="00421882" w:rsidRDefault="00421882">
            <w:pPr>
              <w:pBdr>
                <w:top w:val="nil"/>
                <w:left w:val="nil"/>
                <w:bottom w:val="nil"/>
                <w:right w:val="nil"/>
                <w:between w:val="nil"/>
              </w:pBdr>
              <w:spacing w:after="0" w:line="240" w:lineRule="auto"/>
              <w:rPr>
                <w:color w:val="000000"/>
                <w:sz w:val="20"/>
                <w:szCs w:val="20"/>
              </w:rPr>
            </w:pPr>
          </w:p>
        </w:tc>
        <w:tc>
          <w:tcPr>
            <w:tcW w:w="2593" w:type="dxa"/>
            <w:tcBorders>
              <w:top w:val="single" w:sz="4" w:space="0" w:color="000000"/>
            </w:tcBorders>
          </w:tcPr>
          <w:p w14:paraId="00000058" w14:textId="77777777" w:rsidR="00421882" w:rsidRDefault="00421882">
            <w:pPr>
              <w:pBdr>
                <w:top w:val="nil"/>
                <w:left w:val="nil"/>
                <w:bottom w:val="nil"/>
                <w:right w:val="nil"/>
                <w:between w:val="nil"/>
              </w:pBdr>
              <w:spacing w:after="0" w:line="240" w:lineRule="auto"/>
              <w:rPr>
                <w:color w:val="000000"/>
                <w:sz w:val="20"/>
                <w:szCs w:val="20"/>
              </w:rPr>
            </w:pPr>
          </w:p>
        </w:tc>
        <w:tc>
          <w:tcPr>
            <w:tcW w:w="2600" w:type="dxa"/>
            <w:tcBorders>
              <w:top w:val="single" w:sz="4" w:space="0" w:color="000000"/>
            </w:tcBorders>
          </w:tcPr>
          <w:p w14:paraId="00000059" w14:textId="77777777" w:rsidR="00421882" w:rsidRDefault="00421882">
            <w:pPr>
              <w:pBdr>
                <w:top w:val="nil"/>
                <w:left w:val="nil"/>
                <w:bottom w:val="nil"/>
                <w:right w:val="nil"/>
                <w:between w:val="nil"/>
              </w:pBdr>
              <w:spacing w:after="0" w:line="240" w:lineRule="auto"/>
              <w:rPr>
                <w:color w:val="000000"/>
                <w:sz w:val="20"/>
                <w:szCs w:val="20"/>
              </w:rPr>
            </w:pPr>
          </w:p>
        </w:tc>
      </w:tr>
      <w:tr w:rsidR="00421882" w14:paraId="07CAD8BF" w14:textId="77777777">
        <w:tc>
          <w:tcPr>
            <w:tcW w:w="1543" w:type="dxa"/>
          </w:tcPr>
          <w:p w14:paraId="0000005A"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Male</w:t>
            </w:r>
          </w:p>
        </w:tc>
        <w:tc>
          <w:tcPr>
            <w:tcW w:w="3334" w:type="dxa"/>
          </w:tcPr>
          <w:p w14:paraId="0000005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2593" w:type="dxa"/>
          </w:tcPr>
          <w:p w14:paraId="0000005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151</w:t>
            </w:r>
          </w:p>
        </w:tc>
        <w:tc>
          <w:tcPr>
            <w:tcW w:w="2600" w:type="dxa"/>
          </w:tcPr>
          <w:p w14:paraId="0000005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47.3</w:t>
            </w:r>
          </w:p>
        </w:tc>
      </w:tr>
      <w:tr w:rsidR="00421882" w14:paraId="0BE9D9ED" w14:textId="77777777">
        <w:tc>
          <w:tcPr>
            <w:tcW w:w="1543" w:type="dxa"/>
          </w:tcPr>
          <w:p w14:paraId="0000005E"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Female</w:t>
            </w:r>
          </w:p>
        </w:tc>
        <w:tc>
          <w:tcPr>
            <w:tcW w:w="3334" w:type="dxa"/>
          </w:tcPr>
          <w:p w14:paraId="0000005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2593" w:type="dxa"/>
          </w:tcPr>
          <w:p w14:paraId="0000006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168</w:t>
            </w:r>
          </w:p>
        </w:tc>
        <w:tc>
          <w:tcPr>
            <w:tcW w:w="2600" w:type="dxa"/>
          </w:tcPr>
          <w:p w14:paraId="0000006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52.7</w:t>
            </w:r>
          </w:p>
        </w:tc>
      </w:tr>
      <w:tr w:rsidR="00421882" w14:paraId="255A17F7" w14:textId="77777777">
        <w:tc>
          <w:tcPr>
            <w:tcW w:w="1543" w:type="dxa"/>
            <w:tcBorders>
              <w:top w:val="single" w:sz="4" w:space="0" w:color="000000"/>
            </w:tcBorders>
          </w:tcPr>
          <w:p w14:paraId="00000062" w14:textId="77777777" w:rsidR="00421882" w:rsidRDefault="00363292">
            <w:pPr>
              <w:pBdr>
                <w:top w:val="nil"/>
                <w:left w:val="nil"/>
                <w:bottom w:val="nil"/>
                <w:right w:val="nil"/>
                <w:between w:val="nil"/>
              </w:pBdr>
              <w:spacing w:after="0" w:line="240" w:lineRule="auto"/>
              <w:rPr>
                <w:b/>
                <w:color w:val="000000"/>
                <w:sz w:val="20"/>
                <w:szCs w:val="20"/>
              </w:rPr>
            </w:pPr>
            <w:r>
              <w:rPr>
                <w:b/>
                <w:color w:val="000000"/>
                <w:sz w:val="20"/>
                <w:szCs w:val="20"/>
              </w:rPr>
              <w:t>Grade Level:</w:t>
            </w:r>
          </w:p>
        </w:tc>
        <w:tc>
          <w:tcPr>
            <w:tcW w:w="3334" w:type="dxa"/>
            <w:tcBorders>
              <w:top w:val="single" w:sz="4" w:space="0" w:color="000000"/>
            </w:tcBorders>
          </w:tcPr>
          <w:p w14:paraId="00000063" w14:textId="77777777" w:rsidR="00421882" w:rsidRDefault="00421882">
            <w:pPr>
              <w:pBdr>
                <w:top w:val="nil"/>
                <w:left w:val="nil"/>
                <w:bottom w:val="nil"/>
                <w:right w:val="nil"/>
                <w:between w:val="nil"/>
              </w:pBdr>
              <w:spacing w:after="0" w:line="240" w:lineRule="auto"/>
              <w:jc w:val="center"/>
              <w:rPr>
                <w:color w:val="000000"/>
                <w:sz w:val="20"/>
                <w:szCs w:val="20"/>
              </w:rPr>
            </w:pPr>
          </w:p>
        </w:tc>
        <w:tc>
          <w:tcPr>
            <w:tcW w:w="2593" w:type="dxa"/>
            <w:tcBorders>
              <w:top w:val="single" w:sz="4" w:space="0" w:color="000000"/>
            </w:tcBorders>
          </w:tcPr>
          <w:p w14:paraId="00000064" w14:textId="77777777" w:rsidR="00421882" w:rsidRDefault="00421882">
            <w:pPr>
              <w:pBdr>
                <w:top w:val="nil"/>
                <w:left w:val="nil"/>
                <w:bottom w:val="nil"/>
                <w:right w:val="nil"/>
                <w:between w:val="nil"/>
              </w:pBdr>
              <w:spacing w:after="0" w:line="240" w:lineRule="auto"/>
              <w:jc w:val="center"/>
              <w:rPr>
                <w:color w:val="000000"/>
                <w:sz w:val="20"/>
                <w:szCs w:val="20"/>
              </w:rPr>
            </w:pPr>
          </w:p>
        </w:tc>
        <w:tc>
          <w:tcPr>
            <w:tcW w:w="2600" w:type="dxa"/>
            <w:tcBorders>
              <w:top w:val="single" w:sz="4" w:space="0" w:color="000000"/>
            </w:tcBorders>
          </w:tcPr>
          <w:p w14:paraId="00000065" w14:textId="77777777" w:rsidR="00421882" w:rsidRDefault="00421882">
            <w:pPr>
              <w:pBdr>
                <w:top w:val="nil"/>
                <w:left w:val="nil"/>
                <w:bottom w:val="nil"/>
                <w:right w:val="nil"/>
                <w:between w:val="nil"/>
              </w:pBdr>
              <w:spacing w:after="0" w:line="240" w:lineRule="auto"/>
              <w:jc w:val="center"/>
              <w:rPr>
                <w:color w:val="000000"/>
                <w:sz w:val="20"/>
                <w:szCs w:val="20"/>
              </w:rPr>
            </w:pPr>
          </w:p>
        </w:tc>
      </w:tr>
      <w:tr w:rsidR="00421882" w14:paraId="0C56216C" w14:textId="77777777">
        <w:tc>
          <w:tcPr>
            <w:tcW w:w="1543" w:type="dxa"/>
          </w:tcPr>
          <w:p w14:paraId="00000066"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7</w:t>
            </w:r>
          </w:p>
        </w:tc>
        <w:tc>
          <w:tcPr>
            <w:tcW w:w="3334" w:type="dxa"/>
          </w:tcPr>
          <w:p w14:paraId="0000006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2593" w:type="dxa"/>
          </w:tcPr>
          <w:p w14:paraId="0000006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73</w:t>
            </w:r>
          </w:p>
        </w:tc>
        <w:tc>
          <w:tcPr>
            <w:tcW w:w="2600" w:type="dxa"/>
          </w:tcPr>
          <w:p w14:paraId="0000006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22.9</w:t>
            </w:r>
          </w:p>
        </w:tc>
      </w:tr>
      <w:tr w:rsidR="00421882" w14:paraId="5F4CD2AC" w14:textId="77777777">
        <w:tc>
          <w:tcPr>
            <w:tcW w:w="1543" w:type="dxa"/>
          </w:tcPr>
          <w:p w14:paraId="0000006A"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8</w:t>
            </w:r>
          </w:p>
        </w:tc>
        <w:tc>
          <w:tcPr>
            <w:tcW w:w="3334" w:type="dxa"/>
          </w:tcPr>
          <w:p w14:paraId="0000006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2593" w:type="dxa"/>
          </w:tcPr>
          <w:p w14:paraId="0000006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86</w:t>
            </w:r>
          </w:p>
        </w:tc>
        <w:tc>
          <w:tcPr>
            <w:tcW w:w="2600" w:type="dxa"/>
          </w:tcPr>
          <w:p w14:paraId="0000006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27.0</w:t>
            </w:r>
          </w:p>
        </w:tc>
      </w:tr>
      <w:tr w:rsidR="00421882" w14:paraId="213AF14B" w14:textId="77777777">
        <w:tc>
          <w:tcPr>
            <w:tcW w:w="1543" w:type="dxa"/>
          </w:tcPr>
          <w:p w14:paraId="0000006E"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9</w:t>
            </w:r>
          </w:p>
        </w:tc>
        <w:tc>
          <w:tcPr>
            <w:tcW w:w="3334" w:type="dxa"/>
          </w:tcPr>
          <w:p w14:paraId="0000006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2593" w:type="dxa"/>
          </w:tcPr>
          <w:p w14:paraId="0000007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83</w:t>
            </w:r>
          </w:p>
        </w:tc>
        <w:tc>
          <w:tcPr>
            <w:tcW w:w="2600" w:type="dxa"/>
          </w:tcPr>
          <w:p w14:paraId="0000007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26.0</w:t>
            </w:r>
          </w:p>
        </w:tc>
      </w:tr>
      <w:tr w:rsidR="00421882" w14:paraId="6D4797CB" w14:textId="77777777">
        <w:tc>
          <w:tcPr>
            <w:tcW w:w="1543" w:type="dxa"/>
          </w:tcPr>
          <w:p w14:paraId="00000072"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10</w:t>
            </w:r>
          </w:p>
        </w:tc>
        <w:tc>
          <w:tcPr>
            <w:tcW w:w="3334" w:type="dxa"/>
          </w:tcPr>
          <w:p w14:paraId="0000007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2593" w:type="dxa"/>
          </w:tcPr>
          <w:p w14:paraId="0000007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77</w:t>
            </w:r>
          </w:p>
        </w:tc>
        <w:tc>
          <w:tcPr>
            <w:tcW w:w="2600" w:type="dxa"/>
          </w:tcPr>
          <w:p w14:paraId="0000007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24.1</w:t>
            </w:r>
          </w:p>
        </w:tc>
      </w:tr>
      <w:tr w:rsidR="00421882" w14:paraId="6E9746DF" w14:textId="77777777">
        <w:tc>
          <w:tcPr>
            <w:tcW w:w="1543" w:type="dxa"/>
            <w:tcBorders>
              <w:top w:val="single" w:sz="4" w:space="0" w:color="000000"/>
            </w:tcBorders>
          </w:tcPr>
          <w:p w14:paraId="00000076" w14:textId="77777777" w:rsidR="00421882" w:rsidRDefault="00363292">
            <w:pPr>
              <w:pBdr>
                <w:top w:val="nil"/>
                <w:left w:val="nil"/>
                <w:bottom w:val="nil"/>
                <w:right w:val="nil"/>
                <w:between w:val="nil"/>
              </w:pBdr>
              <w:spacing w:after="0" w:line="240" w:lineRule="auto"/>
              <w:rPr>
                <w:b/>
                <w:color w:val="000000"/>
                <w:sz w:val="20"/>
                <w:szCs w:val="20"/>
              </w:rPr>
            </w:pPr>
            <w:r>
              <w:rPr>
                <w:b/>
                <w:color w:val="000000"/>
                <w:sz w:val="20"/>
                <w:szCs w:val="20"/>
              </w:rPr>
              <w:t>Age:</w:t>
            </w:r>
          </w:p>
        </w:tc>
        <w:tc>
          <w:tcPr>
            <w:tcW w:w="3334" w:type="dxa"/>
            <w:tcBorders>
              <w:top w:val="single" w:sz="4" w:space="0" w:color="000000"/>
            </w:tcBorders>
          </w:tcPr>
          <w:p w14:paraId="00000077" w14:textId="77777777" w:rsidR="00421882" w:rsidRDefault="00421882">
            <w:pPr>
              <w:pBdr>
                <w:top w:val="nil"/>
                <w:left w:val="nil"/>
                <w:bottom w:val="nil"/>
                <w:right w:val="nil"/>
                <w:between w:val="nil"/>
              </w:pBdr>
              <w:spacing w:after="0" w:line="240" w:lineRule="auto"/>
              <w:jc w:val="center"/>
              <w:rPr>
                <w:color w:val="000000"/>
                <w:sz w:val="20"/>
                <w:szCs w:val="20"/>
              </w:rPr>
            </w:pPr>
          </w:p>
        </w:tc>
        <w:tc>
          <w:tcPr>
            <w:tcW w:w="2593" w:type="dxa"/>
            <w:tcBorders>
              <w:top w:val="single" w:sz="4" w:space="0" w:color="000000"/>
            </w:tcBorders>
          </w:tcPr>
          <w:p w14:paraId="00000078" w14:textId="77777777" w:rsidR="00421882" w:rsidRDefault="00421882">
            <w:pPr>
              <w:pBdr>
                <w:top w:val="nil"/>
                <w:left w:val="nil"/>
                <w:bottom w:val="nil"/>
                <w:right w:val="nil"/>
                <w:between w:val="nil"/>
              </w:pBdr>
              <w:spacing w:after="0" w:line="240" w:lineRule="auto"/>
              <w:jc w:val="center"/>
              <w:rPr>
                <w:color w:val="000000"/>
                <w:sz w:val="20"/>
                <w:szCs w:val="20"/>
              </w:rPr>
            </w:pPr>
          </w:p>
        </w:tc>
        <w:tc>
          <w:tcPr>
            <w:tcW w:w="2600" w:type="dxa"/>
            <w:tcBorders>
              <w:top w:val="single" w:sz="4" w:space="0" w:color="000000"/>
            </w:tcBorders>
          </w:tcPr>
          <w:p w14:paraId="00000079" w14:textId="77777777" w:rsidR="00421882" w:rsidRDefault="00421882">
            <w:pPr>
              <w:pBdr>
                <w:top w:val="nil"/>
                <w:left w:val="nil"/>
                <w:bottom w:val="nil"/>
                <w:right w:val="nil"/>
                <w:between w:val="nil"/>
              </w:pBdr>
              <w:spacing w:after="0" w:line="240" w:lineRule="auto"/>
              <w:jc w:val="center"/>
              <w:rPr>
                <w:color w:val="000000"/>
                <w:sz w:val="20"/>
                <w:szCs w:val="20"/>
              </w:rPr>
            </w:pPr>
          </w:p>
        </w:tc>
      </w:tr>
      <w:tr w:rsidR="00421882" w14:paraId="3C86CA3B" w14:textId="77777777">
        <w:tc>
          <w:tcPr>
            <w:tcW w:w="1543" w:type="dxa"/>
          </w:tcPr>
          <w:p w14:paraId="0000007A"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11</w:t>
            </w:r>
          </w:p>
        </w:tc>
        <w:tc>
          <w:tcPr>
            <w:tcW w:w="3334" w:type="dxa"/>
            <w:vMerge w:val="restart"/>
          </w:tcPr>
          <w:p w14:paraId="0000007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2593" w:type="dxa"/>
          </w:tcPr>
          <w:p w14:paraId="0000007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2600" w:type="dxa"/>
          </w:tcPr>
          <w:p w14:paraId="0000007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w:t>
            </w:r>
          </w:p>
        </w:tc>
      </w:tr>
      <w:tr w:rsidR="00421882" w14:paraId="1A08FE98" w14:textId="77777777">
        <w:tc>
          <w:tcPr>
            <w:tcW w:w="1543" w:type="dxa"/>
          </w:tcPr>
          <w:p w14:paraId="0000007E"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12</w:t>
            </w:r>
          </w:p>
        </w:tc>
        <w:tc>
          <w:tcPr>
            <w:tcW w:w="3334" w:type="dxa"/>
            <w:vMerge/>
          </w:tcPr>
          <w:p w14:paraId="0000007F" w14:textId="77777777" w:rsidR="00421882" w:rsidRDefault="00421882">
            <w:pPr>
              <w:widowControl w:val="0"/>
              <w:pBdr>
                <w:top w:val="nil"/>
                <w:left w:val="nil"/>
                <w:bottom w:val="nil"/>
                <w:right w:val="nil"/>
                <w:between w:val="nil"/>
              </w:pBdr>
              <w:spacing w:after="0" w:line="276" w:lineRule="auto"/>
              <w:rPr>
                <w:color w:val="000000"/>
              </w:rPr>
            </w:pPr>
          </w:p>
        </w:tc>
        <w:tc>
          <w:tcPr>
            <w:tcW w:w="2593" w:type="dxa"/>
          </w:tcPr>
          <w:p w14:paraId="0000008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56</w:t>
            </w:r>
          </w:p>
        </w:tc>
        <w:tc>
          <w:tcPr>
            <w:tcW w:w="2600" w:type="dxa"/>
          </w:tcPr>
          <w:p w14:paraId="0000008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17.6</w:t>
            </w:r>
          </w:p>
        </w:tc>
      </w:tr>
      <w:tr w:rsidR="00421882" w14:paraId="661BD9CB" w14:textId="77777777">
        <w:tc>
          <w:tcPr>
            <w:tcW w:w="1543" w:type="dxa"/>
          </w:tcPr>
          <w:p w14:paraId="00000082"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13</w:t>
            </w:r>
          </w:p>
        </w:tc>
        <w:tc>
          <w:tcPr>
            <w:tcW w:w="3334" w:type="dxa"/>
            <w:vMerge w:val="restart"/>
          </w:tcPr>
          <w:p w14:paraId="0000008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2593" w:type="dxa"/>
          </w:tcPr>
          <w:p w14:paraId="0000008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78</w:t>
            </w:r>
          </w:p>
        </w:tc>
        <w:tc>
          <w:tcPr>
            <w:tcW w:w="2600" w:type="dxa"/>
          </w:tcPr>
          <w:p w14:paraId="0000008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24.5</w:t>
            </w:r>
          </w:p>
        </w:tc>
      </w:tr>
      <w:tr w:rsidR="00421882" w14:paraId="557F3303" w14:textId="77777777">
        <w:tc>
          <w:tcPr>
            <w:tcW w:w="1543" w:type="dxa"/>
          </w:tcPr>
          <w:p w14:paraId="00000086"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14</w:t>
            </w:r>
          </w:p>
        </w:tc>
        <w:tc>
          <w:tcPr>
            <w:tcW w:w="3334" w:type="dxa"/>
            <w:vMerge/>
          </w:tcPr>
          <w:p w14:paraId="00000087" w14:textId="77777777" w:rsidR="00421882" w:rsidRDefault="00421882">
            <w:pPr>
              <w:widowControl w:val="0"/>
              <w:pBdr>
                <w:top w:val="nil"/>
                <w:left w:val="nil"/>
                <w:bottom w:val="nil"/>
                <w:right w:val="nil"/>
                <w:between w:val="nil"/>
              </w:pBdr>
              <w:spacing w:after="0" w:line="276" w:lineRule="auto"/>
              <w:rPr>
                <w:color w:val="000000"/>
              </w:rPr>
            </w:pPr>
          </w:p>
        </w:tc>
        <w:tc>
          <w:tcPr>
            <w:tcW w:w="2593" w:type="dxa"/>
          </w:tcPr>
          <w:p w14:paraId="0000008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65</w:t>
            </w:r>
          </w:p>
        </w:tc>
        <w:tc>
          <w:tcPr>
            <w:tcW w:w="2600" w:type="dxa"/>
          </w:tcPr>
          <w:p w14:paraId="0000008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20.4</w:t>
            </w:r>
          </w:p>
        </w:tc>
      </w:tr>
      <w:tr w:rsidR="00421882" w14:paraId="0BD4D402" w14:textId="77777777">
        <w:tc>
          <w:tcPr>
            <w:tcW w:w="1543" w:type="dxa"/>
          </w:tcPr>
          <w:p w14:paraId="0000008A"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15</w:t>
            </w:r>
          </w:p>
        </w:tc>
        <w:tc>
          <w:tcPr>
            <w:tcW w:w="3334" w:type="dxa"/>
            <w:tcBorders>
              <w:bottom w:val="nil"/>
            </w:tcBorders>
          </w:tcPr>
          <w:p w14:paraId="0000008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(3)</w:t>
            </w:r>
          </w:p>
        </w:tc>
        <w:tc>
          <w:tcPr>
            <w:tcW w:w="2593" w:type="dxa"/>
          </w:tcPr>
          <w:p w14:paraId="0000008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78</w:t>
            </w:r>
          </w:p>
        </w:tc>
        <w:tc>
          <w:tcPr>
            <w:tcW w:w="2600" w:type="dxa"/>
          </w:tcPr>
          <w:p w14:paraId="0000008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24.5</w:t>
            </w:r>
          </w:p>
        </w:tc>
      </w:tr>
      <w:tr w:rsidR="00421882" w14:paraId="7ED60300" w14:textId="77777777">
        <w:trPr>
          <w:trHeight w:val="80"/>
        </w:trPr>
        <w:tc>
          <w:tcPr>
            <w:tcW w:w="1543" w:type="dxa"/>
          </w:tcPr>
          <w:p w14:paraId="0000008E"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16</w:t>
            </w:r>
          </w:p>
        </w:tc>
        <w:tc>
          <w:tcPr>
            <w:tcW w:w="3334" w:type="dxa"/>
            <w:tcBorders>
              <w:top w:val="nil"/>
              <w:bottom w:val="nil"/>
            </w:tcBorders>
          </w:tcPr>
          <w:p w14:paraId="0000008F"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2593" w:type="dxa"/>
          </w:tcPr>
          <w:p w14:paraId="0000009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35</w:t>
            </w:r>
          </w:p>
        </w:tc>
        <w:tc>
          <w:tcPr>
            <w:tcW w:w="2600" w:type="dxa"/>
          </w:tcPr>
          <w:p w14:paraId="0000009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11.0</w:t>
            </w:r>
          </w:p>
        </w:tc>
      </w:tr>
      <w:tr w:rsidR="00421882" w14:paraId="733E12A1" w14:textId="77777777">
        <w:tc>
          <w:tcPr>
            <w:tcW w:w="1543" w:type="dxa"/>
            <w:tcBorders>
              <w:bottom w:val="single" w:sz="12" w:space="0" w:color="000000"/>
            </w:tcBorders>
          </w:tcPr>
          <w:p w14:paraId="00000092"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17</w:t>
            </w:r>
          </w:p>
        </w:tc>
        <w:tc>
          <w:tcPr>
            <w:tcW w:w="3334" w:type="dxa"/>
            <w:tcBorders>
              <w:top w:val="nil"/>
              <w:bottom w:val="single" w:sz="12" w:space="0" w:color="000000"/>
            </w:tcBorders>
          </w:tcPr>
          <w:p w14:paraId="00000093"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2593" w:type="dxa"/>
            <w:tcBorders>
              <w:bottom w:val="single" w:sz="12" w:space="0" w:color="000000"/>
            </w:tcBorders>
          </w:tcPr>
          <w:p w14:paraId="0000009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2600" w:type="dxa"/>
            <w:tcBorders>
              <w:bottom w:val="single" w:sz="12" w:space="0" w:color="000000"/>
            </w:tcBorders>
          </w:tcPr>
          <w:p w14:paraId="0000009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1.3</w:t>
            </w:r>
          </w:p>
        </w:tc>
      </w:tr>
    </w:tbl>
    <w:p w14:paraId="00000096" w14:textId="77777777" w:rsidR="00421882" w:rsidRDefault="00421882">
      <w:pPr>
        <w:pBdr>
          <w:top w:val="nil"/>
          <w:left w:val="nil"/>
          <w:bottom w:val="nil"/>
          <w:right w:val="nil"/>
          <w:between w:val="nil"/>
        </w:pBdr>
        <w:spacing w:after="0" w:line="240" w:lineRule="auto"/>
        <w:rPr>
          <w:color w:val="000000"/>
          <w:sz w:val="10"/>
          <w:szCs w:val="10"/>
        </w:rPr>
      </w:pPr>
    </w:p>
    <w:p w14:paraId="00000097" w14:textId="77777777" w:rsidR="00421882" w:rsidRDefault="00363292">
      <w:pPr>
        <w:pBdr>
          <w:top w:val="nil"/>
          <w:left w:val="nil"/>
          <w:bottom w:val="nil"/>
          <w:right w:val="nil"/>
          <w:between w:val="nil"/>
        </w:pBdr>
        <w:spacing w:after="0" w:line="240" w:lineRule="auto"/>
        <w:rPr>
          <w:b/>
          <w:color w:val="0000FF"/>
        </w:rPr>
      </w:pPr>
      <w:r>
        <w:rPr>
          <w:b/>
          <w:color w:val="0000FF"/>
        </w:rPr>
        <w:t>D. Kaiser-Meyer-Olkin test, Bartlett’s test, and exploratory factor analysis (EFA)</w:t>
      </w:r>
    </w:p>
    <w:p w14:paraId="00000098" w14:textId="77777777" w:rsidR="00421882" w:rsidRDefault="00363292">
      <w:pPr>
        <w:pBdr>
          <w:top w:val="nil"/>
          <w:left w:val="nil"/>
          <w:bottom w:val="nil"/>
          <w:right w:val="nil"/>
          <w:between w:val="nil"/>
        </w:pBdr>
        <w:spacing w:after="0" w:line="240" w:lineRule="auto"/>
        <w:jc w:val="both"/>
      </w:pPr>
      <w:r>
        <w:t>At the start, there were 32 questions. The alternatives were assigned to numeric values: never (1), rarely (2), sometimes (3), often (4), and always (5). Each of the items for each original domain was coded in the following manner: cognitive domain (items A1, A2, A3, A4, A5, A6, A7, A8), behavioral domain (items B1, B2, B3, B4, B5, B6, B7, B8), affective domain (C1, C2, C3, C4, C5, C6, C7, C8), and physiological domain (D1, D2, D3, D4, D5, D6, D7, D8). For each round of factor analysis, the extraction value for the communalities was taken into consideration. Those items with values of 0.490 and below were discarded for each round. Kaiser-Meyer-Olkin and Bartlett’s tests were also conducted for each round to identify if the data set is eligible for factor analysis. Table 2 presents the results from six (6) rounds of exploratory factor analysis.</w:t>
      </w:r>
    </w:p>
    <w:p w14:paraId="00000099" w14:textId="77777777" w:rsidR="00421882" w:rsidRDefault="00421882">
      <w:pPr>
        <w:pBdr>
          <w:top w:val="nil"/>
          <w:left w:val="nil"/>
          <w:bottom w:val="nil"/>
          <w:right w:val="nil"/>
          <w:between w:val="nil"/>
        </w:pBdr>
        <w:spacing w:after="0" w:line="240" w:lineRule="auto"/>
        <w:jc w:val="both"/>
        <w:rPr>
          <w:sz w:val="10"/>
          <w:szCs w:val="10"/>
        </w:rPr>
      </w:pPr>
    </w:p>
    <w:p w14:paraId="0000009A" w14:textId="77777777" w:rsidR="00421882" w:rsidRDefault="00363292">
      <w:pPr>
        <w:pBdr>
          <w:top w:val="nil"/>
          <w:left w:val="nil"/>
          <w:bottom w:val="nil"/>
          <w:right w:val="nil"/>
          <w:between w:val="nil"/>
        </w:pBdr>
        <w:spacing w:after="0" w:line="240" w:lineRule="auto"/>
      </w:pPr>
      <w:r>
        <w:rPr>
          <w:b/>
          <w:color w:val="000000"/>
        </w:rPr>
        <w:t xml:space="preserve">Table </w:t>
      </w:r>
      <w:r>
        <w:rPr>
          <w:b/>
        </w:rPr>
        <w:t>2</w:t>
      </w:r>
      <w:r>
        <w:rPr>
          <w:b/>
          <w:color w:val="000000"/>
        </w:rPr>
        <w:t>.</w:t>
      </w:r>
      <w:r>
        <w:rPr>
          <w:color w:val="000000"/>
        </w:rPr>
        <w:t xml:space="preserve"> </w:t>
      </w:r>
      <w:r>
        <w:t>KMO and Bartlett’s tests, discarded items, and number of factors in rounds 1-6 of factor analysis</w:t>
      </w:r>
    </w:p>
    <w:tbl>
      <w:tblPr>
        <w:tblStyle w:val="a0"/>
        <w:tblW w:w="10072" w:type="dxa"/>
        <w:tblBorders>
          <w:top w:val="nil"/>
          <w:left w:val="nil"/>
          <w:bottom w:val="nil"/>
          <w:right w:val="nil"/>
          <w:insideH w:val="nil"/>
          <w:insideV w:val="nil"/>
        </w:tblBorders>
        <w:tblLayout w:type="fixed"/>
        <w:tblLook w:val="0400" w:firstRow="0" w:lastRow="0" w:firstColumn="0" w:lastColumn="0" w:noHBand="0" w:noVBand="1"/>
      </w:tblPr>
      <w:tblGrid>
        <w:gridCol w:w="3450"/>
        <w:gridCol w:w="1485"/>
        <w:gridCol w:w="1005"/>
        <w:gridCol w:w="992"/>
        <w:gridCol w:w="1134"/>
        <w:gridCol w:w="992"/>
        <w:gridCol w:w="1014"/>
      </w:tblGrid>
      <w:tr w:rsidR="00421882" w14:paraId="2F5D9F9A" w14:textId="77777777">
        <w:trPr>
          <w:trHeight w:val="360"/>
        </w:trPr>
        <w:tc>
          <w:tcPr>
            <w:tcW w:w="3450" w:type="dxa"/>
            <w:tcBorders>
              <w:top w:val="single" w:sz="12" w:space="0" w:color="000000"/>
              <w:bottom w:val="single" w:sz="4" w:space="0" w:color="000000"/>
            </w:tcBorders>
            <w:vAlign w:val="center"/>
          </w:tcPr>
          <w:p w14:paraId="0000009B" w14:textId="77777777" w:rsidR="00421882" w:rsidRDefault="00363292">
            <w:pPr>
              <w:pBdr>
                <w:top w:val="nil"/>
                <w:left w:val="nil"/>
                <w:bottom w:val="nil"/>
                <w:right w:val="nil"/>
                <w:between w:val="nil"/>
              </w:pBdr>
              <w:spacing w:after="0" w:line="240" w:lineRule="auto"/>
              <w:rPr>
                <w:b/>
                <w:color w:val="000000"/>
                <w:sz w:val="20"/>
                <w:szCs w:val="20"/>
              </w:rPr>
            </w:pPr>
            <w:r>
              <w:rPr>
                <w:b/>
                <w:color w:val="000000"/>
                <w:sz w:val="20"/>
                <w:szCs w:val="20"/>
              </w:rPr>
              <w:t>Test and Criterion</w:t>
            </w:r>
          </w:p>
        </w:tc>
        <w:tc>
          <w:tcPr>
            <w:tcW w:w="1485" w:type="dxa"/>
            <w:tcBorders>
              <w:top w:val="single" w:sz="12" w:space="0" w:color="000000"/>
              <w:bottom w:val="single" w:sz="4" w:space="0" w:color="000000"/>
            </w:tcBorders>
            <w:vAlign w:val="center"/>
          </w:tcPr>
          <w:p w14:paraId="0000009C"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1</w:t>
            </w:r>
          </w:p>
        </w:tc>
        <w:tc>
          <w:tcPr>
            <w:tcW w:w="1005" w:type="dxa"/>
            <w:tcBorders>
              <w:top w:val="single" w:sz="12" w:space="0" w:color="000000"/>
              <w:bottom w:val="single" w:sz="4" w:space="0" w:color="000000"/>
            </w:tcBorders>
            <w:vAlign w:val="center"/>
          </w:tcPr>
          <w:p w14:paraId="0000009D"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2</w:t>
            </w:r>
          </w:p>
        </w:tc>
        <w:tc>
          <w:tcPr>
            <w:tcW w:w="992" w:type="dxa"/>
            <w:tcBorders>
              <w:top w:val="single" w:sz="12" w:space="0" w:color="000000"/>
              <w:bottom w:val="single" w:sz="4" w:space="0" w:color="000000"/>
            </w:tcBorders>
            <w:vAlign w:val="center"/>
          </w:tcPr>
          <w:p w14:paraId="0000009E"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3</w:t>
            </w:r>
          </w:p>
        </w:tc>
        <w:tc>
          <w:tcPr>
            <w:tcW w:w="1134" w:type="dxa"/>
            <w:tcBorders>
              <w:top w:val="single" w:sz="12" w:space="0" w:color="000000"/>
              <w:bottom w:val="single" w:sz="4" w:space="0" w:color="000000"/>
            </w:tcBorders>
            <w:vAlign w:val="center"/>
          </w:tcPr>
          <w:p w14:paraId="0000009F"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4</w:t>
            </w:r>
          </w:p>
        </w:tc>
        <w:tc>
          <w:tcPr>
            <w:tcW w:w="992" w:type="dxa"/>
            <w:tcBorders>
              <w:top w:val="single" w:sz="12" w:space="0" w:color="000000"/>
              <w:bottom w:val="single" w:sz="4" w:space="0" w:color="000000"/>
            </w:tcBorders>
            <w:vAlign w:val="center"/>
          </w:tcPr>
          <w:p w14:paraId="000000A0"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5</w:t>
            </w:r>
          </w:p>
        </w:tc>
        <w:tc>
          <w:tcPr>
            <w:tcW w:w="1014" w:type="dxa"/>
            <w:tcBorders>
              <w:top w:val="single" w:sz="12" w:space="0" w:color="000000"/>
              <w:bottom w:val="single" w:sz="4" w:space="0" w:color="000000"/>
            </w:tcBorders>
            <w:vAlign w:val="center"/>
          </w:tcPr>
          <w:p w14:paraId="000000A1"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Round 6</w:t>
            </w:r>
          </w:p>
        </w:tc>
      </w:tr>
      <w:tr w:rsidR="00421882" w14:paraId="35C0AD30" w14:textId="77777777">
        <w:trPr>
          <w:trHeight w:val="285"/>
        </w:trPr>
        <w:tc>
          <w:tcPr>
            <w:tcW w:w="3450" w:type="dxa"/>
            <w:tcBorders>
              <w:top w:val="single" w:sz="4" w:space="0" w:color="000000"/>
              <w:bottom w:val="single" w:sz="4" w:space="0" w:color="000000"/>
            </w:tcBorders>
            <w:vAlign w:val="bottom"/>
          </w:tcPr>
          <w:p w14:paraId="000000A2"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Kaiser-Meyer-Olkin Test</w:t>
            </w:r>
          </w:p>
        </w:tc>
        <w:tc>
          <w:tcPr>
            <w:tcW w:w="1485" w:type="dxa"/>
            <w:tcBorders>
              <w:top w:val="single" w:sz="4" w:space="0" w:color="000000"/>
              <w:bottom w:val="single" w:sz="4" w:space="0" w:color="000000"/>
            </w:tcBorders>
            <w:vAlign w:val="bottom"/>
          </w:tcPr>
          <w:p w14:paraId="000000A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0.934</w:t>
            </w:r>
          </w:p>
        </w:tc>
        <w:tc>
          <w:tcPr>
            <w:tcW w:w="1005" w:type="dxa"/>
            <w:tcBorders>
              <w:top w:val="single" w:sz="4" w:space="0" w:color="000000"/>
              <w:bottom w:val="single" w:sz="4" w:space="0" w:color="000000"/>
            </w:tcBorders>
            <w:vAlign w:val="bottom"/>
          </w:tcPr>
          <w:p w14:paraId="000000A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0.927</w:t>
            </w:r>
          </w:p>
        </w:tc>
        <w:tc>
          <w:tcPr>
            <w:tcW w:w="992" w:type="dxa"/>
            <w:tcBorders>
              <w:top w:val="single" w:sz="4" w:space="0" w:color="000000"/>
              <w:bottom w:val="single" w:sz="4" w:space="0" w:color="000000"/>
            </w:tcBorders>
            <w:vAlign w:val="bottom"/>
          </w:tcPr>
          <w:p w14:paraId="000000A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0.929</w:t>
            </w:r>
          </w:p>
        </w:tc>
        <w:tc>
          <w:tcPr>
            <w:tcW w:w="1134" w:type="dxa"/>
            <w:tcBorders>
              <w:top w:val="single" w:sz="4" w:space="0" w:color="000000"/>
              <w:bottom w:val="single" w:sz="4" w:space="0" w:color="000000"/>
            </w:tcBorders>
            <w:vAlign w:val="bottom"/>
          </w:tcPr>
          <w:p w14:paraId="000000A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0.929</w:t>
            </w:r>
          </w:p>
        </w:tc>
        <w:tc>
          <w:tcPr>
            <w:tcW w:w="992" w:type="dxa"/>
            <w:tcBorders>
              <w:top w:val="single" w:sz="4" w:space="0" w:color="000000"/>
              <w:bottom w:val="single" w:sz="4" w:space="0" w:color="000000"/>
            </w:tcBorders>
            <w:vAlign w:val="bottom"/>
          </w:tcPr>
          <w:p w14:paraId="000000A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0.924</w:t>
            </w:r>
          </w:p>
        </w:tc>
        <w:tc>
          <w:tcPr>
            <w:tcW w:w="1014" w:type="dxa"/>
            <w:tcBorders>
              <w:top w:val="single" w:sz="4" w:space="0" w:color="000000"/>
              <w:bottom w:val="single" w:sz="4" w:space="0" w:color="000000"/>
            </w:tcBorders>
            <w:vAlign w:val="bottom"/>
          </w:tcPr>
          <w:p w14:paraId="000000A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0.921</w:t>
            </w:r>
          </w:p>
        </w:tc>
      </w:tr>
      <w:tr w:rsidR="00421882" w14:paraId="3BC0E6E6" w14:textId="77777777">
        <w:trPr>
          <w:trHeight w:val="330"/>
        </w:trPr>
        <w:tc>
          <w:tcPr>
            <w:tcW w:w="3450" w:type="dxa"/>
            <w:tcBorders>
              <w:top w:val="single" w:sz="4" w:space="0" w:color="000000"/>
              <w:bottom w:val="single" w:sz="4" w:space="0" w:color="000000"/>
            </w:tcBorders>
            <w:vAlign w:val="bottom"/>
          </w:tcPr>
          <w:p w14:paraId="000000A9"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Bartlett’s Test</w:t>
            </w:r>
          </w:p>
        </w:tc>
        <w:tc>
          <w:tcPr>
            <w:tcW w:w="1485" w:type="dxa"/>
            <w:tcBorders>
              <w:top w:val="single" w:sz="4" w:space="0" w:color="000000"/>
              <w:bottom w:val="single" w:sz="4" w:space="0" w:color="000000"/>
            </w:tcBorders>
            <w:vAlign w:val="bottom"/>
          </w:tcPr>
          <w:p w14:paraId="000000AA"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c>
          <w:tcPr>
            <w:tcW w:w="1005" w:type="dxa"/>
            <w:tcBorders>
              <w:top w:val="single" w:sz="4" w:space="0" w:color="000000"/>
              <w:bottom w:val="single" w:sz="4" w:space="0" w:color="000000"/>
            </w:tcBorders>
            <w:vAlign w:val="bottom"/>
          </w:tcPr>
          <w:p w14:paraId="000000A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c>
          <w:tcPr>
            <w:tcW w:w="992" w:type="dxa"/>
            <w:tcBorders>
              <w:top w:val="single" w:sz="4" w:space="0" w:color="000000"/>
              <w:bottom w:val="single" w:sz="4" w:space="0" w:color="000000"/>
            </w:tcBorders>
            <w:vAlign w:val="bottom"/>
          </w:tcPr>
          <w:p w14:paraId="000000A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c>
          <w:tcPr>
            <w:tcW w:w="1134" w:type="dxa"/>
            <w:tcBorders>
              <w:top w:val="single" w:sz="4" w:space="0" w:color="000000"/>
              <w:bottom w:val="single" w:sz="4" w:space="0" w:color="000000"/>
            </w:tcBorders>
            <w:vAlign w:val="bottom"/>
          </w:tcPr>
          <w:p w14:paraId="000000A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c>
          <w:tcPr>
            <w:tcW w:w="992" w:type="dxa"/>
            <w:tcBorders>
              <w:top w:val="single" w:sz="4" w:space="0" w:color="000000"/>
              <w:bottom w:val="single" w:sz="4" w:space="0" w:color="000000"/>
            </w:tcBorders>
            <w:vAlign w:val="bottom"/>
          </w:tcPr>
          <w:p w14:paraId="000000A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c>
          <w:tcPr>
            <w:tcW w:w="1014" w:type="dxa"/>
            <w:tcBorders>
              <w:top w:val="single" w:sz="4" w:space="0" w:color="000000"/>
              <w:bottom w:val="single" w:sz="4" w:space="0" w:color="000000"/>
            </w:tcBorders>
            <w:vAlign w:val="bottom"/>
          </w:tcPr>
          <w:p w14:paraId="000000A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0.000</w:t>
            </w:r>
          </w:p>
        </w:tc>
      </w:tr>
      <w:tr w:rsidR="00421882" w14:paraId="7266E4F0" w14:textId="77777777">
        <w:trPr>
          <w:trHeight w:val="315"/>
        </w:trPr>
        <w:tc>
          <w:tcPr>
            <w:tcW w:w="3450" w:type="dxa"/>
            <w:tcBorders>
              <w:top w:val="single" w:sz="4" w:space="0" w:color="000000"/>
              <w:bottom w:val="single" w:sz="4" w:space="0" w:color="000000"/>
            </w:tcBorders>
            <w:vAlign w:val="bottom"/>
          </w:tcPr>
          <w:p w14:paraId="000000B0"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No. of Items with ≥0.5 Extraction Value</w:t>
            </w:r>
          </w:p>
        </w:tc>
        <w:tc>
          <w:tcPr>
            <w:tcW w:w="1485" w:type="dxa"/>
            <w:tcBorders>
              <w:top w:val="single" w:sz="4" w:space="0" w:color="000000"/>
              <w:bottom w:val="single" w:sz="4" w:space="0" w:color="000000"/>
            </w:tcBorders>
            <w:vAlign w:val="bottom"/>
          </w:tcPr>
          <w:p w14:paraId="000000B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1005" w:type="dxa"/>
            <w:tcBorders>
              <w:top w:val="single" w:sz="4" w:space="0" w:color="000000"/>
              <w:bottom w:val="single" w:sz="4" w:space="0" w:color="000000"/>
            </w:tcBorders>
            <w:vAlign w:val="bottom"/>
          </w:tcPr>
          <w:p w14:paraId="000000B2"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992" w:type="dxa"/>
            <w:tcBorders>
              <w:top w:val="single" w:sz="4" w:space="0" w:color="000000"/>
              <w:bottom w:val="single" w:sz="4" w:space="0" w:color="000000"/>
            </w:tcBorders>
            <w:vAlign w:val="bottom"/>
          </w:tcPr>
          <w:p w14:paraId="000000B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1134" w:type="dxa"/>
            <w:tcBorders>
              <w:top w:val="single" w:sz="4" w:space="0" w:color="000000"/>
              <w:bottom w:val="single" w:sz="4" w:space="0" w:color="000000"/>
            </w:tcBorders>
            <w:vAlign w:val="bottom"/>
          </w:tcPr>
          <w:p w14:paraId="000000B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992" w:type="dxa"/>
            <w:tcBorders>
              <w:top w:val="single" w:sz="4" w:space="0" w:color="000000"/>
              <w:bottom w:val="single" w:sz="4" w:space="0" w:color="000000"/>
            </w:tcBorders>
            <w:vAlign w:val="bottom"/>
          </w:tcPr>
          <w:p w14:paraId="000000B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1014" w:type="dxa"/>
            <w:tcBorders>
              <w:top w:val="single" w:sz="4" w:space="0" w:color="000000"/>
              <w:bottom w:val="single" w:sz="4" w:space="0" w:color="000000"/>
            </w:tcBorders>
            <w:vAlign w:val="bottom"/>
          </w:tcPr>
          <w:p w14:paraId="000000B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r>
      <w:tr w:rsidR="00421882" w14:paraId="7069ADCA" w14:textId="77777777">
        <w:trPr>
          <w:trHeight w:val="300"/>
        </w:trPr>
        <w:tc>
          <w:tcPr>
            <w:tcW w:w="3450" w:type="dxa"/>
            <w:tcBorders>
              <w:top w:val="single" w:sz="4" w:space="0" w:color="000000"/>
              <w:bottom w:val="single" w:sz="4" w:space="0" w:color="000000"/>
            </w:tcBorders>
            <w:vAlign w:val="bottom"/>
          </w:tcPr>
          <w:p w14:paraId="000000B7"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Discarded Items</w:t>
            </w:r>
          </w:p>
        </w:tc>
        <w:tc>
          <w:tcPr>
            <w:tcW w:w="1485" w:type="dxa"/>
            <w:tcBorders>
              <w:top w:val="single" w:sz="4" w:space="0" w:color="000000"/>
              <w:bottom w:val="single" w:sz="4" w:space="0" w:color="000000"/>
            </w:tcBorders>
            <w:vAlign w:val="bottom"/>
          </w:tcPr>
          <w:p w14:paraId="000000B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A1, A3, A4, B2</w:t>
            </w:r>
          </w:p>
        </w:tc>
        <w:tc>
          <w:tcPr>
            <w:tcW w:w="1005" w:type="dxa"/>
            <w:tcBorders>
              <w:top w:val="single" w:sz="4" w:space="0" w:color="000000"/>
              <w:bottom w:val="single" w:sz="4" w:space="0" w:color="000000"/>
            </w:tcBorders>
            <w:vAlign w:val="bottom"/>
          </w:tcPr>
          <w:p w14:paraId="000000B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B5</w:t>
            </w:r>
          </w:p>
        </w:tc>
        <w:tc>
          <w:tcPr>
            <w:tcW w:w="992" w:type="dxa"/>
            <w:tcBorders>
              <w:top w:val="single" w:sz="4" w:space="0" w:color="000000"/>
              <w:bottom w:val="single" w:sz="4" w:space="0" w:color="000000"/>
            </w:tcBorders>
            <w:vAlign w:val="bottom"/>
          </w:tcPr>
          <w:p w14:paraId="000000BA"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D5</w:t>
            </w:r>
          </w:p>
        </w:tc>
        <w:tc>
          <w:tcPr>
            <w:tcW w:w="1134" w:type="dxa"/>
            <w:tcBorders>
              <w:top w:val="single" w:sz="4" w:space="0" w:color="000000"/>
              <w:bottom w:val="single" w:sz="4" w:space="0" w:color="000000"/>
            </w:tcBorders>
            <w:vAlign w:val="bottom"/>
          </w:tcPr>
          <w:p w14:paraId="000000B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B6, D4</w:t>
            </w:r>
          </w:p>
        </w:tc>
        <w:tc>
          <w:tcPr>
            <w:tcW w:w="992" w:type="dxa"/>
            <w:tcBorders>
              <w:top w:val="single" w:sz="4" w:space="0" w:color="000000"/>
              <w:bottom w:val="single" w:sz="4" w:space="0" w:color="000000"/>
            </w:tcBorders>
            <w:vAlign w:val="bottom"/>
          </w:tcPr>
          <w:p w14:paraId="000000B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A2, B7</w:t>
            </w:r>
          </w:p>
        </w:tc>
        <w:tc>
          <w:tcPr>
            <w:tcW w:w="1014" w:type="dxa"/>
            <w:tcBorders>
              <w:top w:val="single" w:sz="4" w:space="0" w:color="000000"/>
              <w:bottom w:val="single" w:sz="4" w:space="0" w:color="000000"/>
            </w:tcBorders>
            <w:vAlign w:val="bottom"/>
          </w:tcPr>
          <w:p w14:paraId="000000B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C1, C6</w:t>
            </w:r>
          </w:p>
        </w:tc>
      </w:tr>
      <w:tr w:rsidR="00421882" w14:paraId="213D2016" w14:textId="77777777">
        <w:trPr>
          <w:trHeight w:val="270"/>
        </w:trPr>
        <w:tc>
          <w:tcPr>
            <w:tcW w:w="3450" w:type="dxa"/>
            <w:tcBorders>
              <w:top w:val="single" w:sz="4" w:space="0" w:color="000000"/>
              <w:bottom w:val="single" w:sz="12" w:space="0" w:color="000000"/>
            </w:tcBorders>
            <w:vAlign w:val="bottom"/>
          </w:tcPr>
          <w:p w14:paraId="000000BE"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 xml:space="preserve">No. of Factors </w:t>
            </w:r>
          </w:p>
        </w:tc>
        <w:tc>
          <w:tcPr>
            <w:tcW w:w="1485" w:type="dxa"/>
            <w:tcBorders>
              <w:top w:val="single" w:sz="4" w:space="0" w:color="000000"/>
              <w:bottom w:val="single" w:sz="12" w:space="0" w:color="000000"/>
            </w:tcBorders>
            <w:vAlign w:val="bottom"/>
          </w:tcPr>
          <w:p w14:paraId="000000B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6</w:t>
            </w:r>
          </w:p>
        </w:tc>
        <w:tc>
          <w:tcPr>
            <w:tcW w:w="1005" w:type="dxa"/>
            <w:tcBorders>
              <w:top w:val="single" w:sz="4" w:space="0" w:color="000000"/>
              <w:bottom w:val="single" w:sz="12" w:space="0" w:color="000000"/>
            </w:tcBorders>
            <w:vAlign w:val="bottom"/>
          </w:tcPr>
          <w:p w14:paraId="000000C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5</w:t>
            </w:r>
          </w:p>
        </w:tc>
        <w:tc>
          <w:tcPr>
            <w:tcW w:w="992" w:type="dxa"/>
            <w:tcBorders>
              <w:top w:val="single" w:sz="4" w:space="0" w:color="000000"/>
              <w:bottom w:val="single" w:sz="12" w:space="0" w:color="000000"/>
            </w:tcBorders>
            <w:vAlign w:val="bottom"/>
          </w:tcPr>
          <w:p w14:paraId="000000C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5</w:t>
            </w:r>
          </w:p>
        </w:tc>
        <w:tc>
          <w:tcPr>
            <w:tcW w:w="1134" w:type="dxa"/>
            <w:tcBorders>
              <w:top w:val="single" w:sz="4" w:space="0" w:color="000000"/>
              <w:bottom w:val="single" w:sz="12" w:space="0" w:color="000000"/>
            </w:tcBorders>
            <w:vAlign w:val="bottom"/>
          </w:tcPr>
          <w:p w14:paraId="000000C2"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5</w:t>
            </w:r>
          </w:p>
        </w:tc>
        <w:tc>
          <w:tcPr>
            <w:tcW w:w="992" w:type="dxa"/>
            <w:tcBorders>
              <w:top w:val="single" w:sz="4" w:space="0" w:color="000000"/>
              <w:bottom w:val="single" w:sz="12" w:space="0" w:color="000000"/>
            </w:tcBorders>
            <w:vAlign w:val="bottom"/>
          </w:tcPr>
          <w:p w14:paraId="000000C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1014" w:type="dxa"/>
            <w:tcBorders>
              <w:top w:val="single" w:sz="4" w:space="0" w:color="000000"/>
              <w:bottom w:val="single" w:sz="12" w:space="0" w:color="000000"/>
            </w:tcBorders>
            <w:vAlign w:val="bottom"/>
          </w:tcPr>
          <w:p w14:paraId="000000C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4</w:t>
            </w:r>
          </w:p>
        </w:tc>
      </w:tr>
    </w:tbl>
    <w:p w14:paraId="000000C5" w14:textId="77777777" w:rsidR="00421882" w:rsidRDefault="00363292">
      <w:pPr>
        <w:pBdr>
          <w:top w:val="nil"/>
          <w:left w:val="nil"/>
          <w:bottom w:val="nil"/>
          <w:right w:val="nil"/>
          <w:between w:val="nil"/>
        </w:pBdr>
        <w:spacing w:after="0" w:line="240" w:lineRule="auto"/>
        <w:jc w:val="both"/>
      </w:pPr>
      <w:r>
        <w:lastRenderedPageBreak/>
        <w:t xml:space="preserve">A principal component analysis (PCA) was conducted on the 32 items with orthogonal rotation (varimax). The Kaiser-Meyer-Olkin measure verified the sampling adequacy for the analysis, KMO = 0.921 (marvelous, according to Kaiser et al., 1974), and all the communalities extraction values for each item were greater than 0.500, which is well above the acceptable limit of 0.5 (Kaiser et al., 1974). Bartlett’s test of sphericity X2 = 3215.755, p = 0.000, indicated that the correlations between items were sufficiently large for PCA. </w:t>
      </w:r>
    </w:p>
    <w:p w14:paraId="000000C6" w14:textId="77777777" w:rsidR="00421882" w:rsidRDefault="00421882">
      <w:pPr>
        <w:pBdr>
          <w:top w:val="nil"/>
          <w:left w:val="nil"/>
          <w:bottom w:val="nil"/>
          <w:right w:val="nil"/>
          <w:between w:val="nil"/>
        </w:pBdr>
        <w:spacing w:after="0" w:line="240" w:lineRule="auto"/>
        <w:jc w:val="both"/>
        <w:rPr>
          <w:sz w:val="10"/>
          <w:szCs w:val="10"/>
        </w:rPr>
      </w:pPr>
    </w:p>
    <w:p w14:paraId="000000C7" w14:textId="77777777" w:rsidR="00421882" w:rsidRDefault="00363292">
      <w:pPr>
        <w:pBdr>
          <w:top w:val="nil"/>
          <w:left w:val="nil"/>
          <w:bottom w:val="nil"/>
          <w:right w:val="nil"/>
          <w:between w:val="nil"/>
        </w:pBdr>
        <w:spacing w:after="0" w:line="240" w:lineRule="auto"/>
        <w:jc w:val="both"/>
      </w:pPr>
      <w:r>
        <w:t xml:space="preserve">With the final value of the KMO test (0.921), the sampling is found to be highly adequate for factor analysis.  Bartlett’s test determines if the variables are unrelated and therefore suitable for structure detections such as factor analysis. With Bartlett's test significance level value of 0.000 (obviously less than 0.05) throughout the analysis, it was determined that factor analysis is highly useful in detecting the structures from the data. At the end of the sixth (6th) round of factor analysis, there were 12 items that were discarded in total, leaving a total of 20 items. </w:t>
      </w:r>
    </w:p>
    <w:p w14:paraId="000000C8" w14:textId="77777777" w:rsidR="00421882" w:rsidRDefault="00421882">
      <w:pPr>
        <w:pBdr>
          <w:top w:val="nil"/>
          <w:left w:val="nil"/>
          <w:bottom w:val="nil"/>
          <w:right w:val="nil"/>
          <w:between w:val="nil"/>
        </w:pBdr>
        <w:spacing w:after="0" w:line="240" w:lineRule="auto"/>
        <w:jc w:val="both"/>
        <w:rPr>
          <w:sz w:val="10"/>
          <w:szCs w:val="10"/>
        </w:rPr>
      </w:pPr>
    </w:p>
    <w:p w14:paraId="000000C9" w14:textId="77777777" w:rsidR="00421882" w:rsidRDefault="00363292">
      <w:pPr>
        <w:pBdr>
          <w:top w:val="nil"/>
          <w:left w:val="nil"/>
          <w:bottom w:val="nil"/>
          <w:right w:val="nil"/>
          <w:between w:val="nil"/>
        </w:pBdr>
        <w:spacing w:after="0" w:line="240" w:lineRule="auto"/>
        <w:jc w:val="both"/>
        <w:rPr>
          <w:color w:val="FF0000"/>
        </w:rPr>
      </w:pPr>
      <w:r>
        <w:rPr>
          <w:b/>
          <w:color w:val="000000"/>
        </w:rPr>
        <w:t xml:space="preserve">Table </w:t>
      </w:r>
      <w:r>
        <w:rPr>
          <w:b/>
        </w:rPr>
        <w:t>3</w:t>
      </w:r>
      <w:r>
        <w:rPr>
          <w:b/>
          <w:color w:val="000000"/>
        </w:rPr>
        <w:t>.</w:t>
      </w:r>
      <w:r>
        <w:rPr>
          <w:color w:val="000000"/>
        </w:rPr>
        <w:t xml:space="preserve"> </w:t>
      </w:r>
      <w:r>
        <w:t>Retained items and their communalities extraction values</w:t>
      </w:r>
    </w:p>
    <w:tbl>
      <w:tblPr>
        <w:tblStyle w:val="a1"/>
        <w:tblW w:w="10070" w:type="dxa"/>
        <w:tblBorders>
          <w:top w:val="nil"/>
          <w:left w:val="nil"/>
          <w:bottom w:val="nil"/>
          <w:right w:val="nil"/>
          <w:insideH w:val="nil"/>
          <w:insideV w:val="nil"/>
        </w:tblBorders>
        <w:tblLayout w:type="fixed"/>
        <w:tblLook w:val="0400" w:firstRow="0" w:lastRow="0" w:firstColumn="0" w:lastColumn="0" w:noHBand="0" w:noVBand="1"/>
      </w:tblPr>
      <w:tblGrid>
        <w:gridCol w:w="835"/>
        <w:gridCol w:w="6662"/>
        <w:gridCol w:w="2573"/>
      </w:tblGrid>
      <w:tr w:rsidR="00421882" w14:paraId="4104AFA7" w14:textId="77777777">
        <w:tc>
          <w:tcPr>
            <w:tcW w:w="835" w:type="dxa"/>
            <w:tcBorders>
              <w:top w:val="single" w:sz="12" w:space="0" w:color="000000"/>
              <w:bottom w:val="single" w:sz="4" w:space="0" w:color="000000"/>
            </w:tcBorders>
            <w:vAlign w:val="center"/>
          </w:tcPr>
          <w:p w14:paraId="000000CA"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SPSS Code</w:t>
            </w:r>
          </w:p>
        </w:tc>
        <w:tc>
          <w:tcPr>
            <w:tcW w:w="6662" w:type="dxa"/>
            <w:tcBorders>
              <w:top w:val="single" w:sz="12" w:space="0" w:color="000000"/>
              <w:bottom w:val="single" w:sz="4" w:space="0" w:color="000000"/>
            </w:tcBorders>
            <w:vAlign w:val="center"/>
          </w:tcPr>
          <w:p w14:paraId="000000CB" w14:textId="77777777" w:rsidR="00421882" w:rsidRDefault="00363292">
            <w:pPr>
              <w:pBdr>
                <w:top w:val="nil"/>
                <w:left w:val="nil"/>
                <w:bottom w:val="nil"/>
                <w:right w:val="nil"/>
                <w:between w:val="nil"/>
              </w:pBdr>
              <w:spacing w:after="0" w:line="240" w:lineRule="auto"/>
              <w:rPr>
                <w:b/>
                <w:color w:val="000000"/>
                <w:sz w:val="20"/>
                <w:szCs w:val="20"/>
              </w:rPr>
            </w:pPr>
            <w:r>
              <w:rPr>
                <w:b/>
                <w:color w:val="000000"/>
                <w:sz w:val="20"/>
                <w:szCs w:val="20"/>
              </w:rPr>
              <w:t>In the past two months, I have been experiencing the following because of our online classes:</w:t>
            </w:r>
          </w:p>
        </w:tc>
        <w:tc>
          <w:tcPr>
            <w:tcW w:w="2573" w:type="dxa"/>
            <w:tcBorders>
              <w:top w:val="single" w:sz="12" w:space="0" w:color="000000"/>
              <w:bottom w:val="single" w:sz="4" w:space="0" w:color="000000"/>
            </w:tcBorders>
            <w:vAlign w:val="center"/>
          </w:tcPr>
          <w:p w14:paraId="000000CC"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Communalities</w:t>
            </w:r>
          </w:p>
          <w:p w14:paraId="000000CD"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Extraction Value</w:t>
            </w:r>
          </w:p>
        </w:tc>
      </w:tr>
      <w:tr w:rsidR="00421882" w14:paraId="6BD37454" w14:textId="77777777">
        <w:tc>
          <w:tcPr>
            <w:tcW w:w="835" w:type="dxa"/>
            <w:tcBorders>
              <w:top w:val="single" w:sz="4" w:space="0" w:color="000000"/>
            </w:tcBorders>
          </w:tcPr>
          <w:p w14:paraId="000000C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A5</w:t>
            </w:r>
          </w:p>
        </w:tc>
        <w:tc>
          <w:tcPr>
            <w:tcW w:w="6662" w:type="dxa"/>
            <w:tcBorders>
              <w:top w:val="single" w:sz="4" w:space="0" w:color="000000"/>
            </w:tcBorders>
          </w:tcPr>
          <w:p w14:paraId="000000C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not thinking enough before I act</w:t>
            </w:r>
          </w:p>
        </w:tc>
        <w:tc>
          <w:tcPr>
            <w:tcW w:w="2573" w:type="dxa"/>
            <w:tcBorders>
              <w:top w:val="single" w:sz="4" w:space="0" w:color="000000"/>
            </w:tcBorders>
          </w:tcPr>
          <w:p w14:paraId="000000D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0.684</w:t>
            </w:r>
          </w:p>
        </w:tc>
      </w:tr>
      <w:tr w:rsidR="00421882" w14:paraId="2A22B27A" w14:textId="77777777">
        <w:tc>
          <w:tcPr>
            <w:tcW w:w="835" w:type="dxa"/>
          </w:tcPr>
          <w:p w14:paraId="000000D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A6</w:t>
            </w:r>
          </w:p>
        </w:tc>
        <w:tc>
          <w:tcPr>
            <w:tcW w:w="6662" w:type="dxa"/>
          </w:tcPr>
          <w:p w14:paraId="000000D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not thinking enough before I make decisions</w:t>
            </w:r>
          </w:p>
        </w:tc>
        <w:tc>
          <w:tcPr>
            <w:tcW w:w="2573" w:type="dxa"/>
          </w:tcPr>
          <w:p w14:paraId="000000D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0.688</w:t>
            </w:r>
          </w:p>
        </w:tc>
      </w:tr>
      <w:tr w:rsidR="00421882" w14:paraId="1025C4D2" w14:textId="77777777">
        <w:tc>
          <w:tcPr>
            <w:tcW w:w="835" w:type="dxa"/>
          </w:tcPr>
          <w:p w14:paraId="000000D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A7</w:t>
            </w:r>
          </w:p>
        </w:tc>
        <w:tc>
          <w:tcPr>
            <w:tcW w:w="6662" w:type="dxa"/>
          </w:tcPr>
          <w:p w14:paraId="000000D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not having a goal in doing things</w:t>
            </w:r>
          </w:p>
        </w:tc>
        <w:tc>
          <w:tcPr>
            <w:tcW w:w="2573" w:type="dxa"/>
          </w:tcPr>
          <w:p w14:paraId="000000D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0.511</w:t>
            </w:r>
          </w:p>
        </w:tc>
      </w:tr>
      <w:tr w:rsidR="00421882" w14:paraId="13FC5F3E" w14:textId="77777777">
        <w:tc>
          <w:tcPr>
            <w:tcW w:w="835" w:type="dxa"/>
          </w:tcPr>
          <w:p w14:paraId="000000D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A8</w:t>
            </w:r>
          </w:p>
        </w:tc>
        <w:tc>
          <w:tcPr>
            <w:tcW w:w="6662" w:type="dxa"/>
          </w:tcPr>
          <w:p w14:paraId="000000D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not realizing the importance of the things I do</w:t>
            </w:r>
          </w:p>
        </w:tc>
        <w:tc>
          <w:tcPr>
            <w:tcW w:w="2573" w:type="dxa"/>
          </w:tcPr>
          <w:p w14:paraId="000000D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0.596</w:t>
            </w:r>
          </w:p>
        </w:tc>
      </w:tr>
      <w:tr w:rsidR="00421882" w14:paraId="53DE94C8" w14:textId="77777777">
        <w:tc>
          <w:tcPr>
            <w:tcW w:w="835" w:type="dxa"/>
          </w:tcPr>
          <w:p w14:paraId="000000DA"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B1</w:t>
            </w:r>
          </w:p>
        </w:tc>
        <w:tc>
          <w:tcPr>
            <w:tcW w:w="6662" w:type="dxa"/>
          </w:tcPr>
          <w:p w14:paraId="000000D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lacking appetite or overeating</w:t>
            </w:r>
          </w:p>
        </w:tc>
        <w:tc>
          <w:tcPr>
            <w:tcW w:w="2573" w:type="dxa"/>
          </w:tcPr>
          <w:p w14:paraId="000000D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0.537</w:t>
            </w:r>
          </w:p>
        </w:tc>
      </w:tr>
      <w:tr w:rsidR="00421882" w14:paraId="1CFE8C88" w14:textId="77777777">
        <w:tc>
          <w:tcPr>
            <w:tcW w:w="835" w:type="dxa"/>
          </w:tcPr>
          <w:p w14:paraId="000000D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B3</w:t>
            </w:r>
          </w:p>
        </w:tc>
        <w:tc>
          <w:tcPr>
            <w:tcW w:w="6662" w:type="dxa"/>
          </w:tcPr>
          <w:p w14:paraId="000000D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avoiding my responsibilities more than I used to</w:t>
            </w:r>
          </w:p>
        </w:tc>
        <w:tc>
          <w:tcPr>
            <w:tcW w:w="2573" w:type="dxa"/>
          </w:tcPr>
          <w:p w14:paraId="000000D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0.613</w:t>
            </w:r>
          </w:p>
        </w:tc>
      </w:tr>
      <w:tr w:rsidR="00421882" w14:paraId="6C620902" w14:textId="77777777">
        <w:tc>
          <w:tcPr>
            <w:tcW w:w="835" w:type="dxa"/>
          </w:tcPr>
          <w:p w14:paraId="000000E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B4</w:t>
            </w:r>
          </w:p>
        </w:tc>
        <w:tc>
          <w:tcPr>
            <w:tcW w:w="6662" w:type="dxa"/>
          </w:tcPr>
          <w:p w14:paraId="000000E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delaying my tasks more often than I usually do</w:t>
            </w:r>
          </w:p>
        </w:tc>
        <w:tc>
          <w:tcPr>
            <w:tcW w:w="2573" w:type="dxa"/>
          </w:tcPr>
          <w:p w14:paraId="000000E2"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0.654</w:t>
            </w:r>
          </w:p>
        </w:tc>
      </w:tr>
      <w:tr w:rsidR="00421882" w14:paraId="08007622" w14:textId="77777777">
        <w:tc>
          <w:tcPr>
            <w:tcW w:w="835" w:type="dxa"/>
          </w:tcPr>
          <w:p w14:paraId="000000E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B8</w:t>
            </w:r>
          </w:p>
        </w:tc>
        <w:tc>
          <w:tcPr>
            <w:tcW w:w="6662" w:type="dxa"/>
          </w:tcPr>
          <w:p w14:paraId="000000E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deciding on what to do first</w:t>
            </w:r>
          </w:p>
        </w:tc>
        <w:tc>
          <w:tcPr>
            <w:tcW w:w="2573" w:type="dxa"/>
          </w:tcPr>
          <w:p w14:paraId="000000E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0.526</w:t>
            </w:r>
          </w:p>
        </w:tc>
      </w:tr>
      <w:tr w:rsidR="00421882" w14:paraId="14C0B91E" w14:textId="77777777">
        <w:tc>
          <w:tcPr>
            <w:tcW w:w="835" w:type="dxa"/>
          </w:tcPr>
          <w:p w14:paraId="000000E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C2</w:t>
            </w:r>
          </w:p>
        </w:tc>
        <w:tc>
          <w:tcPr>
            <w:tcW w:w="6662" w:type="dxa"/>
          </w:tcPr>
          <w:p w14:paraId="000000E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understanding myself</w:t>
            </w:r>
          </w:p>
        </w:tc>
        <w:tc>
          <w:tcPr>
            <w:tcW w:w="2573" w:type="dxa"/>
          </w:tcPr>
          <w:p w14:paraId="000000E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0.728</w:t>
            </w:r>
          </w:p>
        </w:tc>
      </w:tr>
      <w:tr w:rsidR="00421882" w14:paraId="408A614E" w14:textId="77777777">
        <w:tc>
          <w:tcPr>
            <w:tcW w:w="835" w:type="dxa"/>
          </w:tcPr>
          <w:p w14:paraId="000000E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C3</w:t>
            </w:r>
          </w:p>
        </w:tc>
        <w:tc>
          <w:tcPr>
            <w:tcW w:w="6662" w:type="dxa"/>
          </w:tcPr>
          <w:p w14:paraId="000000E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identifying my and other people’s emotions</w:t>
            </w:r>
          </w:p>
        </w:tc>
        <w:tc>
          <w:tcPr>
            <w:tcW w:w="2573" w:type="dxa"/>
          </w:tcPr>
          <w:p w14:paraId="000000E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0.727</w:t>
            </w:r>
          </w:p>
        </w:tc>
      </w:tr>
      <w:tr w:rsidR="00421882" w14:paraId="17C3CA06" w14:textId="77777777">
        <w:tc>
          <w:tcPr>
            <w:tcW w:w="835" w:type="dxa"/>
          </w:tcPr>
          <w:p w14:paraId="000000E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C4</w:t>
            </w:r>
          </w:p>
        </w:tc>
        <w:tc>
          <w:tcPr>
            <w:tcW w:w="6662" w:type="dxa"/>
          </w:tcPr>
          <w:p w14:paraId="000000ED"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talking to people at home</w:t>
            </w:r>
          </w:p>
        </w:tc>
        <w:tc>
          <w:tcPr>
            <w:tcW w:w="2573" w:type="dxa"/>
          </w:tcPr>
          <w:p w14:paraId="000000E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0.637</w:t>
            </w:r>
          </w:p>
        </w:tc>
      </w:tr>
      <w:tr w:rsidR="00421882" w14:paraId="4D2A161B" w14:textId="77777777">
        <w:tc>
          <w:tcPr>
            <w:tcW w:w="835" w:type="dxa"/>
          </w:tcPr>
          <w:p w14:paraId="000000E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C5</w:t>
            </w:r>
          </w:p>
        </w:tc>
        <w:tc>
          <w:tcPr>
            <w:tcW w:w="6662" w:type="dxa"/>
          </w:tcPr>
          <w:p w14:paraId="000000F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getting myself to perform the task that I am required to do</w:t>
            </w:r>
          </w:p>
        </w:tc>
        <w:tc>
          <w:tcPr>
            <w:tcW w:w="2573" w:type="dxa"/>
          </w:tcPr>
          <w:p w14:paraId="000000F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0.655</w:t>
            </w:r>
          </w:p>
        </w:tc>
      </w:tr>
      <w:tr w:rsidR="00421882" w14:paraId="629EE00D" w14:textId="77777777">
        <w:tc>
          <w:tcPr>
            <w:tcW w:w="835" w:type="dxa"/>
          </w:tcPr>
          <w:p w14:paraId="000000F2"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C7</w:t>
            </w:r>
          </w:p>
        </w:tc>
        <w:tc>
          <w:tcPr>
            <w:tcW w:w="6662" w:type="dxa"/>
          </w:tcPr>
          <w:p w14:paraId="000000F3"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 xml:space="preserve">difficulty in managing the task assigned to me </w:t>
            </w:r>
            <w:proofErr w:type="gramStart"/>
            <w:r>
              <w:rPr>
                <w:color w:val="000000"/>
                <w:sz w:val="20"/>
                <w:szCs w:val="20"/>
              </w:rPr>
              <w:t>in a given</w:t>
            </w:r>
            <w:proofErr w:type="gramEnd"/>
            <w:r>
              <w:rPr>
                <w:color w:val="000000"/>
                <w:sz w:val="20"/>
                <w:szCs w:val="20"/>
              </w:rPr>
              <w:t xml:space="preserve"> period of time</w:t>
            </w:r>
          </w:p>
        </w:tc>
        <w:tc>
          <w:tcPr>
            <w:tcW w:w="2573" w:type="dxa"/>
          </w:tcPr>
          <w:p w14:paraId="000000F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0.654</w:t>
            </w:r>
          </w:p>
        </w:tc>
      </w:tr>
      <w:tr w:rsidR="00421882" w14:paraId="04062F30" w14:textId="77777777">
        <w:tc>
          <w:tcPr>
            <w:tcW w:w="835" w:type="dxa"/>
          </w:tcPr>
          <w:p w14:paraId="000000F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C8</w:t>
            </w:r>
          </w:p>
        </w:tc>
        <w:tc>
          <w:tcPr>
            <w:tcW w:w="6662" w:type="dxa"/>
          </w:tcPr>
          <w:p w14:paraId="000000F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studying my lesson with enthusiasm</w:t>
            </w:r>
          </w:p>
        </w:tc>
        <w:tc>
          <w:tcPr>
            <w:tcW w:w="2573" w:type="dxa"/>
          </w:tcPr>
          <w:p w14:paraId="000000F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0.530</w:t>
            </w:r>
          </w:p>
        </w:tc>
      </w:tr>
      <w:tr w:rsidR="00421882" w14:paraId="7C4CFD74" w14:textId="77777777">
        <w:tc>
          <w:tcPr>
            <w:tcW w:w="835" w:type="dxa"/>
          </w:tcPr>
          <w:p w14:paraId="000000F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D1</w:t>
            </w:r>
          </w:p>
        </w:tc>
        <w:tc>
          <w:tcPr>
            <w:tcW w:w="6662" w:type="dxa"/>
          </w:tcPr>
          <w:p w14:paraId="000000F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rapid heartbeat/palpitations</w:t>
            </w:r>
          </w:p>
        </w:tc>
        <w:tc>
          <w:tcPr>
            <w:tcW w:w="2573" w:type="dxa"/>
          </w:tcPr>
          <w:p w14:paraId="000000FA"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0.659</w:t>
            </w:r>
          </w:p>
        </w:tc>
      </w:tr>
      <w:tr w:rsidR="00421882" w14:paraId="30A4541C" w14:textId="77777777">
        <w:tc>
          <w:tcPr>
            <w:tcW w:w="835" w:type="dxa"/>
          </w:tcPr>
          <w:p w14:paraId="000000F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D2</w:t>
            </w:r>
          </w:p>
        </w:tc>
        <w:tc>
          <w:tcPr>
            <w:tcW w:w="6662" w:type="dxa"/>
          </w:tcPr>
          <w:p w14:paraId="000000F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breathing</w:t>
            </w:r>
          </w:p>
        </w:tc>
        <w:tc>
          <w:tcPr>
            <w:tcW w:w="2573" w:type="dxa"/>
          </w:tcPr>
          <w:p w14:paraId="000000F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0.692</w:t>
            </w:r>
          </w:p>
        </w:tc>
      </w:tr>
      <w:tr w:rsidR="00421882" w14:paraId="2B3B9183" w14:textId="77777777">
        <w:tc>
          <w:tcPr>
            <w:tcW w:w="835" w:type="dxa"/>
          </w:tcPr>
          <w:p w14:paraId="000000F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D3</w:t>
            </w:r>
          </w:p>
        </w:tc>
        <w:tc>
          <w:tcPr>
            <w:tcW w:w="6662" w:type="dxa"/>
          </w:tcPr>
          <w:p w14:paraId="000000F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low energy</w:t>
            </w:r>
          </w:p>
        </w:tc>
        <w:tc>
          <w:tcPr>
            <w:tcW w:w="2573" w:type="dxa"/>
          </w:tcPr>
          <w:p w14:paraId="0000010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0.612</w:t>
            </w:r>
          </w:p>
        </w:tc>
      </w:tr>
      <w:tr w:rsidR="00421882" w14:paraId="274A122D" w14:textId="77777777">
        <w:tc>
          <w:tcPr>
            <w:tcW w:w="835" w:type="dxa"/>
          </w:tcPr>
          <w:p w14:paraId="0000010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D6</w:t>
            </w:r>
          </w:p>
        </w:tc>
        <w:tc>
          <w:tcPr>
            <w:tcW w:w="6662" w:type="dxa"/>
          </w:tcPr>
          <w:p w14:paraId="0000010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headaches</w:t>
            </w:r>
          </w:p>
        </w:tc>
        <w:tc>
          <w:tcPr>
            <w:tcW w:w="2573" w:type="dxa"/>
          </w:tcPr>
          <w:p w14:paraId="0000010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0.626</w:t>
            </w:r>
          </w:p>
        </w:tc>
      </w:tr>
      <w:tr w:rsidR="00421882" w14:paraId="5FA81C0A" w14:textId="77777777">
        <w:tc>
          <w:tcPr>
            <w:tcW w:w="835" w:type="dxa"/>
          </w:tcPr>
          <w:p w14:paraId="0000010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D7</w:t>
            </w:r>
          </w:p>
        </w:tc>
        <w:tc>
          <w:tcPr>
            <w:tcW w:w="6662" w:type="dxa"/>
          </w:tcPr>
          <w:p w14:paraId="0000010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sleeping</w:t>
            </w:r>
          </w:p>
        </w:tc>
        <w:tc>
          <w:tcPr>
            <w:tcW w:w="2573" w:type="dxa"/>
          </w:tcPr>
          <w:p w14:paraId="0000010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0.615</w:t>
            </w:r>
          </w:p>
        </w:tc>
      </w:tr>
      <w:tr w:rsidR="00421882" w14:paraId="4F48A7B7" w14:textId="77777777">
        <w:tc>
          <w:tcPr>
            <w:tcW w:w="835" w:type="dxa"/>
            <w:tcBorders>
              <w:bottom w:val="single" w:sz="12" w:space="0" w:color="000000"/>
            </w:tcBorders>
          </w:tcPr>
          <w:p w14:paraId="0000010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D8</w:t>
            </w:r>
          </w:p>
        </w:tc>
        <w:tc>
          <w:tcPr>
            <w:tcW w:w="6662" w:type="dxa"/>
            <w:tcBorders>
              <w:bottom w:val="single" w:sz="12" w:space="0" w:color="000000"/>
            </w:tcBorders>
          </w:tcPr>
          <w:p w14:paraId="0000010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muscle aches and pains</w:t>
            </w:r>
          </w:p>
        </w:tc>
        <w:tc>
          <w:tcPr>
            <w:tcW w:w="2573" w:type="dxa"/>
            <w:tcBorders>
              <w:bottom w:val="single" w:sz="12" w:space="0" w:color="000000"/>
            </w:tcBorders>
          </w:tcPr>
          <w:p w14:paraId="0000010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0.534</w:t>
            </w:r>
          </w:p>
        </w:tc>
      </w:tr>
    </w:tbl>
    <w:p w14:paraId="0000010A" w14:textId="77777777" w:rsidR="00421882" w:rsidRPr="00CC2A59" w:rsidRDefault="00421882">
      <w:pPr>
        <w:pBdr>
          <w:top w:val="nil"/>
          <w:left w:val="nil"/>
          <w:bottom w:val="nil"/>
          <w:right w:val="nil"/>
          <w:between w:val="nil"/>
        </w:pBdr>
        <w:spacing w:after="0" w:line="240" w:lineRule="auto"/>
        <w:jc w:val="both"/>
        <w:rPr>
          <w:color w:val="000000"/>
          <w:sz w:val="10"/>
          <w:szCs w:val="10"/>
        </w:rPr>
      </w:pPr>
    </w:p>
    <w:p w14:paraId="0000010B" w14:textId="77777777" w:rsidR="00421882" w:rsidRDefault="00363292">
      <w:pPr>
        <w:pBdr>
          <w:top w:val="nil"/>
          <w:left w:val="nil"/>
          <w:bottom w:val="nil"/>
          <w:right w:val="nil"/>
          <w:between w:val="nil"/>
        </w:pBdr>
        <w:spacing w:after="0" w:line="240" w:lineRule="auto"/>
        <w:jc w:val="both"/>
        <w:rPr>
          <w:color w:val="000000"/>
        </w:rPr>
      </w:pPr>
      <w:r>
        <w:rPr>
          <w:color w:val="000000"/>
        </w:rPr>
        <w:t xml:space="preserve">The six (6) rounds of analysis, while discarding items with extraction </w:t>
      </w:r>
      <w:r>
        <w:t>values</w:t>
      </w:r>
      <w:r>
        <w:rPr>
          <w:color w:val="000000"/>
        </w:rPr>
        <w:t xml:space="preserve"> less than or equal to 0.490, were run to obtain the </w:t>
      </w:r>
      <w:r>
        <w:t>eigenvalues</w:t>
      </w:r>
      <w:r>
        <w:rPr>
          <w:color w:val="000000"/>
        </w:rPr>
        <w:t xml:space="preserve"> for each of the components of the data. The last round of factor analysis revealed four (4) components that had eigenvalues over Kaiser’s criterion of 1 and in combination explained 62.406% of the variance. Table </w:t>
      </w:r>
      <w:r>
        <w:t>4</w:t>
      </w:r>
      <w:r>
        <w:rPr>
          <w:color w:val="000000"/>
        </w:rPr>
        <w:t xml:space="preserve"> shows the total variance explained.</w:t>
      </w:r>
    </w:p>
    <w:p w14:paraId="0000010C" w14:textId="77777777" w:rsidR="00421882" w:rsidRDefault="00421882">
      <w:pPr>
        <w:pBdr>
          <w:top w:val="nil"/>
          <w:left w:val="nil"/>
          <w:bottom w:val="nil"/>
          <w:right w:val="nil"/>
          <w:between w:val="nil"/>
        </w:pBdr>
        <w:spacing w:after="0" w:line="240" w:lineRule="auto"/>
        <w:jc w:val="both"/>
      </w:pPr>
    </w:p>
    <w:p w14:paraId="0000010D" w14:textId="77777777" w:rsidR="00421882" w:rsidRDefault="00421882">
      <w:pPr>
        <w:pBdr>
          <w:top w:val="nil"/>
          <w:left w:val="nil"/>
          <w:bottom w:val="nil"/>
          <w:right w:val="nil"/>
          <w:between w:val="nil"/>
        </w:pBdr>
        <w:spacing w:after="0" w:line="240" w:lineRule="auto"/>
        <w:jc w:val="both"/>
      </w:pPr>
    </w:p>
    <w:p w14:paraId="0000010E" w14:textId="77777777" w:rsidR="00421882" w:rsidRDefault="00421882">
      <w:pPr>
        <w:pBdr>
          <w:top w:val="nil"/>
          <w:left w:val="nil"/>
          <w:bottom w:val="nil"/>
          <w:right w:val="nil"/>
          <w:between w:val="nil"/>
        </w:pBdr>
        <w:spacing w:after="0" w:line="240" w:lineRule="auto"/>
        <w:jc w:val="both"/>
      </w:pPr>
    </w:p>
    <w:p w14:paraId="0000010F" w14:textId="77777777" w:rsidR="00421882" w:rsidRDefault="00421882">
      <w:pPr>
        <w:pBdr>
          <w:top w:val="nil"/>
          <w:left w:val="nil"/>
          <w:bottom w:val="nil"/>
          <w:right w:val="nil"/>
          <w:between w:val="nil"/>
        </w:pBdr>
        <w:spacing w:after="0" w:line="240" w:lineRule="auto"/>
        <w:jc w:val="both"/>
      </w:pPr>
    </w:p>
    <w:p w14:paraId="00000110" w14:textId="77777777" w:rsidR="00421882" w:rsidRDefault="00421882">
      <w:pPr>
        <w:pBdr>
          <w:top w:val="nil"/>
          <w:left w:val="nil"/>
          <w:bottom w:val="nil"/>
          <w:right w:val="nil"/>
          <w:between w:val="nil"/>
        </w:pBdr>
        <w:spacing w:after="0" w:line="240" w:lineRule="auto"/>
        <w:jc w:val="both"/>
      </w:pPr>
    </w:p>
    <w:p w14:paraId="00000111" w14:textId="77777777" w:rsidR="00421882" w:rsidRDefault="00421882">
      <w:pPr>
        <w:pBdr>
          <w:top w:val="nil"/>
          <w:left w:val="nil"/>
          <w:bottom w:val="nil"/>
          <w:right w:val="nil"/>
          <w:between w:val="nil"/>
        </w:pBdr>
        <w:spacing w:after="0" w:line="240" w:lineRule="auto"/>
        <w:jc w:val="both"/>
      </w:pPr>
    </w:p>
    <w:p w14:paraId="00000112" w14:textId="77777777" w:rsidR="00421882" w:rsidRDefault="00421882">
      <w:pPr>
        <w:pBdr>
          <w:top w:val="nil"/>
          <w:left w:val="nil"/>
          <w:bottom w:val="nil"/>
          <w:right w:val="nil"/>
          <w:between w:val="nil"/>
        </w:pBdr>
        <w:spacing w:after="0" w:line="240" w:lineRule="auto"/>
        <w:jc w:val="both"/>
      </w:pPr>
    </w:p>
    <w:p w14:paraId="00000113" w14:textId="77777777" w:rsidR="00421882" w:rsidRDefault="00421882">
      <w:pPr>
        <w:pBdr>
          <w:top w:val="nil"/>
          <w:left w:val="nil"/>
          <w:bottom w:val="nil"/>
          <w:right w:val="nil"/>
          <w:between w:val="nil"/>
        </w:pBdr>
        <w:spacing w:after="0" w:line="240" w:lineRule="auto"/>
        <w:jc w:val="both"/>
      </w:pPr>
    </w:p>
    <w:p w14:paraId="00000114" w14:textId="77777777" w:rsidR="00421882" w:rsidRDefault="00421882">
      <w:pPr>
        <w:pBdr>
          <w:top w:val="nil"/>
          <w:left w:val="nil"/>
          <w:bottom w:val="nil"/>
          <w:right w:val="nil"/>
          <w:between w:val="nil"/>
        </w:pBdr>
        <w:spacing w:after="0" w:line="240" w:lineRule="auto"/>
        <w:jc w:val="both"/>
      </w:pPr>
    </w:p>
    <w:p w14:paraId="00000115" w14:textId="77777777" w:rsidR="00421882" w:rsidRDefault="00421882">
      <w:pPr>
        <w:pBdr>
          <w:top w:val="nil"/>
          <w:left w:val="nil"/>
          <w:bottom w:val="nil"/>
          <w:right w:val="nil"/>
          <w:between w:val="nil"/>
        </w:pBdr>
        <w:spacing w:after="0" w:line="240" w:lineRule="auto"/>
        <w:jc w:val="both"/>
      </w:pPr>
    </w:p>
    <w:p w14:paraId="00000116" w14:textId="77777777" w:rsidR="00421882" w:rsidRDefault="00363292">
      <w:pPr>
        <w:pBdr>
          <w:top w:val="nil"/>
          <w:left w:val="nil"/>
          <w:bottom w:val="nil"/>
          <w:right w:val="nil"/>
          <w:between w:val="nil"/>
        </w:pBdr>
        <w:spacing w:after="0" w:line="240" w:lineRule="auto"/>
        <w:jc w:val="both"/>
      </w:pPr>
      <w:r>
        <w:rPr>
          <w:b/>
        </w:rPr>
        <w:lastRenderedPageBreak/>
        <w:t>Table 4.</w:t>
      </w:r>
      <w:r>
        <w:t xml:space="preserve"> Total variance explained</w:t>
      </w:r>
    </w:p>
    <w:tbl>
      <w:tblPr>
        <w:tblStyle w:val="a2"/>
        <w:tblW w:w="10101" w:type="dxa"/>
        <w:tblBorders>
          <w:top w:val="nil"/>
          <w:left w:val="nil"/>
          <w:bottom w:val="nil"/>
          <w:right w:val="nil"/>
          <w:insideH w:val="nil"/>
          <w:insideV w:val="nil"/>
        </w:tblBorders>
        <w:tblLayout w:type="fixed"/>
        <w:tblLook w:val="0400" w:firstRow="0" w:lastRow="0" w:firstColumn="0" w:lastColumn="0" w:noHBand="0" w:noVBand="1"/>
      </w:tblPr>
      <w:tblGrid>
        <w:gridCol w:w="1133"/>
        <w:gridCol w:w="850"/>
        <w:gridCol w:w="885"/>
        <w:gridCol w:w="933"/>
        <w:gridCol w:w="920"/>
        <w:gridCol w:w="991"/>
        <w:gridCol w:w="992"/>
        <w:gridCol w:w="1131"/>
        <w:gridCol w:w="1131"/>
        <w:gridCol w:w="1135"/>
      </w:tblGrid>
      <w:tr w:rsidR="00421882" w14:paraId="3156E987" w14:textId="77777777">
        <w:trPr>
          <w:trHeight w:val="278"/>
        </w:trPr>
        <w:tc>
          <w:tcPr>
            <w:tcW w:w="1133" w:type="dxa"/>
            <w:vMerge w:val="restart"/>
            <w:tcBorders>
              <w:top w:val="single" w:sz="12" w:space="0" w:color="000000"/>
            </w:tcBorders>
            <w:vAlign w:val="center"/>
          </w:tcPr>
          <w:p w14:paraId="00000117" w14:textId="77777777" w:rsidR="00421882" w:rsidRDefault="00363292">
            <w:pPr>
              <w:spacing w:after="0" w:line="240" w:lineRule="auto"/>
              <w:rPr>
                <w:b/>
                <w:sz w:val="16"/>
                <w:szCs w:val="16"/>
              </w:rPr>
            </w:pPr>
            <w:r>
              <w:rPr>
                <w:b/>
                <w:sz w:val="16"/>
                <w:szCs w:val="16"/>
              </w:rPr>
              <w:t>Component</w:t>
            </w:r>
          </w:p>
          <w:p w14:paraId="0000011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2668" w:type="dxa"/>
            <w:gridSpan w:val="3"/>
            <w:tcBorders>
              <w:top w:val="single" w:sz="12" w:space="0" w:color="000000"/>
            </w:tcBorders>
            <w:vAlign w:val="center"/>
          </w:tcPr>
          <w:p w14:paraId="00000119" w14:textId="77777777" w:rsidR="00421882" w:rsidRDefault="00363292">
            <w:pPr>
              <w:pBdr>
                <w:top w:val="nil"/>
                <w:left w:val="nil"/>
                <w:bottom w:val="nil"/>
                <w:right w:val="nil"/>
                <w:between w:val="nil"/>
              </w:pBdr>
              <w:spacing w:after="0" w:line="240" w:lineRule="auto"/>
              <w:ind w:firstLine="102"/>
              <w:jc w:val="center"/>
              <w:rPr>
                <w:b/>
                <w:color w:val="000000"/>
                <w:sz w:val="16"/>
                <w:szCs w:val="16"/>
              </w:rPr>
            </w:pPr>
            <w:r>
              <w:rPr>
                <w:b/>
                <w:color w:val="000000"/>
                <w:sz w:val="16"/>
                <w:szCs w:val="16"/>
              </w:rPr>
              <w:t>Initial Eigenvalues</w:t>
            </w:r>
          </w:p>
        </w:tc>
        <w:tc>
          <w:tcPr>
            <w:tcW w:w="2903" w:type="dxa"/>
            <w:gridSpan w:val="3"/>
            <w:tcBorders>
              <w:top w:val="single" w:sz="12" w:space="0" w:color="000000"/>
            </w:tcBorders>
            <w:vAlign w:val="center"/>
          </w:tcPr>
          <w:p w14:paraId="0000011C"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 xml:space="preserve">Extraction of Squared Loadings </w:t>
            </w:r>
          </w:p>
        </w:tc>
        <w:tc>
          <w:tcPr>
            <w:tcW w:w="3397" w:type="dxa"/>
            <w:gridSpan w:val="3"/>
            <w:tcBorders>
              <w:top w:val="single" w:sz="12" w:space="0" w:color="000000"/>
            </w:tcBorders>
            <w:vAlign w:val="center"/>
          </w:tcPr>
          <w:p w14:paraId="0000011F"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Rotation Sums of Squared loading</w:t>
            </w:r>
          </w:p>
        </w:tc>
      </w:tr>
      <w:tr w:rsidR="00421882" w14:paraId="6E49B5E9" w14:textId="77777777">
        <w:trPr>
          <w:trHeight w:val="458"/>
        </w:trPr>
        <w:tc>
          <w:tcPr>
            <w:tcW w:w="1133" w:type="dxa"/>
            <w:vMerge/>
            <w:tcBorders>
              <w:top w:val="single" w:sz="12" w:space="0" w:color="000000"/>
              <w:bottom w:val="single" w:sz="8" w:space="0" w:color="000000"/>
            </w:tcBorders>
            <w:vAlign w:val="center"/>
          </w:tcPr>
          <w:p w14:paraId="00000122" w14:textId="77777777" w:rsidR="00421882" w:rsidRDefault="00421882">
            <w:pPr>
              <w:widowControl w:val="0"/>
              <w:pBdr>
                <w:top w:val="nil"/>
                <w:left w:val="nil"/>
                <w:bottom w:val="nil"/>
                <w:right w:val="nil"/>
                <w:between w:val="nil"/>
              </w:pBdr>
              <w:spacing w:after="0" w:line="276" w:lineRule="auto"/>
              <w:rPr>
                <w:b/>
                <w:color w:val="000000"/>
                <w:sz w:val="16"/>
                <w:szCs w:val="16"/>
              </w:rPr>
            </w:pPr>
          </w:p>
        </w:tc>
        <w:tc>
          <w:tcPr>
            <w:tcW w:w="850" w:type="dxa"/>
            <w:tcBorders>
              <w:bottom w:val="single" w:sz="4" w:space="0" w:color="000000"/>
            </w:tcBorders>
            <w:vAlign w:val="center"/>
          </w:tcPr>
          <w:p w14:paraId="00000123"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Total</w:t>
            </w:r>
          </w:p>
        </w:tc>
        <w:tc>
          <w:tcPr>
            <w:tcW w:w="885" w:type="dxa"/>
            <w:tcBorders>
              <w:bottom w:val="single" w:sz="4" w:space="0" w:color="000000"/>
            </w:tcBorders>
            <w:vAlign w:val="center"/>
          </w:tcPr>
          <w:p w14:paraId="00000124"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 xml:space="preserve">% </w:t>
            </w:r>
            <w:proofErr w:type="gramStart"/>
            <w:r>
              <w:rPr>
                <w:b/>
                <w:color w:val="000000"/>
                <w:sz w:val="16"/>
                <w:szCs w:val="16"/>
              </w:rPr>
              <w:t>of</w:t>
            </w:r>
            <w:proofErr w:type="gramEnd"/>
            <w:r>
              <w:rPr>
                <w:b/>
                <w:color w:val="000000"/>
                <w:sz w:val="16"/>
                <w:szCs w:val="16"/>
              </w:rPr>
              <w:t xml:space="preserve"> variance</w:t>
            </w:r>
          </w:p>
        </w:tc>
        <w:tc>
          <w:tcPr>
            <w:tcW w:w="933" w:type="dxa"/>
            <w:tcBorders>
              <w:bottom w:val="single" w:sz="4" w:space="0" w:color="000000"/>
            </w:tcBorders>
            <w:vAlign w:val="center"/>
          </w:tcPr>
          <w:p w14:paraId="00000125"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Cumulative %</w:t>
            </w:r>
          </w:p>
        </w:tc>
        <w:tc>
          <w:tcPr>
            <w:tcW w:w="920" w:type="dxa"/>
            <w:tcBorders>
              <w:bottom w:val="single" w:sz="4" w:space="0" w:color="000000"/>
            </w:tcBorders>
            <w:vAlign w:val="center"/>
          </w:tcPr>
          <w:p w14:paraId="00000126"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Total</w:t>
            </w:r>
          </w:p>
        </w:tc>
        <w:tc>
          <w:tcPr>
            <w:tcW w:w="991" w:type="dxa"/>
            <w:tcBorders>
              <w:bottom w:val="single" w:sz="4" w:space="0" w:color="000000"/>
            </w:tcBorders>
            <w:vAlign w:val="center"/>
          </w:tcPr>
          <w:p w14:paraId="00000127"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 xml:space="preserve">% </w:t>
            </w:r>
            <w:proofErr w:type="gramStart"/>
            <w:r>
              <w:rPr>
                <w:b/>
                <w:color w:val="000000"/>
                <w:sz w:val="16"/>
                <w:szCs w:val="16"/>
              </w:rPr>
              <w:t>of</w:t>
            </w:r>
            <w:proofErr w:type="gramEnd"/>
            <w:r>
              <w:rPr>
                <w:b/>
                <w:color w:val="000000"/>
                <w:sz w:val="16"/>
                <w:szCs w:val="16"/>
              </w:rPr>
              <w:t xml:space="preserve"> variance</w:t>
            </w:r>
          </w:p>
        </w:tc>
        <w:tc>
          <w:tcPr>
            <w:tcW w:w="992" w:type="dxa"/>
            <w:tcBorders>
              <w:bottom w:val="single" w:sz="4" w:space="0" w:color="000000"/>
            </w:tcBorders>
            <w:vAlign w:val="center"/>
          </w:tcPr>
          <w:p w14:paraId="00000128"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Cumulative %</w:t>
            </w:r>
          </w:p>
        </w:tc>
        <w:tc>
          <w:tcPr>
            <w:tcW w:w="1131" w:type="dxa"/>
            <w:tcBorders>
              <w:bottom w:val="single" w:sz="4" w:space="0" w:color="000000"/>
            </w:tcBorders>
            <w:vAlign w:val="center"/>
          </w:tcPr>
          <w:p w14:paraId="00000129"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Total</w:t>
            </w:r>
          </w:p>
        </w:tc>
        <w:tc>
          <w:tcPr>
            <w:tcW w:w="1131" w:type="dxa"/>
            <w:tcBorders>
              <w:bottom w:val="single" w:sz="4" w:space="0" w:color="000000"/>
            </w:tcBorders>
            <w:vAlign w:val="center"/>
          </w:tcPr>
          <w:p w14:paraId="0000012A"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 xml:space="preserve">% </w:t>
            </w:r>
            <w:proofErr w:type="gramStart"/>
            <w:r>
              <w:rPr>
                <w:b/>
                <w:color w:val="000000"/>
                <w:sz w:val="16"/>
                <w:szCs w:val="16"/>
              </w:rPr>
              <w:t>of</w:t>
            </w:r>
            <w:proofErr w:type="gramEnd"/>
            <w:r>
              <w:rPr>
                <w:b/>
                <w:color w:val="000000"/>
                <w:sz w:val="16"/>
                <w:szCs w:val="16"/>
              </w:rPr>
              <w:t xml:space="preserve"> variance</w:t>
            </w:r>
          </w:p>
        </w:tc>
        <w:tc>
          <w:tcPr>
            <w:tcW w:w="1135" w:type="dxa"/>
            <w:tcBorders>
              <w:bottom w:val="single" w:sz="4" w:space="0" w:color="000000"/>
            </w:tcBorders>
            <w:vAlign w:val="center"/>
          </w:tcPr>
          <w:p w14:paraId="0000012B"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Cumulative %</w:t>
            </w:r>
          </w:p>
        </w:tc>
      </w:tr>
      <w:tr w:rsidR="00421882" w14:paraId="1CD48BA1" w14:textId="77777777">
        <w:trPr>
          <w:trHeight w:val="278"/>
        </w:trPr>
        <w:tc>
          <w:tcPr>
            <w:tcW w:w="1133" w:type="dxa"/>
            <w:tcBorders>
              <w:top w:val="single" w:sz="8" w:space="0" w:color="000000"/>
            </w:tcBorders>
          </w:tcPr>
          <w:p w14:paraId="0000012C"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w:t>
            </w:r>
          </w:p>
        </w:tc>
        <w:tc>
          <w:tcPr>
            <w:tcW w:w="850" w:type="dxa"/>
            <w:tcBorders>
              <w:top w:val="single" w:sz="4" w:space="0" w:color="000000"/>
            </w:tcBorders>
          </w:tcPr>
          <w:p w14:paraId="0000012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8.336</w:t>
            </w:r>
          </w:p>
        </w:tc>
        <w:tc>
          <w:tcPr>
            <w:tcW w:w="885" w:type="dxa"/>
            <w:tcBorders>
              <w:top w:val="single" w:sz="4" w:space="0" w:color="000000"/>
            </w:tcBorders>
          </w:tcPr>
          <w:p w14:paraId="0000012E"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41.680</w:t>
            </w:r>
          </w:p>
        </w:tc>
        <w:tc>
          <w:tcPr>
            <w:tcW w:w="933" w:type="dxa"/>
            <w:tcBorders>
              <w:top w:val="single" w:sz="4" w:space="0" w:color="000000"/>
            </w:tcBorders>
          </w:tcPr>
          <w:p w14:paraId="0000012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41.680</w:t>
            </w:r>
          </w:p>
        </w:tc>
        <w:tc>
          <w:tcPr>
            <w:tcW w:w="920" w:type="dxa"/>
            <w:tcBorders>
              <w:top w:val="single" w:sz="4" w:space="0" w:color="000000"/>
            </w:tcBorders>
          </w:tcPr>
          <w:p w14:paraId="00000130"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8.336</w:t>
            </w:r>
          </w:p>
        </w:tc>
        <w:tc>
          <w:tcPr>
            <w:tcW w:w="991" w:type="dxa"/>
            <w:tcBorders>
              <w:top w:val="single" w:sz="4" w:space="0" w:color="000000"/>
            </w:tcBorders>
          </w:tcPr>
          <w:p w14:paraId="0000013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41.680</w:t>
            </w:r>
          </w:p>
        </w:tc>
        <w:tc>
          <w:tcPr>
            <w:tcW w:w="992" w:type="dxa"/>
            <w:tcBorders>
              <w:top w:val="single" w:sz="4" w:space="0" w:color="000000"/>
            </w:tcBorders>
          </w:tcPr>
          <w:p w14:paraId="00000132"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41.680</w:t>
            </w:r>
          </w:p>
        </w:tc>
        <w:tc>
          <w:tcPr>
            <w:tcW w:w="1131" w:type="dxa"/>
            <w:tcBorders>
              <w:top w:val="single" w:sz="4" w:space="0" w:color="000000"/>
            </w:tcBorders>
          </w:tcPr>
          <w:p w14:paraId="0000013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3.681</w:t>
            </w:r>
          </w:p>
        </w:tc>
        <w:tc>
          <w:tcPr>
            <w:tcW w:w="1131" w:type="dxa"/>
            <w:tcBorders>
              <w:top w:val="single" w:sz="4" w:space="0" w:color="000000"/>
            </w:tcBorders>
          </w:tcPr>
          <w:p w14:paraId="00000134"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18.407</w:t>
            </w:r>
          </w:p>
        </w:tc>
        <w:tc>
          <w:tcPr>
            <w:tcW w:w="1135" w:type="dxa"/>
            <w:tcBorders>
              <w:top w:val="single" w:sz="4" w:space="0" w:color="000000"/>
            </w:tcBorders>
          </w:tcPr>
          <w:p w14:paraId="0000013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18.407</w:t>
            </w:r>
          </w:p>
        </w:tc>
      </w:tr>
      <w:tr w:rsidR="00421882" w14:paraId="20FD6D31" w14:textId="77777777">
        <w:trPr>
          <w:trHeight w:val="278"/>
        </w:trPr>
        <w:tc>
          <w:tcPr>
            <w:tcW w:w="1133" w:type="dxa"/>
          </w:tcPr>
          <w:p w14:paraId="00000136"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2</w:t>
            </w:r>
          </w:p>
        </w:tc>
        <w:tc>
          <w:tcPr>
            <w:tcW w:w="850" w:type="dxa"/>
          </w:tcPr>
          <w:p w14:paraId="0000013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2.026</w:t>
            </w:r>
          </w:p>
        </w:tc>
        <w:tc>
          <w:tcPr>
            <w:tcW w:w="885" w:type="dxa"/>
          </w:tcPr>
          <w:p w14:paraId="00000138"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10.131</w:t>
            </w:r>
          </w:p>
        </w:tc>
        <w:tc>
          <w:tcPr>
            <w:tcW w:w="933" w:type="dxa"/>
          </w:tcPr>
          <w:p w14:paraId="0000013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51.811</w:t>
            </w:r>
          </w:p>
        </w:tc>
        <w:tc>
          <w:tcPr>
            <w:tcW w:w="920" w:type="dxa"/>
          </w:tcPr>
          <w:p w14:paraId="0000013A"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2.026</w:t>
            </w:r>
          </w:p>
        </w:tc>
        <w:tc>
          <w:tcPr>
            <w:tcW w:w="991" w:type="dxa"/>
          </w:tcPr>
          <w:p w14:paraId="0000013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10.131</w:t>
            </w:r>
          </w:p>
        </w:tc>
        <w:tc>
          <w:tcPr>
            <w:tcW w:w="992" w:type="dxa"/>
          </w:tcPr>
          <w:p w14:paraId="0000013C"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51.811</w:t>
            </w:r>
          </w:p>
        </w:tc>
        <w:tc>
          <w:tcPr>
            <w:tcW w:w="1131" w:type="dxa"/>
          </w:tcPr>
          <w:p w14:paraId="0000013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3.625</w:t>
            </w:r>
          </w:p>
        </w:tc>
        <w:tc>
          <w:tcPr>
            <w:tcW w:w="1131" w:type="dxa"/>
          </w:tcPr>
          <w:p w14:paraId="0000013E"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18.125</w:t>
            </w:r>
          </w:p>
        </w:tc>
        <w:tc>
          <w:tcPr>
            <w:tcW w:w="1135" w:type="dxa"/>
          </w:tcPr>
          <w:p w14:paraId="0000013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36.532</w:t>
            </w:r>
          </w:p>
        </w:tc>
      </w:tr>
      <w:tr w:rsidR="00421882" w14:paraId="3552B224" w14:textId="77777777">
        <w:trPr>
          <w:trHeight w:val="278"/>
        </w:trPr>
        <w:tc>
          <w:tcPr>
            <w:tcW w:w="1133" w:type="dxa"/>
          </w:tcPr>
          <w:p w14:paraId="00000140"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3</w:t>
            </w:r>
          </w:p>
        </w:tc>
        <w:tc>
          <w:tcPr>
            <w:tcW w:w="850" w:type="dxa"/>
          </w:tcPr>
          <w:p w14:paraId="0000014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1.099</w:t>
            </w:r>
          </w:p>
        </w:tc>
        <w:tc>
          <w:tcPr>
            <w:tcW w:w="885" w:type="dxa"/>
          </w:tcPr>
          <w:p w14:paraId="00000142"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5.494</w:t>
            </w:r>
          </w:p>
        </w:tc>
        <w:tc>
          <w:tcPr>
            <w:tcW w:w="933" w:type="dxa"/>
          </w:tcPr>
          <w:p w14:paraId="0000014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57.306</w:t>
            </w:r>
          </w:p>
        </w:tc>
        <w:tc>
          <w:tcPr>
            <w:tcW w:w="920" w:type="dxa"/>
          </w:tcPr>
          <w:p w14:paraId="00000144"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1.099</w:t>
            </w:r>
          </w:p>
        </w:tc>
        <w:tc>
          <w:tcPr>
            <w:tcW w:w="991" w:type="dxa"/>
          </w:tcPr>
          <w:p w14:paraId="0000014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5.494</w:t>
            </w:r>
          </w:p>
        </w:tc>
        <w:tc>
          <w:tcPr>
            <w:tcW w:w="992" w:type="dxa"/>
          </w:tcPr>
          <w:p w14:paraId="00000146"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57.306</w:t>
            </w:r>
          </w:p>
        </w:tc>
        <w:tc>
          <w:tcPr>
            <w:tcW w:w="1131" w:type="dxa"/>
          </w:tcPr>
          <w:p w14:paraId="0000014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2.774</w:t>
            </w:r>
          </w:p>
        </w:tc>
        <w:tc>
          <w:tcPr>
            <w:tcW w:w="1131" w:type="dxa"/>
          </w:tcPr>
          <w:p w14:paraId="00000148"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13.869</w:t>
            </w:r>
          </w:p>
        </w:tc>
        <w:tc>
          <w:tcPr>
            <w:tcW w:w="1135" w:type="dxa"/>
          </w:tcPr>
          <w:p w14:paraId="0000014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50.401</w:t>
            </w:r>
          </w:p>
        </w:tc>
      </w:tr>
      <w:tr w:rsidR="00421882" w14:paraId="4088D18A" w14:textId="77777777">
        <w:trPr>
          <w:trHeight w:val="278"/>
        </w:trPr>
        <w:tc>
          <w:tcPr>
            <w:tcW w:w="1133" w:type="dxa"/>
          </w:tcPr>
          <w:p w14:paraId="0000014A"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4</w:t>
            </w:r>
          </w:p>
        </w:tc>
        <w:tc>
          <w:tcPr>
            <w:tcW w:w="850" w:type="dxa"/>
          </w:tcPr>
          <w:p w14:paraId="0000014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1.020</w:t>
            </w:r>
          </w:p>
        </w:tc>
        <w:tc>
          <w:tcPr>
            <w:tcW w:w="885" w:type="dxa"/>
          </w:tcPr>
          <w:p w14:paraId="0000014C"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5.100</w:t>
            </w:r>
          </w:p>
        </w:tc>
        <w:tc>
          <w:tcPr>
            <w:tcW w:w="933" w:type="dxa"/>
          </w:tcPr>
          <w:p w14:paraId="0000014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62.406</w:t>
            </w:r>
          </w:p>
        </w:tc>
        <w:tc>
          <w:tcPr>
            <w:tcW w:w="920" w:type="dxa"/>
          </w:tcPr>
          <w:p w14:paraId="0000014E"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1.020</w:t>
            </w:r>
          </w:p>
        </w:tc>
        <w:tc>
          <w:tcPr>
            <w:tcW w:w="991" w:type="dxa"/>
          </w:tcPr>
          <w:p w14:paraId="0000014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5.100</w:t>
            </w:r>
          </w:p>
        </w:tc>
        <w:tc>
          <w:tcPr>
            <w:tcW w:w="992" w:type="dxa"/>
          </w:tcPr>
          <w:p w14:paraId="00000150"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62.406</w:t>
            </w:r>
          </w:p>
        </w:tc>
        <w:tc>
          <w:tcPr>
            <w:tcW w:w="1131" w:type="dxa"/>
          </w:tcPr>
          <w:p w14:paraId="0000015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2.401</w:t>
            </w:r>
          </w:p>
        </w:tc>
        <w:tc>
          <w:tcPr>
            <w:tcW w:w="1131" w:type="dxa"/>
          </w:tcPr>
          <w:p w14:paraId="00000152"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12.005</w:t>
            </w:r>
          </w:p>
        </w:tc>
        <w:tc>
          <w:tcPr>
            <w:tcW w:w="1135" w:type="dxa"/>
          </w:tcPr>
          <w:p w14:paraId="0000015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62.406</w:t>
            </w:r>
          </w:p>
        </w:tc>
      </w:tr>
      <w:tr w:rsidR="00421882" w14:paraId="5BDB7964" w14:textId="77777777">
        <w:trPr>
          <w:trHeight w:val="278"/>
        </w:trPr>
        <w:tc>
          <w:tcPr>
            <w:tcW w:w="1133" w:type="dxa"/>
          </w:tcPr>
          <w:p w14:paraId="00000154"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5</w:t>
            </w:r>
          </w:p>
        </w:tc>
        <w:tc>
          <w:tcPr>
            <w:tcW w:w="850" w:type="dxa"/>
          </w:tcPr>
          <w:p w14:paraId="0000015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0.961</w:t>
            </w:r>
          </w:p>
        </w:tc>
        <w:tc>
          <w:tcPr>
            <w:tcW w:w="885" w:type="dxa"/>
          </w:tcPr>
          <w:p w14:paraId="00000156"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4.805</w:t>
            </w:r>
          </w:p>
        </w:tc>
        <w:tc>
          <w:tcPr>
            <w:tcW w:w="933" w:type="dxa"/>
          </w:tcPr>
          <w:p w14:paraId="0000015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67.211</w:t>
            </w:r>
          </w:p>
        </w:tc>
        <w:tc>
          <w:tcPr>
            <w:tcW w:w="920" w:type="dxa"/>
            <w:vAlign w:val="center"/>
          </w:tcPr>
          <w:p w14:paraId="0000015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59"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5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5B"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5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5D"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0DCCDE81" w14:textId="77777777">
        <w:trPr>
          <w:trHeight w:val="278"/>
        </w:trPr>
        <w:tc>
          <w:tcPr>
            <w:tcW w:w="1133" w:type="dxa"/>
          </w:tcPr>
          <w:p w14:paraId="0000015E"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6</w:t>
            </w:r>
          </w:p>
        </w:tc>
        <w:tc>
          <w:tcPr>
            <w:tcW w:w="850" w:type="dxa"/>
          </w:tcPr>
          <w:p w14:paraId="0000015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0.765</w:t>
            </w:r>
          </w:p>
        </w:tc>
        <w:tc>
          <w:tcPr>
            <w:tcW w:w="885" w:type="dxa"/>
          </w:tcPr>
          <w:p w14:paraId="00000160"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3.824</w:t>
            </w:r>
          </w:p>
        </w:tc>
        <w:tc>
          <w:tcPr>
            <w:tcW w:w="933" w:type="dxa"/>
          </w:tcPr>
          <w:p w14:paraId="0000016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71.035</w:t>
            </w:r>
          </w:p>
        </w:tc>
        <w:tc>
          <w:tcPr>
            <w:tcW w:w="920" w:type="dxa"/>
            <w:vAlign w:val="center"/>
          </w:tcPr>
          <w:p w14:paraId="0000016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63"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6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65"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6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67"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0780A0EE" w14:textId="77777777">
        <w:trPr>
          <w:trHeight w:val="278"/>
        </w:trPr>
        <w:tc>
          <w:tcPr>
            <w:tcW w:w="1133" w:type="dxa"/>
          </w:tcPr>
          <w:p w14:paraId="00000168"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7</w:t>
            </w:r>
          </w:p>
        </w:tc>
        <w:tc>
          <w:tcPr>
            <w:tcW w:w="850" w:type="dxa"/>
          </w:tcPr>
          <w:p w14:paraId="0000016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0.647</w:t>
            </w:r>
          </w:p>
        </w:tc>
        <w:tc>
          <w:tcPr>
            <w:tcW w:w="885" w:type="dxa"/>
          </w:tcPr>
          <w:p w14:paraId="0000016A"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3.234</w:t>
            </w:r>
          </w:p>
        </w:tc>
        <w:tc>
          <w:tcPr>
            <w:tcW w:w="933" w:type="dxa"/>
          </w:tcPr>
          <w:p w14:paraId="0000016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74.269</w:t>
            </w:r>
          </w:p>
        </w:tc>
        <w:tc>
          <w:tcPr>
            <w:tcW w:w="920" w:type="dxa"/>
            <w:vAlign w:val="center"/>
          </w:tcPr>
          <w:p w14:paraId="0000016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6D"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6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6F"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7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71"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6CAA886D" w14:textId="77777777">
        <w:trPr>
          <w:trHeight w:val="278"/>
        </w:trPr>
        <w:tc>
          <w:tcPr>
            <w:tcW w:w="1133" w:type="dxa"/>
          </w:tcPr>
          <w:p w14:paraId="00000172"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8</w:t>
            </w:r>
          </w:p>
        </w:tc>
        <w:tc>
          <w:tcPr>
            <w:tcW w:w="850" w:type="dxa"/>
          </w:tcPr>
          <w:p w14:paraId="0000017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0.612</w:t>
            </w:r>
          </w:p>
        </w:tc>
        <w:tc>
          <w:tcPr>
            <w:tcW w:w="885" w:type="dxa"/>
          </w:tcPr>
          <w:p w14:paraId="00000174"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3.060</w:t>
            </w:r>
          </w:p>
        </w:tc>
        <w:tc>
          <w:tcPr>
            <w:tcW w:w="933" w:type="dxa"/>
          </w:tcPr>
          <w:p w14:paraId="0000017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77.329</w:t>
            </w:r>
          </w:p>
        </w:tc>
        <w:tc>
          <w:tcPr>
            <w:tcW w:w="920" w:type="dxa"/>
            <w:vAlign w:val="center"/>
          </w:tcPr>
          <w:p w14:paraId="0000017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77"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7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79"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7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7B"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65409FC0" w14:textId="77777777">
        <w:trPr>
          <w:trHeight w:val="278"/>
        </w:trPr>
        <w:tc>
          <w:tcPr>
            <w:tcW w:w="1133" w:type="dxa"/>
          </w:tcPr>
          <w:p w14:paraId="0000017C"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9</w:t>
            </w:r>
          </w:p>
        </w:tc>
        <w:tc>
          <w:tcPr>
            <w:tcW w:w="850" w:type="dxa"/>
          </w:tcPr>
          <w:p w14:paraId="0000017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0.545</w:t>
            </w:r>
          </w:p>
        </w:tc>
        <w:tc>
          <w:tcPr>
            <w:tcW w:w="885" w:type="dxa"/>
          </w:tcPr>
          <w:p w14:paraId="0000017E"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2.727</w:t>
            </w:r>
          </w:p>
        </w:tc>
        <w:tc>
          <w:tcPr>
            <w:tcW w:w="933" w:type="dxa"/>
          </w:tcPr>
          <w:p w14:paraId="0000017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80.056</w:t>
            </w:r>
          </w:p>
        </w:tc>
        <w:tc>
          <w:tcPr>
            <w:tcW w:w="920" w:type="dxa"/>
            <w:vAlign w:val="center"/>
          </w:tcPr>
          <w:p w14:paraId="0000018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81"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8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83"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8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85"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7B3D8727" w14:textId="77777777">
        <w:trPr>
          <w:trHeight w:val="278"/>
        </w:trPr>
        <w:tc>
          <w:tcPr>
            <w:tcW w:w="1133" w:type="dxa"/>
          </w:tcPr>
          <w:p w14:paraId="00000186"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10</w:t>
            </w:r>
          </w:p>
        </w:tc>
        <w:tc>
          <w:tcPr>
            <w:tcW w:w="850" w:type="dxa"/>
          </w:tcPr>
          <w:p w14:paraId="0000018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0.509</w:t>
            </w:r>
          </w:p>
        </w:tc>
        <w:tc>
          <w:tcPr>
            <w:tcW w:w="885" w:type="dxa"/>
          </w:tcPr>
          <w:p w14:paraId="00000188"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2.545</w:t>
            </w:r>
          </w:p>
        </w:tc>
        <w:tc>
          <w:tcPr>
            <w:tcW w:w="933" w:type="dxa"/>
          </w:tcPr>
          <w:p w14:paraId="0000018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82.601</w:t>
            </w:r>
          </w:p>
        </w:tc>
        <w:tc>
          <w:tcPr>
            <w:tcW w:w="920" w:type="dxa"/>
            <w:vAlign w:val="center"/>
          </w:tcPr>
          <w:p w14:paraId="0000018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8B"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8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8D"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8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8F"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0276CD6C" w14:textId="77777777">
        <w:trPr>
          <w:trHeight w:val="278"/>
        </w:trPr>
        <w:tc>
          <w:tcPr>
            <w:tcW w:w="1133" w:type="dxa"/>
          </w:tcPr>
          <w:p w14:paraId="00000190"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11</w:t>
            </w:r>
          </w:p>
        </w:tc>
        <w:tc>
          <w:tcPr>
            <w:tcW w:w="850" w:type="dxa"/>
          </w:tcPr>
          <w:p w14:paraId="0000019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0.464</w:t>
            </w:r>
          </w:p>
        </w:tc>
        <w:tc>
          <w:tcPr>
            <w:tcW w:w="885" w:type="dxa"/>
          </w:tcPr>
          <w:p w14:paraId="00000192"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2.319</w:t>
            </w:r>
          </w:p>
        </w:tc>
        <w:tc>
          <w:tcPr>
            <w:tcW w:w="933" w:type="dxa"/>
          </w:tcPr>
          <w:p w14:paraId="0000019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84.920</w:t>
            </w:r>
          </w:p>
        </w:tc>
        <w:tc>
          <w:tcPr>
            <w:tcW w:w="920" w:type="dxa"/>
            <w:vAlign w:val="center"/>
          </w:tcPr>
          <w:p w14:paraId="0000019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95"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9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97"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9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99"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22B34B3A" w14:textId="77777777">
        <w:trPr>
          <w:trHeight w:val="278"/>
        </w:trPr>
        <w:tc>
          <w:tcPr>
            <w:tcW w:w="1133" w:type="dxa"/>
          </w:tcPr>
          <w:p w14:paraId="0000019A"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12</w:t>
            </w:r>
          </w:p>
        </w:tc>
        <w:tc>
          <w:tcPr>
            <w:tcW w:w="850" w:type="dxa"/>
          </w:tcPr>
          <w:p w14:paraId="0000019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0.439</w:t>
            </w:r>
          </w:p>
        </w:tc>
        <w:tc>
          <w:tcPr>
            <w:tcW w:w="885" w:type="dxa"/>
          </w:tcPr>
          <w:p w14:paraId="0000019C"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2.197</w:t>
            </w:r>
          </w:p>
        </w:tc>
        <w:tc>
          <w:tcPr>
            <w:tcW w:w="933" w:type="dxa"/>
          </w:tcPr>
          <w:p w14:paraId="0000019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87.117</w:t>
            </w:r>
          </w:p>
        </w:tc>
        <w:tc>
          <w:tcPr>
            <w:tcW w:w="920" w:type="dxa"/>
            <w:vAlign w:val="center"/>
          </w:tcPr>
          <w:p w14:paraId="0000019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9F"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A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A1"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A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A3"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5359C33E" w14:textId="77777777">
        <w:trPr>
          <w:trHeight w:val="278"/>
        </w:trPr>
        <w:tc>
          <w:tcPr>
            <w:tcW w:w="1133" w:type="dxa"/>
          </w:tcPr>
          <w:p w14:paraId="000001A4"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13</w:t>
            </w:r>
          </w:p>
        </w:tc>
        <w:tc>
          <w:tcPr>
            <w:tcW w:w="850" w:type="dxa"/>
          </w:tcPr>
          <w:p w14:paraId="000001A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0.413</w:t>
            </w:r>
          </w:p>
        </w:tc>
        <w:tc>
          <w:tcPr>
            <w:tcW w:w="885" w:type="dxa"/>
          </w:tcPr>
          <w:p w14:paraId="000001A6"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2.064</w:t>
            </w:r>
          </w:p>
        </w:tc>
        <w:tc>
          <w:tcPr>
            <w:tcW w:w="933" w:type="dxa"/>
          </w:tcPr>
          <w:p w14:paraId="000001A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89.181</w:t>
            </w:r>
          </w:p>
        </w:tc>
        <w:tc>
          <w:tcPr>
            <w:tcW w:w="920" w:type="dxa"/>
            <w:vAlign w:val="center"/>
          </w:tcPr>
          <w:p w14:paraId="000001A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A9"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A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AB"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A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AD"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35A403D5" w14:textId="77777777">
        <w:trPr>
          <w:trHeight w:val="278"/>
        </w:trPr>
        <w:tc>
          <w:tcPr>
            <w:tcW w:w="1133" w:type="dxa"/>
          </w:tcPr>
          <w:p w14:paraId="000001AE"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14</w:t>
            </w:r>
          </w:p>
        </w:tc>
        <w:tc>
          <w:tcPr>
            <w:tcW w:w="850" w:type="dxa"/>
          </w:tcPr>
          <w:p w14:paraId="000001A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0.378</w:t>
            </w:r>
          </w:p>
        </w:tc>
        <w:tc>
          <w:tcPr>
            <w:tcW w:w="885" w:type="dxa"/>
          </w:tcPr>
          <w:p w14:paraId="000001B0"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1.892</w:t>
            </w:r>
          </w:p>
        </w:tc>
        <w:tc>
          <w:tcPr>
            <w:tcW w:w="933" w:type="dxa"/>
          </w:tcPr>
          <w:p w14:paraId="000001B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91.073</w:t>
            </w:r>
          </w:p>
        </w:tc>
        <w:tc>
          <w:tcPr>
            <w:tcW w:w="920" w:type="dxa"/>
            <w:vAlign w:val="center"/>
          </w:tcPr>
          <w:p w14:paraId="000001B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B3"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B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B5"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B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B7"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7033C1D7" w14:textId="77777777">
        <w:trPr>
          <w:trHeight w:val="278"/>
        </w:trPr>
        <w:tc>
          <w:tcPr>
            <w:tcW w:w="1133" w:type="dxa"/>
          </w:tcPr>
          <w:p w14:paraId="000001B8"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15</w:t>
            </w:r>
          </w:p>
        </w:tc>
        <w:tc>
          <w:tcPr>
            <w:tcW w:w="850" w:type="dxa"/>
          </w:tcPr>
          <w:p w14:paraId="000001B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0.362</w:t>
            </w:r>
          </w:p>
        </w:tc>
        <w:tc>
          <w:tcPr>
            <w:tcW w:w="885" w:type="dxa"/>
          </w:tcPr>
          <w:p w14:paraId="000001BA"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1.808</w:t>
            </w:r>
          </w:p>
        </w:tc>
        <w:tc>
          <w:tcPr>
            <w:tcW w:w="933" w:type="dxa"/>
          </w:tcPr>
          <w:p w14:paraId="000001B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92.881</w:t>
            </w:r>
          </w:p>
        </w:tc>
        <w:tc>
          <w:tcPr>
            <w:tcW w:w="920" w:type="dxa"/>
            <w:vAlign w:val="center"/>
          </w:tcPr>
          <w:p w14:paraId="000001B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BD"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B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BF"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C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C1"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0CA04F8B" w14:textId="77777777">
        <w:trPr>
          <w:trHeight w:val="278"/>
        </w:trPr>
        <w:tc>
          <w:tcPr>
            <w:tcW w:w="1133" w:type="dxa"/>
          </w:tcPr>
          <w:p w14:paraId="000001C2"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16</w:t>
            </w:r>
          </w:p>
        </w:tc>
        <w:tc>
          <w:tcPr>
            <w:tcW w:w="850" w:type="dxa"/>
          </w:tcPr>
          <w:p w14:paraId="000001C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0.334</w:t>
            </w:r>
          </w:p>
        </w:tc>
        <w:tc>
          <w:tcPr>
            <w:tcW w:w="885" w:type="dxa"/>
          </w:tcPr>
          <w:p w14:paraId="000001C4"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1.671</w:t>
            </w:r>
          </w:p>
        </w:tc>
        <w:tc>
          <w:tcPr>
            <w:tcW w:w="933" w:type="dxa"/>
          </w:tcPr>
          <w:p w14:paraId="000001C5"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94.552</w:t>
            </w:r>
          </w:p>
        </w:tc>
        <w:tc>
          <w:tcPr>
            <w:tcW w:w="920" w:type="dxa"/>
            <w:vAlign w:val="center"/>
          </w:tcPr>
          <w:p w14:paraId="000001C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C7"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C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C9"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C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CB"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7D18337A" w14:textId="77777777">
        <w:trPr>
          <w:trHeight w:val="278"/>
        </w:trPr>
        <w:tc>
          <w:tcPr>
            <w:tcW w:w="1133" w:type="dxa"/>
          </w:tcPr>
          <w:p w14:paraId="000001CC"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17</w:t>
            </w:r>
          </w:p>
        </w:tc>
        <w:tc>
          <w:tcPr>
            <w:tcW w:w="850" w:type="dxa"/>
          </w:tcPr>
          <w:p w14:paraId="000001C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0.309</w:t>
            </w:r>
          </w:p>
        </w:tc>
        <w:tc>
          <w:tcPr>
            <w:tcW w:w="885" w:type="dxa"/>
          </w:tcPr>
          <w:p w14:paraId="000001CE"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1.544</w:t>
            </w:r>
          </w:p>
        </w:tc>
        <w:tc>
          <w:tcPr>
            <w:tcW w:w="933" w:type="dxa"/>
          </w:tcPr>
          <w:p w14:paraId="000001CF"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96.096</w:t>
            </w:r>
          </w:p>
        </w:tc>
        <w:tc>
          <w:tcPr>
            <w:tcW w:w="920" w:type="dxa"/>
            <w:vAlign w:val="center"/>
          </w:tcPr>
          <w:p w14:paraId="000001D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D1"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D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D3"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D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D5"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247BC110" w14:textId="77777777">
        <w:trPr>
          <w:trHeight w:val="278"/>
        </w:trPr>
        <w:tc>
          <w:tcPr>
            <w:tcW w:w="1133" w:type="dxa"/>
          </w:tcPr>
          <w:p w14:paraId="000001D6"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18</w:t>
            </w:r>
          </w:p>
        </w:tc>
        <w:tc>
          <w:tcPr>
            <w:tcW w:w="850" w:type="dxa"/>
          </w:tcPr>
          <w:p w14:paraId="000001D7"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0.286</w:t>
            </w:r>
          </w:p>
        </w:tc>
        <w:tc>
          <w:tcPr>
            <w:tcW w:w="885" w:type="dxa"/>
          </w:tcPr>
          <w:p w14:paraId="000001D8"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1.429</w:t>
            </w:r>
          </w:p>
        </w:tc>
        <w:tc>
          <w:tcPr>
            <w:tcW w:w="933" w:type="dxa"/>
          </w:tcPr>
          <w:p w14:paraId="000001D9"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97.525</w:t>
            </w:r>
          </w:p>
        </w:tc>
        <w:tc>
          <w:tcPr>
            <w:tcW w:w="920" w:type="dxa"/>
            <w:vAlign w:val="center"/>
          </w:tcPr>
          <w:p w14:paraId="000001DA"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DB"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DC"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DD"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D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DF"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3AAA5276" w14:textId="77777777">
        <w:trPr>
          <w:trHeight w:val="278"/>
        </w:trPr>
        <w:tc>
          <w:tcPr>
            <w:tcW w:w="1133" w:type="dxa"/>
          </w:tcPr>
          <w:p w14:paraId="000001E0"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19</w:t>
            </w:r>
          </w:p>
        </w:tc>
        <w:tc>
          <w:tcPr>
            <w:tcW w:w="850" w:type="dxa"/>
          </w:tcPr>
          <w:p w14:paraId="000001E1"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0.254</w:t>
            </w:r>
          </w:p>
        </w:tc>
        <w:tc>
          <w:tcPr>
            <w:tcW w:w="885" w:type="dxa"/>
          </w:tcPr>
          <w:p w14:paraId="000001E2"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1.271</w:t>
            </w:r>
          </w:p>
        </w:tc>
        <w:tc>
          <w:tcPr>
            <w:tcW w:w="933" w:type="dxa"/>
          </w:tcPr>
          <w:p w14:paraId="000001E3"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98.796</w:t>
            </w:r>
          </w:p>
        </w:tc>
        <w:tc>
          <w:tcPr>
            <w:tcW w:w="920" w:type="dxa"/>
            <w:vAlign w:val="center"/>
          </w:tcPr>
          <w:p w14:paraId="000001E4"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vAlign w:val="center"/>
          </w:tcPr>
          <w:p w14:paraId="000001E5"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vAlign w:val="center"/>
          </w:tcPr>
          <w:p w14:paraId="000001E6"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E7"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vAlign w:val="center"/>
          </w:tcPr>
          <w:p w14:paraId="000001E8"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E9"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332A55EE" w14:textId="77777777">
        <w:trPr>
          <w:trHeight w:val="278"/>
        </w:trPr>
        <w:tc>
          <w:tcPr>
            <w:tcW w:w="1133" w:type="dxa"/>
            <w:tcBorders>
              <w:bottom w:val="single" w:sz="4" w:space="0" w:color="000000"/>
            </w:tcBorders>
          </w:tcPr>
          <w:p w14:paraId="000001EA" w14:textId="77777777" w:rsidR="00421882" w:rsidRDefault="00363292">
            <w:pPr>
              <w:pBdr>
                <w:top w:val="nil"/>
                <w:left w:val="nil"/>
                <w:bottom w:val="nil"/>
                <w:right w:val="nil"/>
                <w:between w:val="nil"/>
              </w:pBdr>
              <w:spacing w:after="0" w:line="240" w:lineRule="auto"/>
              <w:jc w:val="center"/>
              <w:rPr>
                <w:b/>
                <w:color w:val="000000"/>
                <w:sz w:val="16"/>
                <w:szCs w:val="16"/>
              </w:rPr>
            </w:pPr>
            <w:r>
              <w:rPr>
                <w:b/>
                <w:color w:val="000000"/>
                <w:sz w:val="16"/>
                <w:szCs w:val="16"/>
              </w:rPr>
              <w:t>20</w:t>
            </w:r>
          </w:p>
        </w:tc>
        <w:tc>
          <w:tcPr>
            <w:tcW w:w="850" w:type="dxa"/>
            <w:tcBorders>
              <w:bottom w:val="single" w:sz="4" w:space="0" w:color="000000"/>
            </w:tcBorders>
          </w:tcPr>
          <w:p w14:paraId="000001EB"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0.241</w:t>
            </w:r>
          </w:p>
        </w:tc>
        <w:tc>
          <w:tcPr>
            <w:tcW w:w="885" w:type="dxa"/>
            <w:tcBorders>
              <w:bottom w:val="single" w:sz="4" w:space="0" w:color="000000"/>
            </w:tcBorders>
          </w:tcPr>
          <w:p w14:paraId="000001EC"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1.204</w:t>
            </w:r>
          </w:p>
        </w:tc>
        <w:tc>
          <w:tcPr>
            <w:tcW w:w="933" w:type="dxa"/>
            <w:tcBorders>
              <w:bottom w:val="single" w:sz="4" w:space="0" w:color="000000"/>
            </w:tcBorders>
          </w:tcPr>
          <w:p w14:paraId="000001ED" w14:textId="77777777" w:rsidR="00421882" w:rsidRDefault="00363292">
            <w:pPr>
              <w:pBdr>
                <w:top w:val="nil"/>
                <w:left w:val="nil"/>
                <w:bottom w:val="nil"/>
                <w:right w:val="nil"/>
                <w:between w:val="nil"/>
              </w:pBdr>
              <w:spacing w:after="0" w:line="240" w:lineRule="auto"/>
              <w:jc w:val="center"/>
              <w:rPr>
                <w:color w:val="000000"/>
                <w:sz w:val="16"/>
                <w:szCs w:val="16"/>
              </w:rPr>
            </w:pPr>
            <w:r>
              <w:rPr>
                <w:color w:val="000000"/>
                <w:sz w:val="16"/>
                <w:szCs w:val="16"/>
              </w:rPr>
              <w:t>100.000</w:t>
            </w:r>
          </w:p>
        </w:tc>
        <w:tc>
          <w:tcPr>
            <w:tcW w:w="920" w:type="dxa"/>
            <w:tcBorders>
              <w:bottom w:val="single" w:sz="4" w:space="0" w:color="000000"/>
            </w:tcBorders>
            <w:vAlign w:val="center"/>
          </w:tcPr>
          <w:p w14:paraId="000001EE"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1" w:type="dxa"/>
            <w:tcBorders>
              <w:bottom w:val="single" w:sz="4" w:space="0" w:color="000000"/>
            </w:tcBorders>
            <w:vAlign w:val="center"/>
          </w:tcPr>
          <w:p w14:paraId="000001EF"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992" w:type="dxa"/>
            <w:tcBorders>
              <w:bottom w:val="single" w:sz="4" w:space="0" w:color="000000"/>
            </w:tcBorders>
            <w:vAlign w:val="center"/>
          </w:tcPr>
          <w:p w14:paraId="000001F0"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tcBorders>
              <w:bottom w:val="single" w:sz="4" w:space="0" w:color="000000"/>
            </w:tcBorders>
            <w:vAlign w:val="center"/>
          </w:tcPr>
          <w:p w14:paraId="000001F1"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1" w:type="dxa"/>
            <w:tcBorders>
              <w:bottom w:val="single" w:sz="4" w:space="0" w:color="000000"/>
            </w:tcBorders>
            <w:vAlign w:val="center"/>
          </w:tcPr>
          <w:p w14:paraId="000001F2" w14:textId="77777777" w:rsidR="00421882" w:rsidRDefault="00421882">
            <w:pPr>
              <w:pBdr>
                <w:top w:val="nil"/>
                <w:left w:val="nil"/>
                <w:bottom w:val="nil"/>
                <w:right w:val="nil"/>
                <w:between w:val="nil"/>
              </w:pBdr>
              <w:spacing w:after="0" w:line="240" w:lineRule="auto"/>
              <w:jc w:val="center"/>
              <w:rPr>
                <w:color w:val="000000"/>
                <w:sz w:val="16"/>
                <w:szCs w:val="16"/>
              </w:rPr>
            </w:pPr>
          </w:p>
        </w:tc>
        <w:tc>
          <w:tcPr>
            <w:tcW w:w="1135" w:type="dxa"/>
            <w:vAlign w:val="center"/>
          </w:tcPr>
          <w:p w14:paraId="000001F3" w14:textId="77777777" w:rsidR="00421882" w:rsidRDefault="00421882">
            <w:pPr>
              <w:pBdr>
                <w:top w:val="nil"/>
                <w:left w:val="nil"/>
                <w:bottom w:val="nil"/>
                <w:right w:val="nil"/>
                <w:between w:val="nil"/>
              </w:pBdr>
              <w:spacing w:after="0" w:line="240" w:lineRule="auto"/>
              <w:jc w:val="center"/>
              <w:rPr>
                <w:color w:val="000000"/>
                <w:sz w:val="16"/>
                <w:szCs w:val="16"/>
              </w:rPr>
            </w:pPr>
          </w:p>
        </w:tc>
      </w:tr>
      <w:tr w:rsidR="00421882" w14:paraId="7A2F55DD" w14:textId="77777777">
        <w:trPr>
          <w:trHeight w:val="278"/>
        </w:trPr>
        <w:tc>
          <w:tcPr>
            <w:tcW w:w="10101" w:type="dxa"/>
            <w:gridSpan w:val="10"/>
            <w:tcBorders>
              <w:top w:val="single" w:sz="4" w:space="0" w:color="000000"/>
              <w:bottom w:val="single" w:sz="12" w:space="0" w:color="000000"/>
            </w:tcBorders>
            <w:vAlign w:val="center"/>
          </w:tcPr>
          <w:p w14:paraId="000001F4" w14:textId="77777777" w:rsidR="00421882" w:rsidRDefault="00363292">
            <w:pPr>
              <w:pBdr>
                <w:top w:val="nil"/>
                <w:left w:val="nil"/>
                <w:bottom w:val="nil"/>
                <w:right w:val="nil"/>
                <w:between w:val="nil"/>
              </w:pBdr>
              <w:spacing w:after="0" w:line="240" w:lineRule="auto"/>
              <w:rPr>
                <w:color w:val="000000"/>
                <w:sz w:val="16"/>
                <w:szCs w:val="16"/>
              </w:rPr>
            </w:pPr>
            <w:r>
              <w:rPr>
                <w:color w:val="000000"/>
                <w:sz w:val="16"/>
                <w:szCs w:val="16"/>
              </w:rPr>
              <w:t>Extraction Method: Principal Component Analysis.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r>
    </w:tbl>
    <w:p w14:paraId="000001FE" w14:textId="77777777" w:rsidR="00421882" w:rsidRDefault="00421882">
      <w:pPr>
        <w:spacing w:after="0" w:line="240" w:lineRule="auto"/>
        <w:jc w:val="both"/>
        <w:rPr>
          <w:sz w:val="10"/>
          <w:szCs w:val="10"/>
        </w:rPr>
      </w:pPr>
    </w:p>
    <w:p w14:paraId="000001FF" w14:textId="77777777" w:rsidR="00421882" w:rsidRDefault="00363292">
      <w:pPr>
        <w:pBdr>
          <w:top w:val="nil"/>
          <w:left w:val="nil"/>
          <w:bottom w:val="nil"/>
          <w:right w:val="nil"/>
          <w:between w:val="nil"/>
        </w:pBdr>
        <w:spacing w:after="0" w:line="240" w:lineRule="auto"/>
        <w:jc w:val="both"/>
        <w:rPr>
          <w:color w:val="000000"/>
        </w:rPr>
      </w:pPr>
      <w:r>
        <w:rPr>
          <w:color w:val="000000"/>
        </w:rPr>
        <w:t xml:space="preserve">The scree plot (see Figure 1) showed inflexions that would justify retaining components or factors 1, 2, 3, and 4. Given the large sample size n=319 </w:t>
      </w:r>
      <w:r>
        <w:t xml:space="preserve">and the convergence of the scree plot and Kaiser’s criterion on the four components, the four components were retained in the final analysis. Based on the rotated component matrix, Table 5 shows the new clustering of items. </w:t>
      </w:r>
    </w:p>
    <w:p w14:paraId="00000200" w14:textId="77777777" w:rsidR="00421882" w:rsidRDefault="00421882">
      <w:pPr>
        <w:pBdr>
          <w:top w:val="nil"/>
          <w:left w:val="nil"/>
          <w:bottom w:val="nil"/>
          <w:right w:val="nil"/>
          <w:between w:val="nil"/>
        </w:pBdr>
        <w:spacing w:after="0" w:line="240" w:lineRule="auto"/>
        <w:jc w:val="both"/>
        <w:rPr>
          <w:color w:val="000000"/>
        </w:rPr>
      </w:pPr>
    </w:p>
    <w:p w14:paraId="00000201" w14:textId="77777777" w:rsidR="00421882" w:rsidRDefault="00363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24338" cy="2500302"/>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24338" cy="2500302"/>
                    </a:xfrm>
                    <a:prstGeom prst="rect">
                      <a:avLst/>
                    </a:prstGeom>
                    <a:ln/>
                  </pic:spPr>
                </pic:pic>
              </a:graphicData>
            </a:graphic>
          </wp:inline>
        </w:drawing>
      </w:r>
    </w:p>
    <w:p w14:paraId="00000202" w14:textId="77777777" w:rsidR="00421882" w:rsidRDefault="00363292">
      <w:pPr>
        <w:pBdr>
          <w:top w:val="nil"/>
          <w:left w:val="nil"/>
          <w:bottom w:val="nil"/>
          <w:right w:val="nil"/>
          <w:between w:val="nil"/>
        </w:pBdr>
        <w:spacing w:after="0" w:line="240" w:lineRule="auto"/>
        <w:jc w:val="center"/>
        <w:rPr>
          <w:color w:val="000000"/>
        </w:rPr>
      </w:pPr>
      <w:r>
        <w:rPr>
          <w:b/>
          <w:color w:val="000000"/>
        </w:rPr>
        <w:t>Figure 1.</w:t>
      </w:r>
      <w:r>
        <w:rPr>
          <w:color w:val="000000"/>
        </w:rPr>
        <w:t xml:space="preserve"> Scree plot: eigenvalues versus the component numbe</w:t>
      </w:r>
      <w:r>
        <w:t>r</w:t>
      </w:r>
    </w:p>
    <w:p w14:paraId="549D59DB" w14:textId="77777777" w:rsidR="00CC2A59" w:rsidRDefault="00CC2A59">
      <w:pPr>
        <w:pBdr>
          <w:top w:val="nil"/>
          <w:left w:val="nil"/>
          <w:bottom w:val="nil"/>
          <w:right w:val="nil"/>
          <w:between w:val="nil"/>
        </w:pBdr>
        <w:spacing w:after="0" w:line="240" w:lineRule="auto"/>
        <w:jc w:val="both"/>
        <w:rPr>
          <w:b/>
          <w:color w:val="000000"/>
        </w:rPr>
      </w:pPr>
    </w:p>
    <w:p w14:paraId="00000203" w14:textId="4283C806" w:rsidR="00421882" w:rsidRDefault="00363292">
      <w:pPr>
        <w:pBdr>
          <w:top w:val="nil"/>
          <w:left w:val="nil"/>
          <w:bottom w:val="nil"/>
          <w:right w:val="nil"/>
          <w:between w:val="nil"/>
        </w:pBdr>
        <w:spacing w:after="0" w:line="240" w:lineRule="auto"/>
        <w:jc w:val="both"/>
        <w:rPr>
          <w:color w:val="FF0000"/>
          <w:vertAlign w:val="superscript"/>
        </w:rPr>
      </w:pPr>
      <w:r>
        <w:rPr>
          <w:b/>
          <w:color w:val="000000"/>
        </w:rPr>
        <w:lastRenderedPageBreak/>
        <w:t xml:space="preserve">Table </w:t>
      </w:r>
      <w:r>
        <w:rPr>
          <w:b/>
        </w:rPr>
        <w:t>5</w:t>
      </w:r>
      <w:r>
        <w:rPr>
          <w:b/>
          <w:color w:val="000000"/>
        </w:rPr>
        <w:t>.</w:t>
      </w:r>
      <w:r>
        <w:rPr>
          <w:color w:val="000000"/>
        </w:rPr>
        <w:t xml:space="preserve"> </w:t>
      </w:r>
      <w:r>
        <w:t xml:space="preserve">Rotated component </w:t>
      </w:r>
      <w:proofErr w:type="spellStart"/>
      <w:r>
        <w:t>matrix</w:t>
      </w:r>
      <w:r>
        <w:rPr>
          <w:vertAlign w:val="superscript"/>
        </w:rPr>
        <w:t>a</w:t>
      </w:r>
      <w:proofErr w:type="spellEnd"/>
      <w:r>
        <w:rPr>
          <w:vertAlign w:val="superscript"/>
        </w:rPr>
        <w:t xml:space="preserve"> </w:t>
      </w:r>
    </w:p>
    <w:tbl>
      <w:tblPr>
        <w:tblStyle w:val="a3"/>
        <w:tblW w:w="10065" w:type="dxa"/>
        <w:jc w:val="center"/>
        <w:tblBorders>
          <w:top w:val="nil"/>
          <w:left w:val="nil"/>
          <w:bottom w:val="nil"/>
          <w:right w:val="nil"/>
          <w:insideH w:val="nil"/>
          <w:insideV w:val="nil"/>
        </w:tblBorders>
        <w:tblLayout w:type="fixed"/>
        <w:tblLook w:val="0400" w:firstRow="0" w:lastRow="0" w:firstColumn="0" w:lastColumn="0" w:noHBand="0" w:noVBand="1"/>
      </w:tblPr>
      <w:tblGrid>
        <w:gridCol w:w="2416"/>
        <w:gridCol w:w="1984"/>
        <w:gridCol w:w="1701"/>
        <w:gridCol w:w="1748"/>
        <w:gridCol w:w="2216"/>
      </w:tblGrid>
      <w:tr w:rsidR="00421882" w14:paraId="04FDE74A" w14:textId="77777777">
        <w:trPr>
          <w:trHeight w:val="300"/>
          <w:jc w:val="center"/>
        </w:trPr>
        <w:tc>
          <w:tcPr>
            <w:tcW w:w="2416" w:type="dxa"/>
            <w:vMerge w:val="restart"/>
            <w:tcBorders>
              <w:top w:val="single" w:sz="12" w:space="0" w:color="000000"/>
            </w:tcBorders>
            <w:vAlign w:val="center"/>
          </w:tcPr>
          <w:p w14:paraId="00000204" w14:textId="77777777" w:rsidR="00421882" w:rsidRDefault="00363292">
            <w:pPr>
              <w:spacing w:after="0" w:line="240" w:lineRule="auto"/>
              <w:jc w:val="center"/>
              <w:rPr>
                <w:b/>
                <w:sz w:val="20"/>
                <w:szCs w:val="20"/>
              </w:rPr>
            </w:pPr>
            <w:r>
              <w:rPr>
                <w:b/>
                <w:sz w:val="20"/>
                <w:szCs w:val="20"/>
              </w:rPr>
              <w:t>Items</w:t>
            </w:r>
          </w:p>
        </w:tc>
        <w:tc>
          <w:tcPr>
            <w:tcW w:w="7649" w:type="dxa"/>
            <w:gridSpan w:val="4"/>
            <w:tcBorders>
              <w:top w:val="single" w:sz="12" w:space="0" w:color="000000"/>
            </w:tcBorders>
          </w:tcPr>
          <w:p w14:paraId="00000205"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Component</w:t>
            </w:r>
          </w:p>
        </w:tc>
      </w:tr>
      <w:tr w:rsidR="00421882" w14:paraId="1B9EB9DB" w14:textId="77777777">
        <w:trPr>
          <w:trHeight w:val="300"/>
          <w:jc w:val="center"/>
        </w:trPr>
        <w:tc>
          <w:tcPr>
            <w:tcW w:w="2416" w:type="dxa"/>
            <w:vMerge/>
            <w:tcBorders>
              <w:top w:val="single" w:sz="12" w:space="0" w:color="000000"/>
            </w:tcBorders>
            <w:vAlign w:val="center"/>
          </w:tcPr>
          <w:p w14:paraId="00000209" w14:textId="77777777" w:rsidR="00421882" w:rsidRDefault="00421882">
            <w:pPr>
              <w:widowControl w:val="0"/>
              <w:pBdr>
                <w:top w:val="nil"/>
                <w:left w:val="nil"/>
                <w:bottom w:val="nil"/>
                <w:right w:val="nil"/>
                <w:between w:val="nil"/>
              </w:pBdr>
              <w:spacing w:after="0" w:line="276" w:lineRule="auto"/>
              <w:rPr>
                <w:b/>
                <w:color w:val="000000"/>
                <w:sz w:val="20"/>
                <w:szCs w:val="20"/>
              </w:rPr>
            </w:pPr>
          </w:p>
        </w:tc>
        <w:tc>
          <w:tcPr>
            <w:tcW w:w="1984" w:type="dxa"/>
            <w:tcBorders>
              <w:bottom w:val="single" w:sz="4" w:space="0" w:color="000000"/>
            </w:tcBorders>
          </w:tcPr>
          <w:p w14:paraId="0000020A" w14:textId="77777777" w:rsidR="00421882" w:rsidRDefault="00363292">
            <w:pPr>
              <w:pBdr>
                <w:top w:val="nil"/>
                <w:left w:val="nil"/>
                <w:bottom w:val="nil"/>
                <w:right w:val="nil"/>
                <w:between w:val="nil"/>
              </w:pBdr>
              <w:spacing w:after="0" w:line="240" w:lineRule="auto"/>
              <w:jc w:val="both"/>
              <w:rPr>
                <w:b/>
                <w:color w:val="000000"/>
                <w:sz w:val="20"/>
                <w:szCs w:val="20"/>
              </w:rPr>
            </w:pPr>
            <w:r>
              <w:rPr>
                <w:b/>
                <w:color w:val="000000"/>
                <w:sz w:val="20"/>
                <w:szCs w:val="20"/>
              </w:rPr>
              <w:t>1</w:t>
            </w:r>
          </w:p>
        </w:tc>
        <w:tc>
          <w:tcPr>
            <w:tcW w:w="1701" w:type="dxa"/>
            <w:tcBorders>
              <w:bottom w:val="single" w:sz="4" w:space="0" w:color="000000"/>
            </w:tcBorders>
          </w:tcPr>
          <w:p w14:paraId="0000020B" w14:textId="77777777" w:rsidR="00421882" w:rsidRDefault="00363292">
            <w:pPr>
              <w:pBdr>
                <w:top w:val="nil"/>
                <w:left w:val="nil"/>
                <w:bottom w:val="nil"/>
                <w:right w:val="nil"/>
                <w:between w:val="nil"/>
              </w:pBdr>
              <w:spacing w:after="0" w:line="240" w:lineRule="auto"/>
              <w:jc w:val="both"/>
              <w:rPr>
                <w:b/>
                <w:color w:val="000000"/>
                <w:sz w:val="20"/>
                <w:szCs w:val="20"/>
              </w:rPr>
            </w:pPr>
            <w:r>
              <w:rPr>
                <w:b/>
                <w:color w:val="000000"/>
                <w:sz w:val="20"/>
                <w:szCs w:val="20"/>
              </w:rPr>
              <w:t>2</w:t>
            </w:r>
          </w:p>
        </w:tc>
        <w:tc>
          <w:tcPr>
            <w:tcW w:w="1748" w:type="dxa"/>
            <w:tcBorders>
              <w:bottom w:val="single" w:sz="4" w:space="0" w:color="000000"/>
            </w:tcBorders>
          </w:tcPr>
          <w:p w14:paraId="0000020C" w14:textId="77777777" w:rsidR="00421882" w:rsidRDefault="00363292">
            <w:pPr>
              <w:pBdr>
                <w:top w:val="nil"/>
                <w:left w:val="nil"/>
                <w:bottom w:val="nil"/>
                <w:right w:val="nil"/>
                <w:between w:val="nil"/>
              </w:pBdr>
              <w:spacing w:after="0" w:line="240" w:lineRule="auto"/>
              <w:jc w:val="both"/>
              <w:rPr>
                <w:b/>
                <w:color w:val="000000"/>
                <w:sz w:val="20"/>
                <w:szCs w:val="20"/>
              </w:rPr>
            </w:pPr>
            <w:r>
              <w:rPr>
                <w:b/>
                <w:color w:val="000000"/>
                <w:sz w:val="20"/>
                <w:szCs w:val="20"/>
              </w:rPr>
              <w:t>3</w:t>
            </w:r>
          </w:p>
        </w:tc>
        <w:tc>
          <w:tcPr>
            <w:tcW w:w="2216" w:type="dxa"/>
            <w:tcBorders>
              <w:bottom w:val="single" w:sz="4" w:space="0" w:color="000000"/>
            </w:tcBorders>
          </w:tcPr>
          <w:p w14:paraId="0000020D" w14:textId="77777777" w:rsidR="00421882" w:rsidRDefault="00363292">
            <w:pPr>
              <w:pBdr>
                <w:top w:val="nil"/>
                <w:left w:val="nil"/>
                <w:bottom w:val="nil"/>
                <w:right w:val="nil"/>
                <w:between w:val="nil"/>
              </w:pBdr>
              <w:spacing w:after="0" w:line="240" w:lineRule="auto"/>
              <w:jc w:val="both"/>
              <w:rPr>
                <w:b/>
                <w:color w:val="000000"/>
                <w:sz w:val="20"/>
                <w:szCs w:val="20"/>
              </w:rPr>
            </w:pPr>
            <w:r>
              <w:rPr>
                <w:b/>
                <w:color w:val="000000"/>
                <w:sz w:val="20"/>
                <w:szCs w:val="20"/>
              </w:rPr>
              <w:t>4</w:t>
            </w:r>
          </w:p>
        </w:tc>
      </w:tr>
      <w:tr w:rsidR="00421882" w14:paraId="334CD456" w14:textId="77777777">
        <w:trPr>
          <w:trHeight w:val="300"/>
          <w:jc w:val="center"/>
        </w:trPr>
        <w:tc>
          <w:tcPr>
            <w:tcW w:w="2416" w:type="dxa"/>
            <w:tcBorders>
              <w:top w:val="single" w:sz="4" w:space="0" w:color="000000"/>
            </w:tcBorders>
          </w:tcPr>
          <w:p w14:paraId="0000020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A5</w:t>
            </w:r>
          </w:p>
        </w:tc>
        <w:tc>
          <w:tcPr>
            <w:tcW w:w="1984" w:type="dxa"/>
            <w:tcBorders>
              <w:top w:val="single" w:sz="4" w:space="0" w:color="000000"/>
            </w:tcBorders>
          </w:tcPr>
          <w:p w14:paraId="0000020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0.146</w:t>
            </w:r>
          </w:p>
        </w:tc>
        <w:tc>
          <w:tcPr>
            <w:tcW w:w="1701" w:type="dxa"/>
            <w:tcBorders>
              <w:top w:val="single" w:sz="4" w:space="0" w:color="000000"/>
            </w:tcBorders>
          </w:tcPr>
          <w:p w14:paraId="0000021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0.176</w:t>
            </w:r>
          </w:p>
        </w:tc>
        <w:tc>
          <w:tcPr>
            <w:tcW w:w="1748" w:type="dxa"/>
            <w:tcBorders>
              <w:top w:val="single" w:sz="4" w:space="0" w:color="000000"/>
            </w:tcBorders>
            <w:shd w:val="clear" w:color="auto" w:fill="AEAAAA"/>
          </w:tcPr>
          <w:p w14:paraId="0000021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0.773</w:t>
            </w:r>
          </w:p>
        </w:tc>
        <w:tc>
          <w:tcPr>
            <w:tcW w:w="2216" w:type="dxa"/>
            <w:tcBorders>
              <w:top w:val="single" w:sz="4" w:space="0" w:color="000000"/>
            </w:tcBorders>
          </w:tcPr>
          <w:p w14:paraId="0000021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0.187</w:t>
            </w:r>
          </w:p>
        </w:tc>
      </w:tr>
      <w:tr w:rsidR="00421882" w14:paraId="257AAF8D" w14:textId="77777777">
        <w:trPr>
          <w:trHeight w:val="300"/>
          <w:jc w:val="center"/>
        </w:trPr>
        <w:tc>
          <w:tcPr>
            <w:tcW w:w="2416" w:type="dxa"/>
          </w:tcPr>
          <w:p w14:paraId="0000021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A6</w:t>
            </w:r>
          </w:p>
        </w:tc>
        <w:tc>
          <w:tcPr>
            <w:tcW w:w="1984" w:type="dxa"/>
          </w:tcPr>
          <w:p w14:paraId="0000021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0.059</w:t>
            </w:r>
          </w:p>
        </w:tc>
        <w:tc>
          <w:tcPr>
            <w:tcW w:w="1701" w:type="dxa"/>
          </w:tcPr>
          <w:p w14:paraId="0000021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0.066</w:t>
            </w:r>
          </w:p>
        </w:tc>
        <w:tc>
          <w:tcPr>
            <w:tcW w:w="1748" w:type="dxa"/>
            <w:shd w:val="clear" w:color="auto" w:fill="AEAAAA"/>
          </w:tcPr>
          <w:p w14:paraId="0000021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0.808</w:t>
            </w:r>
          </w:p>
        </w:tc>
        <w:tc>
          <w:tcPr>
            <w:tcW w:w="2216" w:type="dxa"/>
          </w:tcPr>
          <w:p w14:paraId="0000021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0.166</w:t>
            </w:r>
          </w:p>
        </w:tc>
      </w:tr>
      <w:tr w:rsidR="00421882" w14:paraId="6EAD728F" w14:textId="77777777">
        <w:trPr>
          <w:trHeight w:val="300"/>
          <w:jc w:val="center"/>
        </w:trPr>
        <w:tc>
          <w:tcPr>
            <w:tcW w:w="2416" w:type="dxa"/>
          </w:tcPr>
          <w:p w14:paraId="0000021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A7</w:t>
            </w:r>
          </w:p>
        </w:tc>
        <w:tc>
          <w:tcPr>
            <w:tcW w:w="1984" w:type="dxa"/>
          </w:tcPr>
          <w:p w14:paraId="0000021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0.049</w:t>
            </w:r>
          </w:p>
        </w:tc>
        <w:tc>
          <w:tcPr>
            <w:tcW w:w="1701" w:type="dxa"/>
          </w:tcPr>
          <w:p w14:paraId="0000021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0.392</w:t>
            </w:r>
          </w:p>
        </w:tc>
        <w:tc>
          <w:tcPr>
            <w:tcW w:w="1748" w:type="dxa"/>
            <w:shd w:val="clear" w:color="auto" w:fill="AEAAAA"/>
          </w:tcPr>
          <w:p w14:paraId="0000021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0.562</w:t>
            </w:r>
          </w:p>
        </w:tc>
        <w:tc>
          <w:tcPr>
            <w:tcW w:w="2216" w:type="dxa"/>
          </w:tcPr>
          <w:p w14:paraId="0000021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0.197</w:t>
            </w:r>
          </w:p>
        </w:tc>
      </w:tr>
      <w:tr w:rsidR="00421882" w14:paraId="0F10DCF3" w14:textId="77777777">
        <w:trPr>
          <w:trHeight w:val="300"/>
          <w:jc w:val="center"/>
        </w:trPr>
        <w:tc>
          <w:tcPr>
            <w:tcW w:w="2416" w:type="dxa"/>
          </w:tcPr>
          <w:p w14:paraId="0000021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A8</w:t>
            </w:r>
          </w:p>
        </w:tc>
        <w:tc>
          <w:tcPr>
            <w:tcW w:w="1984" w:type="dxa"/>
          </w:tcPr>
          <w:p w14:paraId="0000021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0.116</w:t>
            </w:r>
          </w:p>
        </w:tc>
        <w:tc>
          <w:tcPr>
            <w:tcW w:w="1701" w:type="dxa"/>
          </w:tcPr>
          <w:p w14:paraId="0000021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0.362</w:t>
            </w:r>
          </w:p>
        </w:tc>
        <w:tc>
          <w:tcPr>
            <w:tcW w:w="1748" w:type="dxa"/>
            <w:shd w:val="clear" w:color="auto" w:fill="AEAAAA"/>
          </w:tcPr>
          <w:p w14:paraId="0000022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0.666</w:t>
            </w:r>
          </w:p>
        </w:tc>
        <w:tc>
          <w:tcPr>
            <w:tcW w:w="2216" w:type="dxa"/>
          </w:tcPr>
          <w:p w14:paraId="0000022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0.085</w:t>
            </w:r>
          </w:p>
        </w:tc>
      </w:tr>
      <w:tr w:rsidR="00421882" w14:paraId="14F919A4" w14:textId="77777777">
        <w:trPr>
          <w:trHeight w:val="300"/>
          <w:jc w:val="center"/>
        </w:trPr>
        <w:tc>
          <w:tcPr>
            <w:tcW w:w="2416" w:type="dxa"/>
          </w:tcPr>
          <w:p w14:paraId="00000222"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B1</w:t>
            </w:r>
          </w:p>
        </w:tc>
        <w:tc>
          <w:tcPr>
            <w:tcW w:w="1984" w:type="dxa"/>
            <w:shd w:val="clear" w:color="auto" w:fill="AEAAAA"/>
          </w:tcPr>
          <w:p w14:paraId="00000223"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0.643</w:t>
            </w:r>
          </w:p>
        </w:tc>
        <w:tc>
          <w:tcPr>
            <w:tcW w:w="1701" w:type="dxa"/>
          </w:tcPr>
          <w:p w14:paraId="0000022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0.301</w:t>
            </w:r>
          </w:p>
        </w:tc>
        <w:tc>
          <w:tcPr>
            <w:tcW w:w="1748" w:type="dxa"/>
          </w:tcPr>
          <w:p w14:paraId="0000022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0.095</w:t>
            </w:r>
          </w:p>
        </w:tc>
        <w:tc>
          <w:tcPr>
            <w:tcW w:w="2216" w:type="dxa"/>
          </w:tcPr>
          <w:p w14:paraId="0000022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0.157</w:t>
            </w:r>
          </w:p>
        </w:tc>
      </w:tr>
      <w:tr w:rsidR="00421882" w14:paraId="3359675E" w14:textId="77777777">
        <w:trPr>
          <w:trHeight w:val="300"/>
          <w:jc w:val="center"/>
        </w:trPr>
        <w:tc>
          <w:tcPr>
            <w:tcW w:w="2416" w:type="dxa"/>
          </w:tcPr>
          <w:p w14:paraId="0000022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B3</w:t>
            </w:r>
          </w:p>
        </w:tc>
        <w:tc>
          <w:tcPr>
            <w:tcW w:w="1984" w:type="dxa"/>
          </w:tcPr>
          <w:p w14:paraId="0000022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0.318</w:t>
            </w:r>
          </w:p>
        </w:tc>
        <w:tc>
          <w:tcPr>
            <w:tcW w:w="1701" w:type="dxa"/>
            <w:shd w:val="clear" w:color="auto" w:fill="AEAAAA"/>
          </w:tcPr>
          <w:p w14:paraId="0000022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0.596</w:t>
            </w:r>
          </w:p>
        </w:tc>
        <w:tc>
          <w:tcPr>
            <w:tcW w:w="1748" w:type="dxa"/>
          </w:tcPr>
          <w:p w14:paraId="0000022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0.395</w:t>
            </w:r>
          </w:p>
        </w:tc>
        <w:tc>
          <w:tcPr>
            <w:tcW w:w="2216" w:type="dxa"/>
          </w:tcPr>
          <w:p w14:paraId="0000022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0.024</w:t>
            </w:r>
          </w:p>
        </w:tc>
      </w:tr>
      <w:tr w:rsidR="00421882" w14:paraId="07DF633C" w14:textId="77777777">
        <w:trPr>
          <w:trHeight w:val="300"/>
          <w:jc w:val="center"/>
        </w:trPr>
        <w:tc>
          <w:tcPr>
            <w:tcW w:w="2416" w:type="dxa"/>
          </w:tcPr>
          <w:p w14:paraId="0000022C"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B4</w:t>
            </w:r>
          </w:p>
        </w:tc>
        <w:tc>
          <w:tcPr>
            <w:tcW w:w="1984" w:type="dxa"/>
          </w:tcPr>
          <w:p w14:paraId="0000022D"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0.070</w:t>
            </w:r>
          </w:p>
        </w:tc>
        <w:tc>
          <w:tcPr>
            <w:tcW w:w="1701" w:type="dxa"/>
            <w:shd w:val="clear" w:color="auto" w:fill="AEAAAA"/>
          </w:tcPr>
          <w:p w14:paraId="0000022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0.690</w:t>
            </w:r>
          </w:p>
        </w:tc>
        <w:tc>
          <w:tcPr>
            <w:tcW w:w="1748" w:type="dxa"/>
          </w:tcPr>
          <w:p w14:paraId="0000022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0.416</w:t>
            </w:r>
          </w:p>
        </w:tc>
        <w:tc>
          <w:tcPr>
            <w:tcW w:w="2216" w:type="dxa"/>
          </w:tcPr>
          <w:p w14:paraId="0000023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0.017</w:t>
            </w:r>
          </w:p>
        </w:tc>
      </w:tr>
      <w:tr w:rsidR="00421882" w14:paraId="1FEE9F5C" w14:textId="77777777">
        <w:trPr>
          <w:trHeight w:val="300"/>
          <w:jc w:val="center"/>
        </w:trPr>
        <w:tc>
          <w:tcPr>
            <w:tcW w:w="2416" w:type="dxa"/>
          </w:tcPr>
          <w:p w14:paraId="0000023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B8</w:t>
            </w:r>
          </w:p>
        </w:tc>
        <w:tc>
          <w:tcPr>
            <w:tcW w:w="1984" w:type="dxa"/>
          </w:tcPr>
          <w:p w14:paraId="0000023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0.277</w:t>
            </w:r>
          </w:p>
        </w:tc>
        <w:tc>
          <w:tcPr>
            <w:tcW w:w="1701" w:type="dxa"/>
            <w:shd w:val="clear" w:color="auto" w:fill="AEAAAA"/>
          </w:tcPr>
          <w:p w14:paraId="00000233"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0.605</w:t>
            </w:r>
          </w:p>
        </w:tc>
        <w:tc>
          <w:tcPr>
            <w:tcW w:w="1748" w:type="dxa"/>
          </w:tcPr>
          <w:p w14:paraId="0000023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0.163</w:t>
            </w:r>
          </w:p>
        </w:tc>
        <w:tc>
          <w:tcPr>
            <w:tcW w:w="2216" w:type="dxa"/>
          </w:tcPr>
          <w:p w14:paraId="0000023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0.238</w:t>
            </w:r>
          </w:p>
        </w:tc>
      </w:tr>
      <w:tr w:rsidR="00421882" w14:paraId="2064467E" w14:textId="77777777">
        <w:trPr>
          <w:trHeight w:val="300"/>
          <w:jc w:val="center"/>
        </w:trPr>
        <w:tc>
          <w:tcPr>
            <w:tcW w:w="2416" w:type="dxa"/>
          </w:tcPr>
          <w:p w14:paraId="00000236"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C2</w:t>
            </w:r>
          </w:p>
        </w:tc>
        <w:tc>
          <w:tcPr>
            <w:tcW w:w="1984" w:type="dxa"/>
          </w:tcPr>
          <w:p w14:paraId="0000023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0.403</w:t>
            </w:r>
          </w:p>
        </w:tc>
        <w:tc>
          <w:tcPr>
            <w:tcW w:w="1701" w:type="dxa"/>
          </w:tcPr>
          <w:p w14:paraId="0000023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0.212</w:t>
            </w:r>
          </w:p>
        </w:tc>
        <w:tc>
          <w:tcPr>
            <w:tcW w:w="1748" w:type="dxa"/>
          </w:tcPr>
          <w:p w14:paraId="0000023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0.195</w:t>
            </w:r>
          </w:p>
        </w:tc>
        <w:tc>
          <w:tcPr>
            <w:tcW w:w="2216" w:type="dxa"/>
            <w:shd w:val="clear" w:color="auto" w:fill="AEAAAA"/>
          </w:tcPr>
          <w:p w14:paraId="0000023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0.695</w:t>
            </w:r>
          </w:p>
        </w:tc>
      </w:tr>
      <w:tr w:rsidR="00421882" w14:paraId="41F120D9" w14:textId="77777777">
        <w:trPr>
          <w:trHeight w:val="320"/>
          <w:jc w:val="center"/>
        </w:trPr>
        <w:tc>
          <w:tcPr>
            <w:tcW w:w="2416" w:type="dxa"/>
          </w:tcPr>
          <w:p w14:paraId="0000023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C3</w:t>
            </w:r>
          </w:p>
        </w:tc>
        <w:tc>
          <w:tcPr>
            <w:tcW w:w="1984" w:type="dxa"/>
          </w:tcPr>
          <w:p w14:paraId="0000023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0.104</w:t>
            </w:r>
          </w:p>
        </w:tc>
        <w:tc>
          <w:tcPr>
            <w:tcW w:w="1701" w:type="dxa"/>
          </w:tcPr>
          <w:p w14:paraId="0000023D"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0.171</w:t>
            </w:r>
          </w:p>
        </w:tc>
        <w:tc>
          <w:tcPr>
            <w:tcW w:w="1748" w:type="dxa"/>
          </w:tcPr>
          <w:p w14:paraId="0000023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0.202</w:t>
            </w:r>
          </w:p>
        </w:tc>
        <w:tc>
          <w:tcPr>
            <w:tcW w:w="2216" w:type="dxa"/>
            <w:shd w:val="clear" w:color="auto" w:fill="AEAAAA"/>
          </w:tcPr>
          <w:p w14:paraId="0000023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0.804</w:t>
            </w:r>
          </w:p>
        </w:tc>
      </w:tr>
      <w:tr w:rsidR="00421882" w14:paraId="5A85ECD6" w14:textId="77777777">
        <w:trPr>
          <w:trHeight w:val="300"/>
          <w:jc w:val="center"/>
        </w:trPr>
        <w:tc>
          <w:tcPr>
            <w:tcW w:w="2416" w:type="dxa"/>
          </w:tcPr>
          <w:p w14:paraId="00000240"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C4</w:t>
            </w:r>
          </w:p>
        </w:tc>
        <w:tc>
          <w:tcPr>
            <w:tcW w:w="1984" w:type="dxa"/>
          </w:tcPr>
          <w:p w14:paraId="0000024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0.340</w:t>
            </w:r>
          </w:p>
        </w:tc>
        <w:tc>
          <w:tcPr>
            <w:tcW w:w="1701" w:type="dxa"/>
          </w:tcPr>
          <w:p w14:paraId="0000024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0.245</w:t>
            </w:r>
          </w:p>
        </w:tc>
        <w:tc>
          <w:tcPr>
            <w:tcW w:w="1748" w:type="dxa"/>
          </w:tcPr>
          <w:p w14:paraId="00000243"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0.152</w:t>
            </w:r>
          </w:p>
        </w:tc>
        <w:tc>
          <w:tcPr>
            <w:tcW w:w="2216" w:type="dxa"/>
            <w:shd w:val="clear" w:color="auto" w:fill="AEAAAA"/>
          </w:tcPr>
          <w:p w14:paraId="0000024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0.662</w:t>
            </w:r>
          </w:p>
        </w:tc>
      </w:tr>
      <w:tr w:rsidR="00421882" w14:paraId="5EDBBCEF" w14:textId="77777777">
        <w:trPr>
          <w:trHeight w:val="300"/>
          <w:jc w:val="center"/>
        </w:trPr>
        <w:tc>
          <w:tcPr>
            <w:tcW w:w="2416" w:type="dxa"/>
          </w:tcPr>
          <w:p w14:paraId="0000024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C5</w:t>
            </w:r>
          </w:p>
        </w:tc>
        <w:tc>
          <w:tcPr>
            <w:tcW w:w="1984" w:type="dxa"/>
          </w:tcPr>
          <w:p w14:paraId="0000024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0.206</w:t>
            </w:r>
          </w:p>
        </w:tc>
        <w:tc>
          <w:tcPr>
            <w:tcW w:w="1701" w:type="dxa"/>
            <w:shd w:val="clear" w:color="auto" w:fill="AEAAAA"/>
          </w:tcPr>
          <w:p w14:paraId="0000024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0.571</w:t>
            </w:r>
          </w:p>
        </w:tc>
        <w:tc>
          <w:tcPr>
            <w:tcW w:w="1748" w:type="dxa"/>
          </w:tcPr>
          <w:p w14:paraId="0000024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0.275</w:t>
            </w:r>
          </w:p>
        </w:tc>
        <w:tc>
          <w:tcPr>
            <w:tcW w:w="2216" w:type="dxa"/>
          </w:tcPr>
          <w:p w14:paraId="0000024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0.459</w:t>
            </w:r>
          </w:p>
        </w:tc>
      </w:tr>
      <w:tr w:rsidR="00421882" w14:paraId="2EEC0BF2" w14:textId="77777777">
        <w:trPr>
          <w:trHeight w:val="300"/>
          <w:jc w:val="center"/>
        </w:trPr>
        <w:tc>
          <w:tcPr>
            <w:tcW w:w="2416" w:type="dxa"/>
          </w:tcPr>
          <w:p w14:paraId="0000024A"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C7</w:t>
            </w:r>
          </w:p>
        </w:tc>
        <w:tc>
          <w:tcPr>
            <w:tcW w:w="1984" w:type="dxa"/>
          </w:tcPr>
          <w:p w14:paraId="0000024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0.138</w:t>
            </w:r>
          </w:p>
        </w:tc>
        <w:tc>
          <w:tcPr>
            <w:tcW w:w="1701" w:type="dxa"/>
            <w:shd w:val="clear" w:color="auto" w:fill="AEAAAA"/>
          </w:tcPr>
          <w:p w14:paraId="0000024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0.691</w:t>
            </w:r>
          </w:p>
        </w:tc>
        <w:tc>
          <w:tcPr>
            <w:tcW w:w="1748" w:type="dxa"/>
          </w:tcPr>
          <w:p w14:paraId="0000024D"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0.224</w:t>
            </w:r>
          </w:p>
        </w:tc>
        <w:tc>
          <w:tcPr>
            <w:tcW w:w="2216" w:type="dxa"/>
          </w:tcPr>
          <w:p w14:paraId="0000024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0.328</w:t>
            </w:r>
          </w:p>
        </w:tc>
      </w:tr>
      <w:tr w:rsidR="00421882" w14:paraId="309304B4" w14:textId="77777777">
        <w:trPr>
          <w:trHeight w:val="300"/>
          <w:jc w:val="center"/>
        </w:trPr>
        <w:tc>
          <w:tcPr>
            <w:tcW w:w="2416" w:type="dxa"/>
          </w:tcPr>
          <w:p w14:paraId="0000024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C8</w:t>
            </w:r>
          </w:p>
        </w:tc>
        <w:tc>
          <w:tcPr>
            <w:tcW w:w="1984" w:type="dxa"/>
          </w:tcPr>
          <w:p w14:paraId="0000025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0.252</w:t>
            </w:r>
          </w:p>
        </w:tc>
        <w:tc>
          <w:tcPr>
            <w:tcW w:w="1701" w:type="dxa"/>
            <w:shd w:val="clear" w:color="auto" w:fill="AEAAAA"/>
          </w:tcPr>
          <w:p w14:paraId="0000025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0.565</w:t>
            </w:r>
          </w:p>
        </w:tc>
        <w:tc>
          <w:tcPr>
            <w:tcW w:w="1748" w:type="dxa"/>
          </w:tcPr>
          <w:p w14:paraId="0000025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0.243</w:t>
            </w:r>
          </w:p>
        </w:tc>
        <w:tc>
          <w:tcPr>
            <w:tcW w:w="2216" w:type="dxa"/>
          </w:tcPr>
          <w:p w14:paraId="00000253"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0.297</w:t>
            </w:r>
          </w:p>
        </w:tc>
      </w:tr>
      <w:tr w:rsidR="00421882" w14:paraId="1328334D" w14:textId="77777777">
        <w:trPr>
          <w:trHeight w:val="300"/>
          <w:jc w:val="center"/>
        </w:trPr>
        <w:tc>
          <w:tcPr>
            <w:tcW w:w="2416" w:type="dxa"/>
          </w:tcPr>
          <w:p w14:paraId="00000254"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D1</w:t>
            </w:r>
          </w:p>
        </w:tc>
        <w:tc>
          <w:tcPr>
            <w:tcW w:w="1984" w:type="dxa"/>
            <w:shd w:val="clear" w:color="auto" w:fill="AEAAAA"/>
          </w:tcPr>
          <w:p w14:paraId="0000025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0.769</w:t>
            </w:r>
          </w:p>
        </w:tc>
        <w:tc>
          <w:tcPr>
            <w:tcW w:w="1701" w:type="dxa"/>
          </w:tcPr>
          <w:p w14:paraId="0000025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-0.020</w:t>
            </w:r>
          </w:p>
        </w:tc>
        <w:tc>
          <w:tcPr>
            <w:tcW w:w="1748" w:type="dxa"/>
          </w:tcPr>
          <w:p w14:paraId="0000025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0.159</w:t>
            </w:r>
          </w:p>
        </w:tc>
        <w:tc>
          <w:tcPr>
            <w:tcW w:w="2216" w:type="dxa"/>
          </w:tcPr>
          <w:p w14:paraId="0000025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0.204</w:t>
            </w:r>
          </w:p>
        </w:tc>
      </w:tr>
      <w:tr w:rsidR="00421882" w14:paraId="0844D683" w14:textId="77777777">
        <w:trPr>
          <w:trHeight w:val="300"/>
          <w:jc w:val="center"/>
        </w:trPr>
        <w:tc>
          <w:tcPr>
            <w:tcW w:w="2416" w:type="dxa"/>
          </w:tcPr>
          <w:p w14:paraId="00000259"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D2</w:t>
            </w:r>
          </w:p>
        </w:tc>
        <w:tc>
          <w:tcPr>
            <w:tcW w:w="1984" w:type="dxa"/>
            <w:shd w:val="clear" w:color="auto" w:fill="AEAAAA"/>
          </w:tcPr>
          <w:p w14:paraId="0000025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0.785</w:t>
            </w:r>
          </w:p>
        </w:tc>
        <w:tc>
          <w:tcPr>
            <w:tcW w:w="1701" w:type="dxa"/>
          </w:tcPr>
          <w:p w14:paraId="0000025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-0.010</w:t>
            </w:r>
          </w:p>
        </w:tc>
        <w:tc>
          <w:tcPr>
            <w:tcW w:w="1748" w:type="dxa"/>
          </w:tcPr>
          <w:p w14:paraId="0000025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0.215</w:t>
            </w:r>
          </w:p>
        </w:tc>
        <w:tc>
          <w:tcPr>
            <w:tcW w:w="2216" w:type="dxa"/>
          </w:tcPr>
          <w:p w14:paraId="0000025D"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0.170</w:t>
            </w:r>
          </w:p>
        </w:tc>
      </w:tr>
      <w:tr w:rsidR="00421882" w14:paraId="53E60248" w14:textId="77777777">
        <w:trPr>
          <w:trHeight w:val="300"/>
          <w:jc w:val="center"/>
        </w:trPr>
        <w:tc>
          <w:tcPr>
            <w:tcW w:w="2416" w:type="dxa"/>
          </w:tcPr>
          <w:p w14:paraId="0000025E"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D3</w:t>
            </w:r>
          </w:p>
        </w:tc>
        <w:tc>
          <w:tcPr>
            <w:tcW w:w="1984" w:type="dxa"/>
            <w:shd w:val="clear" w:color="auto" w:fill="AEAAAA"/>
          </w:tcPr>
          <w:p w14:paraId="0000025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0.567</w:t>
            </w:r>
          </w:p>
        </w:tc>
        <w:tc>
          <w:tcPr>
            <w:tcW w:w="1701" w:type="dxa"/>
          </w:tcPr>
          <w:p w14:paraId="0000026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0.435</w:t>
            </w:r>
          </w:p>
        </w:tc>
        <w:tc>
          <w:tcPr>
            <w:tcW w:w="1748" w:type="dxa"/>
          </w:tcPr>
          <w:p w14:paraId="0000026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0.192</w:t>
            </w:r>
          </w:p>
        </w:tc>
        <w:tc>
          <w:tcPr>
            <w:tcW w:w="2216" w:type="dxa"/>
          </w:tcPr>
          <w:p w14:paraId="00000262"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0.253</w:t>
            </w:r>
          </w:p>
        </w:tc>
      </w:tr>
      <w:tr w:rsidR="00421882" w14:paraId="39F261D1" w14:textId="77777777">
        <w:trPr>
          <w:trHeight w:val="300"/>
          <w:jc w:val="center"/>
        </w:trPr>
        <w:tc>
          <w:tcPr>
            <w:tcW w:w="2416" w:type="dxa"/>
          </w:tcPr>
          <w:p w14:paraId="0000026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D6</w:t>
            </w:r>
          </w:p>
        </w:tc>
        <w:tc>
          <w:tcPr>
            <w:tcW w:w="1984" w:type="dxa"/>
            <w:shd w:val="clear" w:color="auto" w:fill="AEAAAA"/>
          </w:tcPr>
          <w:p w14:paraId="0000026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0.624</w:t>
            </w:r>
          </w:p>
        </w:tc>
        <w:tc>
          <w:tcPr>
            <w:tcW w:w="1701" w:type="dxa"/>
          </w:tcPr>
          <w:p w14:paraId="00000265"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0.471</w:t>
            </w:r>
          </w:p>
        </w:tc>
        <w:tc>
          <w:tcPr>
            <w:tcW w:w="1748" w:type="dxa"/>
          </w:tcPr>
          <w:p w14:paraId="00000266"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-0.018</w:t>
            </w:r>
          </w:p>
        </w:tc>
        <w:tc>
          <w:tcPr>
            <w:tcW w:w="2216" w:type="dxa"/>
          </w:tcPr>
          <w:p w14:paraId="00000267"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0.123</w:t>
            </w:r>
          </w:p>
        </w:tc>
      </w:tr>
      <w:tr w:rsidR="00421882" w14:paraId="229F6AB7" w14:textId="77777777">
        <w:trPr>
          <w:trHeight w:val="300"/>
          <w:jc w:val="center"/>
        </w:trPr>
        <w:tc>
          <w:tcPr>
            <w:tcW w:w="2416" w:type="dxa"/>
          </w:tcPr>
          <w:p w14:paraId="00000268"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D7</w:t>
            </w:r>
          </w:p>
        </w:tc>
        <w:tc>
          <w:tcPr>
            <w:tcW w:w="1984" w:type="dxa"/>
            <w:shd w:val="clear" w:color="auto" w:fill="AEAAAA"/>
          </w:tcPr>
          <w:p w14:paraId="00000269"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0.528</w:t>
            </w:r>
          </w:p>
        </w:tc>
        <w:tc>
          <w:tcPr>
            <w:tcW w:w="1701" w:type="dxa"/>
          </w:tcPr>
          <w:p w14:paraId="0000026A"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0.504</w:t>
            </w:r>
          </w:p>
        </w:tc>
        <w:tc>
          <w:tcPr>
            <w:tcW w:w="1748" w:type="dxa"/>
          </w:tcPr>
          <w:p w14:paraId="0000026B"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-0.054</w:t>
            </w:r>
          </w:p>
        </w:tc>
        <w:tc>
          <w:tcPr>
            <w:tcW w:w="2216" w:type="dxa"/>
          </w:tcPr>
          <w:p w14:paraId="0000026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0.284</w:t>
            </w:r>
          </w:p>
        </w:tc>
      </w:tr>
      <w:tr w:rsidR="00421882" w14:paraId="58CDB583" w14:textId="77777777">
        <w:trPr>
          <w:trHeight w:val="300"/>
          <w:jc w:val="center"/>
        </w:trPr>
        <w:tc>
          <w:tcPr>
            <w:tcW w:w="2416" w:type="dxa"/>
            <w:tcBorders>
              <w:bottom w:val="single" w:sz="4" w:space="0" w:color="000000"/>
            </w:tcBorders>
          </w:tcPr>
          <w:p w14:paraId="0000026D"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D8</w:t>
            </w:r>
          </w:p>
        </w:tc>
        <w:tc>
          <w:tcPr>
            <w:tcW w:w="1984" w:type="dxa"/>
            <w:tcBorders>
              <w:bottom w:val="single" w:sz="4" w:space="0" w:color="000000"/>
            </w:tcBorders>
            <w:shd w:val="clear" w:color="auto" w:fill="AEAAAA"/>
          </w:tcPr>
          <w:p w14:paraId="0000026E"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0.659</w:t>
            </w:r>
          </w:p>
        </w:tc>
        <w:tc>
          <w:tcPr>
            <w:tcW w:w="1701" w:type="dxa"/>
            <w:tcBorders>
              <w:bottom w:val="single" w:sz="4" w:space="0" w:color="000000"/>
            </w:tcBorders>
          </w:tcPr>
          <w:p w14:paraId="0000026F"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0.307</w:t>
            </w:r>
          </w:p>
        </w:tc>
        <w:tc>
          <w:tcPr>
            <w:tcW w:w="1748" w:type="dxa"/>
            <w:tcBorders>
              <w:bottom w:val="single" w:sz="4" w:space="0" w:color="000000"/>
            </w:tcBorders>
          </w:tcPr>
          <w:p w14:paraId="0000027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-0.021</w:t>
            </w:r>
          </w:p>
        </w:tc>
        <w:tc>
          <w:tcPr>
            <w:tcW w:w="2216" w:type="dxa"/>
          </w:tcPr>
          <w:p w14:paraId="00000271"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0.078</w:t>
            </w:r>
          </w:p>
        </w:tc>
      </w:tr>
      <w:tr w:rsidR="00421882" w14:paraId="66B943EB" w14:textId="77777777" w:rsidTr="00CC2A59">
        <w:trPr>
          <w:trHeight w:val="64"/>
          <w:jc w:val="center"/>
        </w:trPr>
        <w:tc>
          <w:tcPr>
            <w:tcW w:w="10065" w:type="dxa"/>
            <w:gridSpan w:val="5"/>
            <w:tcBorders>
              <w:top w:val="single" w:sz="4" w:space="0" w:color="000000"/>
            </w:tcBorders>
          </w:tcPr>
          <w:p w14:paraId="00000272" w14:textId="77777777" w:rsidR="00421882" w:rsidRDefault="00363292" w:rsidP="00CC2A59">
            <w:pPr>
              <w:pBdr>
                <w:top w:val="nil"/>
                <w:left w:val="nil"/>
                <w:bottom w:val="nil"/>
                <w:right w:val="nil"/>
                <w:between w:val="nil"/>
              </w:pBdr>
              <w:spacing w:after="0" w:line="240" w:lineRule="auto"/>
              <w:rPr>
                <w:i/>
                <w:color w:val="000000"/>
                <w:sz w:val="18"/>
                <w:szCs w:val="18"/>
              </w:rPr>
            </w:pPr>
            <w:r>
              <w:rPr>
                <w:i/>
                <w:color w:val="000000"/>
                <w:sz w:val="18"/>
                <w:szCs w:val="18"/>
              </w:rPr>
              <w:t>Extraction Method: Principal Component Analysis. Rotation Method: Varimax with Kaiser Normalization.</w:t>
            </w:r>
          </w:p>
        </w:tc>
      </w:tr>
      <w:tr w:rsidR="00421882" w14:paraId="6C6F8CB3" w14:textId="77777777" w:rsidTr="00CC2A59">
        <w:trPr>
          <w:trHeight w:val="104"/>
          <w:jc w:val="center"/>
        </w:trPr>
        <w:tc>
          <w:tcPr>
            <w:tcW w:w="10065" w:type="dxa"/>
            <w:gridSpan w:val="5"/>
            <w:tcBorders>
              <w:bottom w:val="single" w:sz="12" w:space="0" w:color="000000"/>
            </w:tcBorders>
          </w:tcPr>
          <w:p w14:paraId="00000277" w14:textId="77777777" w:rsidR="00421882" w:rsidRDefault="00363292" w:rsidP="00CC2A59">
            <w:pPr>
              <w:pBdr>
                <w:top w:val="nil"/>
                <w:left w:val="nil"/>
                <w:bottom w:val="nil"/>
                <w:right w:val="nil"/>
                <w:between w:val="nil"/>
              </w:pBdr>
              <w:spacing w:after="0" w:line="240" w:lineRule="auto"/>
              <w:rPr>
                <w:i/>
                <w:color w:val="000000"/>
                <w:sz w:val="18"/>
                <w:szCs w:val="18"/>
              </w:rPr>
            </w:pPr>
            <w:r>
              <w:rPr>
                <w:i/>
                <w:color w:val="000000"/>
                <w:sz w:val="18"/>
                <w:szCs w:val="18"/>
              </w:rPr>
              <w:t>a. Rotation converged in 8 iterations.</w:t>
            </w:r>
          </w:p>
        </w:tc>
      </w:tr>
    </w:tbl>
    <w:p w14:paraId="0000027C" w14:textId="77777777" w:rsidR="00421882" w:rsidRDefault="00421882">
      <w:pPr>
        <w:spacing w:after="0" w:line="240" w:lineRule="auto"/>
        <w:jc w:val="both"/>
        <w:rPr>
          <w:sz w:val="10"/>
          <w:szCs w:val="10"/>
        </w:rPr>
      </w:pPr>
    </w:p>
    <w:p w14:paraId="0000027F" w14:textId="66000D5C" w:rsidR="00421882" w:rsidRDefault="00363292">
      <w:pPr>
        <w:spacing w:after="0" w:line="240" w:lineRule="auto"/>
        <w:jc w:val="both"/>
      </w:pPr>
      <w:r>
        <w:t>Based on Table 5, Table 6 presents the new clustering of the group and the items for each of the clusters. Factor 1 is labeled as the domain that concerns Physical Health, factor 2 involves Task Management, factor 3 involves Valuing, and the last one involves Relating to Oneself and Others.</w:t>
      </w:r>
    </w:p>
    <w:p w14:paraId="2B0D63E8" w14:textId="70B7994C" w:rsidR="00CC2A59" w:rsidRDefault="00CC2A59">
      <w:pPr>
        <w:spacing w:after="0" w:line="240" w:lineRule="auto"/>
        <w:jc w:val="both"/>
        <w:rPr>
          <w:sz w:val="10"/>
          <w:szCs w:val="10"/>
        </w:rPr>
      </w:pPr>
    </w:p>
    <w:p w14:paraId="200BC78F" w14:textId="399899BA" w:rsidR="00CC2A59" w:rsidRPr="00CC2A59" w:rsidRDefault="00CC2A59" w:rsidP="00CC2A59">
      <w:pPr>
        <w:spacing w:after="0" w:line="240" w:lineRule="auto"/>
        <w:jc w:val="both"/>
        <w:rPr>
          <w:sz w:val="10"/>
          <w:szCs w:val="10"/>
        </w:rPr>
      </w:pPr>
      <w:r>
        <w:rPr>
          <w:b/>
          <w:bCs/>
          <w:color w:val="000000"/>
        </w:rPr>
        <w:t>Table 6.</w:t>
      </w:r>
      <w:r>
        <w:rPr>
          <w:color w:val="000000"/>
        </w:rPr>
        <w:t xml:space="preserve"> New clustering or factors of the items</w:t>
      </w:r>
    </w:p>
    <w:tbl>
      <w:tblPr>
        <w:tblStyle w:val="a4"/>
        <w:tblW w:w="10070" w:type="dxa"/>
        <w:tblBorders>
          <w:top w:val="nil"/>
          <w:left w:val="nil"/>
          <w:bottom w:val="nil"/>
          <w:right w:val="nil"/>
          <w:insideH w:val="nil"/>
          <w:insideV w:val="nil"/>
        </w:tblBorders>
        <w:tblLayout w:type="fixed"/>
        <w:tblLook w:val="0400" w:firstRow="0" w:lastRow="0" w:firstColumn="0" w:lastColumn="0" w:noHBand="0" w:noVBand="1"/>
      </w:tblPr>
      <w:tblGrid>
        <w:gridCol w:w="1253"/>
        <w:gridCol w:w="1566"/>
        <w:gridCol w:w="709"/>
        <w:gridCol w:w="6542"/>
      </w:tblGrid>
      <w:tr w:rsidR="00421882" w14:paraId="0E759250" w14:textId="77777777">
        <w:tc>
          <w:tcPr>
            <w:tcW w:w="1253" w:type="dxa"/>
            <w:tcBorders>
              <w:top w:val="single" w:sz="12" w:space="0" w:color="000000"/>
              <w:bottom w:val="single" w:sz="4" w:space="0" w:color="000000"/>
            </w:tcBorders>
            <w:vAlign w:val="center"/>
          </w:tcPr>
          <w:p w14:paraId="00000281" w14:textId="77777777" w:rsidR="00421882" w:rsidRDefault="00363292">
            <w:pPr>
              <w:pBdr>
                <w:top w:val="nil"/>
                <w:left w:val="nil"/>
                <w:bottom w:val="nil"/>
                <w:right w:val="nil"/>
                <w:between w:val="nil"/>
              </w:pBdr>
              <w:spacing w:after="0" w:line="240" w:lineRule="auto"/>
              <w:jc w:val="center"/>
              <w:rPr>
                <w:b/>
                <w:color w:val="000000"/>
              </w:rPr>
            </w:pPr>
            <w:r>
              <w:rPr>
                <w:b/>
                <w:color w:val="000000"/>
              </w:rPr>
              <w:t>Cluster or Factor</w:t>
            </w:r>
          </w:p>
        </w:tc>
        <w:tc>
          <w:tcPr>
            <w:tcW w:w="1566" w:type="dxa"/>
            <w:tcBorders>
              <w:top w:val="single" w:sz="12" w:space="0" w:color="000000"/>
              <w:bottom w:val="single" w:sz="4" w:space="0" w:color="000000"/>
            </w:tcBorders>
            <w:vAlign w:val="center"/>
          </w:tcPr>
          <w:p w14:paraId="00000282" w14:textId="77777777" w:rsidR="00421882" w:rsidRDefault="00363292">
            <w:pPr>
              <w:pBdr>
                <w:top w:val="nil"/>
                <w:left w:val="nil"/>
                <w:bottom w:val="nil"/>
                <w:right w:val="nil"/>
                <w:between w:val="nil"/>
              </w:pBdr>
              <w:spacing w:after="0" w:line="240" w:lineRule="auto"/>
              <w:jc w:val="center"/>
              <w:rPr>
                <w:b/>
                <w:color w:val="000000"/>
              </w:rPr>
            </w:pPr>
            <w:r>
              <w:rPr>
                <w:b/>
                <w:color w:val="000000"/>
              </w:rPr>
              <w:t>Factor Labels</w:t>
            </w:r>
          </w:p>
        </w:tc>
        <w:tc>
          <w:tcPr>
            <w:tcW w:w="709" w:type="dxa"/>
            <w:tcBorders>
              <w:top w:val="single" w:sz="12" w:space="0" w:color="000000"/>
              <w:bottom w:val="single" w:sz="4" w:space="0" w:color="000000"/>
            </w:tcBorders>
            <w:vAlign w:val="center"/>
          </w:tcPr>
          <w:p w14:paraId="00000283" w14:textId="77777777" w:rsidR="00421882" w:rsidRDefault="00363292">
            <w:pPr>
              <w:pBdr>
                <w:top w:val="nil"/>
                <w:left w:val="nil"/>
                <w:bottom w:val="nil"/>
                <w:right w:val="nil"/>
                <w:between w:val="nil"/>
              </w:pBdr>
              <w:spacing w:after="0" w:line="240" w:lineRule="auto"/>
              <w:jc w:val="center"/>
              <w:rPr>
                <w:b/>
                <w:color w:val="000000"/>
              </w:rPr>
            </w:pPr>
            <w:r>
              <w:rPr>
                <w:b/>
                <w:color w:val="000000"/>
              </w:rPr>
              <w:t>Code</w:t>
            </w:r>
          </w:p>
        </w:tc>
        <w:tc>
          <w:tcPr>
            <w:tcW w:w="6542" w:type="dxa"/>
            <w:tcBorders>
              <w:top w:val="single" w:sz="12" w:space="0" w:color="000000"/>
              <w:bottom w:val="single" w:sz="4" w:space="0" w:color="000000"/>
            </w:tcBorders>
            <w:vAlign w:val="center"/>
          </w:tcPr>
          <w:p w14:paraId="00000284" w14:textId="77777777" w:rsidR="00421882" w:rsidRDefault="00363292">
            <w:pPr>
              <w:pBdr>
                <w:top w:val="nil"/>
                <w:left w:val="nil"/>
                <w:bottom w:val="nil"/>
                <w:right w:val="nil"/>
                <w:between w:val="nil"/>
              </w:pBdr>
              <w:spacing w:after="0" w:line="240" w:lineRule="auto"/>
              <w:rPr>
                <w:b/>
                <w:color w:val="000000"/>
              </w:rPr>
            </w:pPr>
            <w:r>
              <w:rPr>
                <w:b/>
                <w:color w:val="000000"/>
              </w:rPr>
              <w:t>In the past two months, I have been experiencing the following because of our online classes:</w:t>
            </w:r>
          </w:p>
        </w:tc>
      </w:tr>
      <w:tr w:rsidR="00421882" w14:paraId="4F7AAE19" w14:textId="77777777">
        <w:tc>
          <w:tcPr>
            <w:tcW w:w="1253" w:type="dxa"/>
            <w:vMerge w:val="restart"/>
            <w:tcBorders>
              <w:top w:val="single" w:sz="4" w:space="0" w:color="000000"/>
            </w:tcBorders>
          </w:tcPr>
          <w:p w14:paraId="00000285"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1</w:t>
            </w:r>
          </w:p>
        </w:tc>
        <w:tc>
          <w:tcPr>
            <w:tcW w:w="1566" w:type="dxa"/>
            <w:vMerge w:val="restart"/>
            <w:tcBorders>
              <w:top w:val="single" w:sz="4" w:space="0" w:color="000000"/>
            </w:tcBorders>
          </w:tcPr>
          <w:p w14:paraId="00000286"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Physical Health</w:t>
            </w:r>
          </w:p>
        </w:tc>
        <w:tc>
          <w:tcPr>
            <w:tcW w:w="709" w:type="dxa"/>
            <w:tcBorders>
              <w:top w:val="single" w:sz="4" w:space="0" w:color="000000"/>
            </w:tcBorders>
          </w:tcPr>
          <w:p w14:paraId="0000028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B1</w:t>
            </w:r>
          </w:p>
        </w:tc>
        <w:tc>
          <w:tcPr>
            <w:tcW w:w="6542" w:type="dxa"/>
            <w:tcBorders>
              <w:top w:val="single" w:sz="4" w:space="0" w:color="000000"/>
            </w:tcBorders>
          </w:tcPr>
          <w:p w14:paraId="0000028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lacking appetite or overeating</w:t>
            </w:r>
          </w:p>
        </w:tc>
      </w:tr>
      <w:tr w:rsidR="00421882" w14:paraId="3075E746" w14:textId="77777777">
        <w:tc>
          <w:tcPr>
            <w:tcW w:w="1253" w:type="dxa"/>
            <w:vMerge/>
            <w:tcBorders>
              <w:top w:val="single" w:sz="4" w:space="0" w:color="000000"/>
            </w:tcBorders>
          </w:tcPr>
          <w:p w14:paraId="00000289"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8A"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8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D1</w:t>
            </w:r>
          </w:p>
        </w:tc>
        <w:tc>
          <w:tcPr>
            <w:tcW w:w="6542" w:type="dxa"/>
          </w:tcPr>
          <w:p w14:paraId="0000028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rapid heartbeat/palpitations</w:t>
            </w:r>
          </w:p>
        </w:tc>
      </w:tr>
      <w:tr w:rsidR="00421882" w14:paraId="36363B60" w14:textId="77777777">
        <w:tc>
          <w:tcPr>
            <w:tcW w:w="1253" w:type="dxa"/>
            <w:vMerge/>
            <w:tcBorders>
              <w:top w:val="single" w:sz="4" w:space="0" w:color="000000"/>
            </w:tcBorders>
          </w:tcPr>
          <w:p w14:paraId="0000028D"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8E"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8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D2</w:t>
            </w:r>
          </w:p>
        </w:tc>
        <w:tc>
          <w:tcPr>
            <w:tcW w:w="6542" w:type="dxa"/>
          </w:tcPr>
          <w:p w14:paraId="0000029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breathing</w:t>
            </w:r>
          </w:p>
        </w:tc>
      </w:tr>
      <w:tr w:rsidR="00421882" w14:paraId="5990AEA3" w14:textId="77777777">
        <w:tc>
          <w:tcPr>
            <w:tcW w:w="1253" w:type="dxa"/>
            <w:vMerge/>
            <w:tcBorders>
              <w:top w:val="single" w:sz="4" w:space="0" w:color="000000"/>
            </w:tcBorders>
          </w:tcPr>
          <w:p w14:paraId="00000291"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92"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9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D3</w:t>
            </w:r>
          </w:p>
        </w:tc>
        <w:tc>
          <w:tcPr>
            <w:tcW w:w="6542" w:type="dxa"/>
          </w:tcPr>
          <w:p w14:paraId="0000029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low energy</w:t>
            </w:r>
          </w:p>
        </w:tc>
      </w:tr>
      <w:tr w:rsidR="00421882" w14:paraId="1E88781C" w14:textId="77777777">
        <w:tc>
          <w:tcPr>
            <w:tcW w:w="1253" w:type="dxa"/>
            <w:vMerge/>
            <w:tcBorders>
              <w:top w:val="single" w:sz="4" w:space="0" w:color="000000"/>
            </w:tcBorders>
          </w:tcPr>
          <w:p w14:paraId="00000295"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96"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9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D6</w:t>
            </w:r>
          </w:p>
        </w:tc>
        <w:tc>
          <w:tcPr>
            <w:tcW w:w="6542" w:type="dxa"/>
          </w:tcPr>
          <w:p w14:paraId="0000029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headaches</w:t>
            </w:r>
          </w:p>
        </w:tc>
      </w:tr>
      <w:tr w:rsidR="00421882" w14:paraId="74749C4A" w14:textId="77777777">
        <w:tc>
          <w:tcPr>
            <w:tcW w:w="1253" w:type="dxa"/>
            <w:vMerge/>
            <w:tcBorders>
              <w:top w:val="single" w:sz="4" w:space="0" w:color="000000"/>
            </w:tcBorders>
          </w:tcPr>
          <w:p w14:paraId="00000299"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9A"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9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D7</w:t>
            </w:r>
          </w:p>
        </w:tc>
        <w:tc>
          <w:tcPr>
            <w:tcW w:w="6542" w:type="dxa"/>
          </w:tcPr>
          <w:p w14:paraId="0000029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sleeping</w:t>
            </w:r>
          </w:p>
        </w:tc>
      </w:tr>
      <w:tr w:rsidR="00421882" w14:paraId="389CC615" w14:textId="77777777">
        <w:tc>
          <w:tcPr>
            <w:tcW w:w="1253" w:type="dxa"/>
            <w:vMerge/>
            <w:tcBorders>
              <w:top w:val="single" w:sz="4" w:space="0" w:color="000000"/>
            </w:tcBorders>
          </w:tcPr>
          <w:p w14:paraId="0000029D"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9E"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9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D8</w:t>
            </w:r>
          </w:p>
        </w:tc>
        <w:tc>
          <w:tcPr>
            <w:tcW w:w="6542" w:type="dxa"/>
          </w:tcPr>
          <w:p w14:paraId="000002A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muscle aches and pains</w:t>
            </w:r>
          </w:p>
        </w:tc>
      </w:tr>
      <w:tr w:rsidR="00421882" w14:paraId="7167EF90" w14:textId="77777777">
        <w:tc>
          <w:tcPr>
            <w:tcW w:w="1253" w:type="dxa"/>
            <w:vMerge w:val="restart"/>
            <w:tcBorders>
              <w:top w:val="single" w:sz="4" w:space="0" w:color="000000"/>
            </w:tcBorders>
          </w:tcPr>
          <w:p w14:paraId="000002A1"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2</w:t>
            </w:r>
          </w:p>
        </w:tc>
        <w:tc>
          <w:tcPr>
            <w:tcW w:w="1566" w:type="dxa"/>
            <w:vMerge w:val="restart"/>
            <w:tcBorders>
              <w:top w:val="single" w:sz="4" w:space="0" w:color="000000"/>
            </w:tcBorders>
          </w:tcPr>
          <w:p w14:paraId="000002A2" w14:textId="77777777" w:rsidR="00421882" w:rsidRDefault="00363292">
            <w:pPr>
              <w:pBdr>
                <w:top w:val="nil"/>
                <w:left w:val="nil"/>
                <w:bottom w:val="nil"/>
                <w:right w:val="nil"/>
                <w:between w:val="nil"/>
              </w:pBdr>
              <w:spacing w:after="0" w:line="240" w:lineRule="auto"/>
              <w:jc w:val="center"/>
              <w:rPr>
                <w:b/>
                <w:color w:val="000000"/>
                <w:sz w:val="20"/>
                <w:szCs w:val="20"/>
              </w:rPr>
            </w:pPr>
            <w:r>
              <w:rPr>
                <w:b/>
                <w:color w:val="000000"/>
                <w:sz w:val="20"/>
                <w:szCs w:val="20"/>
              </w:rPr>
              <w:t>Task Management</w:t>
            </w:r>
          </w:p>
        </w:tc>
        <w:tc>
          <w:tcPr>
            <w:tcW w:w="709" w:type="dxa"/>
            <w:tcBorders>
              <w:top w:val="single" w:sz="4" w:space="0" w:color="000000"/>
            </w:tcBorders>
          </w:tcPr>
          <w:p w14:paraId="000002A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B3</w:t>
            </w:r>
          </w:p>
        </w:tc>
        <w:tc>
          <w:tcPr>
            <w:tcW w:w="6542" w:type="dxa"/>
            <w:tcBorders>
              <w:top w:val="single" w:sz="4" w:space="0" w:color="000000"/>
            </w:tcBorders>
          </w:tcPr>
          <w:p w14:paraId="000002A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avoiding my responsibilities more than I used to</w:t>
            </w:r>
          </w:p>
        </w:tc>
      </w:tr>
      <w:tr w:rsidR="00421882" w14:paraId="3B5E62A5" w14:textId="77777777">
        <w:tc>
          <w:tcPr>
            <w:tcW w:w="1253" w:type="dxa"/>
            <w:vMerge/>
            <w:tcBorders>
              <w:top w:val="single" w:sz="4" w:space="0" w:color="000000"/>
            </w:tcBorders>
          </w:tcPr>
          <w:p w14:paraId="000002A5"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A6"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A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B4</w:t>
            </w:r>
          </w:p>
        </w:tc>
        <w:tc>
          <w:tcPr>
            <w:tcW w:w="6542" w:type="dxa"/>
          </w:tcPr>
          <w:p w14:paraId="000002A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delaying my tasks more often than I usually do</w:t>
            </w:r>
          </w:p>
        </w:tc>
      </w:tr>
      <w:tr w:rsidR="00421882" w14:paraId="2EFB2D2F" w14:textId="77777777">
        <w:tc>
          <w:tcPr>
            <w:tcW w:w="1253" w:type="dxa"/>
            <w:vMerge/>
            <w:tcBorders>
              <w:top w:val="single" w:sz="4" w:space="0" w:color="000000"/>
            </w:tcBorders>
          </w:tcPr>
          <w:p w14:paraId="000002A9"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AA"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AB"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B8</w:t>
            </w:r>
          </w:p>
        </w:tc>
        <w:tc>
          <w:tcPr>
            <w:tcW w:w="6542" w:type="dxa"/>
          </w:tcPr>
          <w:p w14:paraId="000002AC"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deciding on what to do first</w:t>
            </w:r>
          </w:p>
        </w:tc>
      </w:tr>
      <w:tr w:rsidR="00421882" w14:paraId="7501245C" w14:textId="77777777">
        <w:tc>
          <w:tcPr>
            <w:tcW w:w="1253" w:type="dxa"/>
            <w:vMerge/>
            <w:tcBorders>
              <w:top w:val="single" w:sz="4" w:space="0" w:color="000000"/>
            </w:tcBorders>
          </w:tcPr>
          <w:p w14:paraId="000002AD"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AE"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AF"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C5</w:t>
            </w:r>
          </w:p>
        </w:tc>
        <w:tc>
          <w:tcPr>
            <w:tcW w:w="6542" w:type="dxa"/>
          </w:tcPr>
          <w:p w14:paraId="000002B0"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getting myself to perform the task that I am required to do</w:t>
            </w:r>
          </w:p>
        </w:tc>
      </w:tr>
      <w:tr w:rsidR="00421882" w14:paraId="47DCD7C8" w14:textId="77777777">
        <w:tc>
          <w:tcPr>
            <w:tcW w:w="1253" w:type="dxa"/>
            <w:vMerge/>
            <w:tcBorders>
              <w:top w:val="single" w:sz="4" w:space="0" w:color="000000"/>
            </w:tcBorders>
          </w:tcPr>
          <w:p w14:paraId="000002B1"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00002B2"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Pr>
          <w:p w14:paraId="000002B3"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C7</w:t>
            </w:r>
          </w:p>
        </w:tc>
        <w:tc>
          <w:tcPr>
            <w:tcW w:w="6542" w:type="dxa"/>
          </w:tcPr>
          <w:p w14:paraId="000002B4"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 xml:space="preserve">difficulty in managing the task assigned to me </w:t>
            </w:r>
            <w:proofErr w:type="gramStart"/>
            <w:r>
              <w:rPr>
                <w:color w:val="000000"/>
                <w:sz w:val="20"/>
                <w:szCs w:val="20"/>
              </w:rPr>
              <w:t>in a given</w:t>
            </w:r>
            <w:proofErr w:type="gramEnd"/>
            <w:r>
              <w:rPr>
                <w:color w:val="000000"/>
                <w:sz w:val="20"/>
                <w:szCs w:val="20"/>
              </w:rPr>
              <w:t xml:space="preserve"> period of time</w:t>
            </w:r>
          </w:p>
        </w:tc>
      </w:tr>
      <w:tr w:rsidR="00421882" w14:paraId="7E4EDEF5" w14:textId="77777777" w:rsidTr="00CC2A59">
        <w:tc>
          <w:tcPr>
            <w:tcW w:w="1253" w:type="dxa"/>
            <w:vMerge/>
            <w:tcBorders>
              <w:top w:val="single" w:sz="4" w:space="0" w:color="000000"/>
              <w:bottom w:val="single" w:sz="8" w:space="0" w:color="auto"/>
            </w:tcBorders>
          </w:tcPr>
          <w:p w14:paraId="000002B5"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bottom w:val="single" w:sz="8" w:space="0" w:color="auto"/>
            </w:tcBorders>
          </w:tcPr>
          <w:p w14:paraId="000002B6" w14:textId="77777777" w:rsidR="00421882" w:rsidRDefault="00421882">
            <w:pPr>
              <w:widowControl w:val="0"/>
              <w:pBdr>
                <w:top w:val="nil"/>
                <w:left w:val="nil"/>
                <w:bottom w:val="nil"/>
                <w:right w:val="nil"/>
                <w:between w:val="nil"/>
              </w:pBdr>
              <w:spacing w:after="0" w:line="276" w:lineRule="auto"/>
              <w:rPr>
                <w:color w:val="000000"/>
                <w:sz w:val="20"/>
                <w:szCs w:val="20"/>
              </w:rPr>
            </w:pPr>
          </w:p>
        </w:tc>
        <w:tc>
          <w:tcPr>
            <w:tcW w:w="709" w:type="dxa"/>
            <w:tcBorders>
              <w:bottom w:val="single" w:sz="4" w:space="0" w:color="000000"/>
            </w:tcBorders>
          </w:tcPr>
          <w:p w14:paraId="000002B7" w14:textId="77777777" w:rsidR="00421882" w:rsidRDefault="00363292">
            <w:pPr>
              <w:pBdr>
                <w:top w:val="nil"/>
                <w:left w:val="nil"/>
                <w:bottom w:val="nil"/>
                <w:right w:val="nil"/>
                <w:between w:val="nil"/>
              </w:pBdr>
              <w:spacing w:after="0" w:line="240" w:lineRule="auto"/>
              <w:jc w:val="center"/>
              <w:rPr>
                <w:color w:val="000000"/>
                <w:sz w:val="20"/>
                <w:szCs w:val="20"/>
              </w:rPr>
            </w:pPr>
            <w:r>
              <w:rPr>
                <w:color w:val="000000"/>
                <w:sz w:val="20"/>
                <w:szCs w:val="20"/>
              </w:rPr>
              <w:t>C8</w:t>
            </w:r>
          </w:p>
        </w:tc>
        <w:tc>
          <w:tcPr>
            <w:tcW w:w="6542" w:type="dxa"/>
            <w:tcBorders>
              <w:bottom w:val="single" w:sz="4" w:space="0" w:color="000000"/>
            </w:tcBorders>
          </w:tcPr>
          <w:p w14:paraId="000002B8" w14:textId="77777777" w:rsidR="00421882" w:rsidRDefault="00363292">
            <w:pPr>
              <w:pBdr>
                <w:top w:val="nil"/>
                <w:left w:val="nil"/>
                <w:bottom w:val="nil"/>
                <w:right w:val="nil"/>
                <w:between w:val="nil"/>
              </w:pBdr>
              <w:spacing w:after="0" w:line="240" w:lineRule="auto"/>
              <w:jc w:val="both"/>
              <w:rPr>
                <w:color w:val="000000"/>
                <w:sz w:val="20"/>
                <w:szCs w:val="20"/>
              </w:rPr>
            </w:pPr>
            <w:r>
              <w:rPr>
                <w:color w:val="000000"/>
                <w:sz w:val="20"/>
                <w:szCs w:val="20"/>
              </w:rPr>
              <w:t>difficulty in studying my lesson with enthusiasm</w:t>
            </w:r>
          </w:p>
        </w:tc>
      </w:tr>
    </w:tbl>
    <w:p w14:paraId="04659E33" w14:textId="77777777" w:rsidR="00CC2A59" w:rsidRDefault="00CC2A59">
      <w:pPr>
        <w:pBdr>
          <w:top w:val="nil"/>
          <w:left w:val="nil"/>
          <w:bottom w:val="nil"/>
          <w:right w:val="nil"/>
          <w:between w:val="nil"/>
        </w:pBdr>
        <w:spacing w:after="0" w:line="240" w:lineRule="auto"/>
        <w:jc w:val="both"/>
        <w:rPr>
          <w:color w:val="000000"/>
        </w:rPr>
      </w:pPr>
    </w:p>
    <w:tbl>
      <w:tblPr>
        <w:tblStyle w:val="a4"/>
        <w:tblW w:w="10070" w:type="dxa"/>
        <w:tblBorders>
          <w:top w:val="nil"/>
          <w:left w:val="nil"/>
          <w:bottom w:val="nil"/>
          <w:right w:val="nil"/>
          <w:insideH w:val="nil"/>
          <w:insideV w:val="nil"/>
        </w:tblBorders>
        <w:tblLayout w:type="fixed"/>
        <w:tblLook w:val="0400" w:firstRow="0" w:lastRow="0" w:firstColumn="0" w:lastColumn="0" w:noHBand="0" w:noVBand="1"/>
      </w:tblPr>
      <w:tblGrid>
        <w:gridCol w:w="1253"/>
        <w:gridCol w:w="1566"/>
        <w:gridCol w:w="709"/>
        <w:gridCol w:w="6542"/>
      </w:tblGrid>
      <w:tr w:rsidR="00CC2A59" w14:paraId="7C0BE59F" w14:textId="77777777" w:rsidTr="00CF5F46">
        <w:tc>
          <w:tcPr>
            <w:tcW w:w="1253" w:type="dxa"/>
            <w:vMerge w:val="restart"/>
            <w:tcBorders>
              <w:top w:val="single" w:sz="4" w:space="0" w:color="000000"/>
            </w:tcBorders>
          </w:tcPr>
          <w:p w14:paraId="267B4124"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lastRenderedPageBreak/>
              <w:t>3</w:t>
            </w:r>
          </w:p>
        </w:tc>
        <w:tc>
          <w:tcPr>
            <w:tcW w:w="1566" w:type="dxa"/>
            <w:vMerge w:val="restart"/>
            <w:tcBorders>
              <w:top w:val="single" w:sz="4" w:space="0" w:color="000000"/>
            </w:tcBorders>
          </w:tcPr>
          <w:p w14:paraId="617ECC8E" w14:textId="77777777" w:rsidR="00CC2A59" w:rsidRDefault="00CC2A59" w:rsidP="00CF5F46">
            <w:pPr>
              <w:pBdr>
                <w:top w:val="nil"/>
                <w:left w:val="nil"/>
                <w:bottom w:val="nil"/>
                <w:right w:val="nil"/>
                <w:between w:val="nil"/>
              </w:pBdr>
              <w:spacing w:after="0" w:line="240" w:lineRule="auto"/>
              <w:jc w:val="center"/>
              <w:rPr>
                <w:b/>
                <w:color w:val="000000"/>
                <w:sz w:val="20"/>
                <w:szCs w:val="20"/>
              </w:rPr>
            </w:pPr>
            <w:r>
              <w:rPr>
                <w:b/>
                <w:color w:val="000000"/>
                <w:sz w:val="20"/>
                <w:szCs w:val="20"/>
              </w:rPr>
              <w:t>Valuing</w:t>
            </w:r>
          </w:p>
        </w:tc>
        <w:tc>
          <w:tcPr>
            <w:tcW w:w="709" w:type="dxa"/>
            <w:tcBorders>
              <w:top w:val="single" w:sz="4" w:space="0" w:color="000000"/>
            </w:tcBorders>
          </w:tcPr>
          <w:p w14:paraId="587A528E"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A5</w:t>
            </w:r>
          </w:p>
        </w:tc>
        <w:tc>
          <w:tcPr>
            <w:tcW w:w="6542" w:type="dxa"/>
            <w:tcBorders>
              <w:top w:val="single" w:sz="4" w:space="0" w:color="000000"/>
            </w:tcBorders>
          </w:tcPr>
          <w:p w14:paraId="67BDEBCC"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not thinking enough before I act</w:t>
            </w:r>
          </w:p>
        </w:tc>
      </w:tr>
      <w:tr w:rsidR="00CC2A59" w14:paraId="249240D5" w14:textId="77777777" w:rsidTr="00CF5F46">
        <w:tc>
          <w:tcPr>
            <w:tcW w:w="1253" w:type="dxa"/>
            <w:vMerge/>
            <w:tcBorders>
              <w:top w:val="single" w:sz="4" w:space="0" w:color="000000"/>
            </w:tcBorders>
          </w:tcPr>
          <w:p w14:paraId="6F74EFE8"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74248DE4"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709" w:type="dxa"/>
          </w:tcPr>
          <w:p w14:paraId="39645259"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A6</w:t>
            </w:r>
          </w:p>
        </w:tc>
        <w:tc>
          <w:tcPr>
            <w:tcW w:w="6542" w:type="dxa"/>
          </w:tcPr>
          <w:p w14:paraId="58B7F72C"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not thinking enough before I make decisions</w:t>
            </w:r>
          </w:p>
        </w:tc>
      </w:tr>
      <w:tr w:rsidR="00CC2A59" w14:paraId="1EAC305E" w14:textId="77777777" w:rsidTr="00CF5F46">
        <w:tc>
          <w:tcPr>
            <w:tcW w:w="1253" w:type="dxa"/>
            <w:vMerge/>
            <w:tcBorders>
              <w:top w:val="single" w:sz="4" w:space="0" w:color="000000"/>
            </w:tcBorders>
          </w:tcPr>
          <w:p w14:paraId="19CDE9CC"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0B8EF65A"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709" w:type="dxa"/>
          </w:tcPr>
          <w:p w14:paraId="068D99DD"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A7</w:t>
            </w:r>
          </w:p>
        </w:tc>
        <w:tc>
          <w:tcPr>
            <w:tcW w:w="6542" w:type="dxa"/>
          </w:tcPr>
          <w:p w14:paraId="01546B7C"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not having a goal in doing things</w:t>
            </w:r>
          </w:p>
        </w:tc>
      </w:tr>
      <w:tr w:rsidR="00CC2A59" w14:paraId="6364D6D4" w14:textId="77777777" w:rsidTr="00CF5F46">
        <w:tc>
          <w:tcPr>
            <w:tcW w:w="1253" w:type="dxa"/>
            <w:vMerge/>
            <w:tcBorders>
              <w:top w:val="single" w:sz="4" w:space="0" w:color="000000"/>
            </w:tcBorders>
          </w:tcPr>
          <w:p w14:paraId="4EC84217"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1566" w:type="dxa"/>
            <w:vMerge/>
            <w:tcBorders>
              <w:top w:val="single" w:sz="4" w:space="0" w:color="000000"/>
            </w:tcBorders>
          </w:tcPr>
          <w:p w14:paraId="739C5DAF"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709" w:type="dxa"/>
            <w:tcBorders>
              <w:bottom w:val="single" w:sz="4" w:space="0" w:color="000000"/>
            </w:tcBorders>
          </w:tcPr>
          <w:p w14:paraId="50C2E554"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A8</w:t>
            </w:r>
          </w:p>
        </w:tc>
        <w:tc>
          <w:tcPr>
            <w:tcW w:w="6542" w:type="dxa"/>
            <w:tcBorders>
              <w:bottom w:val="single" w:sz="4" w:space="0" w:color="000000"/>
            </w:tcBorders>
          </w:tcPr>
          <w:p w14:paraId="5FE4B0F0"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not realizing the importance of the things I do</w:t>
            </w:r>
          </w:p>
        </w:tc>
      </w:tr>
      <w:tr w:rsidR="00CC2A59" w14:paraId="2563DA43" w14:textId="77777777" w:rsidTr="00CF5F46">
        <w:tc>
          <w:tcPr>
            <w:tcW w:w="1253" w:type="dxa"/>
            <w:vMerge w:val="restart"/>
            <w:tcBorders>
              <w:top w:val="single" w:sz="4" w:space="0" w:color="000000"/>
            </w:tcBorders>
          </w:tcPr>
          <w:p w14:paraId="2E927595"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4</w:t>
            </w:r>
          </w:p>
        </w:tc>
        <w:tc>
          <w:tcPr>
            <w:tcW w:w="1566" w:type="dxa"/>
            <w:tcBorders>
              <w:top w:val="single" w:sz="4" w:space="0" w:color="000000"/>
            </w:tcBorders>
          </w:tcPr>
          <w:p w14:paraId="43B5A48E" w14:textId="77777777" w:rsidR="00CC2A59" w:rsidRDefault="00CC2A59" w:rsidP="00CF5F46">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Relating to </w:t>
            </w:r>
          </w:p>
        </w:tc>
        <w:tc>
          <w:tcPr>
            <w:tcW w:w="709" w:type="dxa"/>
            <w:tcBorders>
              <w:top w:val="single" w:sz="4" w:space="0" w:color="000000"/>
            </w:tcBorders>
          </w:tcPr>
          <w:p w14:paraId="2A76A3BE"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C2</w:t>
            </w:r>
          </w:p>
        </w:tc>
        <w:tc>
          <w:tcPr>
            <w:tcW w:w="6542" w:type="dxa"/>
            <w:tcBorders>
              <w:top w:val="single" w:sz="4" w:space="0" w:color="000000"/>
            </w:tcBorders>
          </w:tcPr>
          <w:p w14:paraId="247486CB"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difficulty in understanding myself</w:t>
            </w:r>
          </w:p>
        </w:tc>
      </w:tr>
      <w:tr w:rsidR="00CC2A59" w14:paraId="7428C0CA" w14:textId="77777777" w:rsidTr="00CF5F46">
        <w:tc>
          <w:tcPr>
            <w:tcW w:w="1253" w:type="dxa"/>
            <w:vMerge/>
            <w:tcBorders>
              <w:top w:val="single" w:sz="4" w:space="0" w:color="000000"/>
            </w:tcBorders>
          </w:tcPr>
          <w:p w14:paraId="02B8FEE1"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1566" w:type="dxa"/>
          </w:tcPr>
          <w:p w14:paraId="0E16BC9B" w14:textId="77777777" w:rsidR="00CC2A59" w:rsidRDefault="00CC2A59" w:rsidP="00CF5F46">
            <w:pPr>
              <w:spacing w:after="0" w:line="240" w:lineRule="auto"/>
              <w:jc w:val="center"/>
              <w:rPr>
                <w:color w:val="000000"/>
                <w:sz w:val="20"/>
                <w:szCs w:val="20"/>
              </w:rPr>
            </w:pPr>
            <w:r>
              <w:rPr>
                <w:b/>
                <w:sz w:val="20"/>
                <w:szCs w:val="20"/>
              </w:rPr>
              <w:t xml:space="preserve">Oneself and </w:t>
            </w:r>
          </w:p>
        </w:tc>
        <w:tc>
          <w:tcPr>
            <w:tcW w:w="709" w:type="dxa"/>
          </w:tcPr>
          <w:p w14:paraId="194E4900"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C3</w:t>
            </w:r>
          </w:p>
        </w:tc>
        <w:tc>
          <w:tcPr>
            <w:tcW w:w="6542" w:type="dxa"/>
          </w:tcPr>
          <w:p w14:paraId="6B534270"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difficulty in identifying my and other people's emotions</w:t>
            </w:r>
          </w:p>
        </w:tc>
      </w:tr>
      <w:tr w:rsidR="00CC2A59" w14:paraId="4FF36804" w14:textId="77777777" w:rsidTr="00CF5F46">
        <w:tc>
          <w:tcPr>
            <w:tcW w:w="1253" w:type="dxa"/>
            <w:vMerge/>
            <w:tcBorders>
              <w:top w:val="single" w:sz="4" w:space="0" w:color="000000"/>
              <w:bottom w:val="single" w:sz="12" w:space="0" w:color="000000"/>
            </w:tcBorders>
          </w:tcPr>
          <w:p w14:paraId="5A78FA32" w14:textId="77777777" w:rsidR="00CC2A59" w:rsidRDefault="00CC2A59" w:rsidP="00CF5F46">
            <w:pPr>
              <w:widowControl w:val="0"/>
              <w:pBdr>
                <w:top w:val="nil"/>
                <w:left w:val="nil"/>
                <w:bottom w:val="nil"/>
                <w:right w:val="nil"/>
                <w:between w:val="nil"/>
              </w:pBdr>
              <w:spacing w:after="0" w:line="276" w:lineRule="auto"/>
              <w:rPr>
                <w:color w:val="000000"/>
                <w:sz w:val="20"/>
                <w:szCs w:val="20"/>
              </w:rPr>
            </w:pPr>
          </w:p>
        </w:tc>
        <w:tc>
          <w:tcPr>
            <w:tcW w:w="1566" w:type="dxa"/>
            <w:tcBorders>
              <w:bottom w:val="single" w:sz="12" w:space="0" w:color="000000"/>
            </w:tcBorders>
          </w:tcPr>
          <w:p w14:paraId="6E2330E5" w14:textId="77777777" w:rsidR="00CC2A59" w:rsidRDefault="00CC2A59" w:rsidP="00CF5F46">
            <w:pPr>
              <w:spacing w:after="0" w:line="240" w:lineRule="auto"/>
              <w:jc w:val="center"/>
              <w:rPr>
                <w:color w:val="000000"/>
                <w:sz w:val="20"/>
                <w:szCs w:val="20"/>
              </w:rPr>
            </w:pPr>
            <w:r>
              <w:rPr>
                <w:b/>
                <w:sz w:val="20"/>
                <w:szCs w:val="20"/>
              </w:rPr>
              <w:t>Others</w:t>
            </w:r>
          </w:p>
        </w:tc>
        <w:tc>
          <w:tcPr>
            <w:tcW w:w="709" w:type="dxa"/>
            <w:tcBorders>
              <w:bottom w:val="single" w:sz="12" w:space="0" w:color="000000"/>
            </w:tcBorders>
          </w:tcPr>
          <w:p w14:paraId="5717AE23" w14:textId="77777777" w:rsidR="00CC2A59" w:rsidRDefault="00CC2A59" w:rsidP="00CF5F46">
            <w:pPr>
              <w:pBdr>
                <w:top w:val="nil"/>
                <w:left w:val="nil"/>
                <w:bottom w:val="nil"/>
                <w:right w:val="nil"/>
                <w:between w:val="nil"/>
              </w:pBdr>
              <w:spacing w:after="0" w:line="240" w:lineRule="auto"/>
              <w:jc w:val="center"/>
              <w:rPr>
                <w:color w:val="000000"/>
                <w:sz w:val="20"/>
                <w:szCs w:val="20"/>
              </w:rPr>
            </w:pPr>
            <w:r>
              <w:rPr>
                <w:color w:val="000000"/>
                <w:sz w:val="20"/>
                <w:szCs w:val="20"/>
              </w:rPr>
              <w:t>C4</w:t>
            </w:r>
          </w:p>
        </w:tc>
        <w:tc>
          <w:tcPr>
            <w:tcW w:w="6542" w:type="dxa"/>
            <w:tcBorders>
              <w:bottom w:val="single" w:sz="12" w:space="0" w:color="000000"/>
            </w:tcBorders>
          </w:tcPr>
          <w:p w14:paraId="428052C0" w14:textId="77777777" w:rsidR="00CC2A59" w:rsidRDefault="00CC2A59" w:rsidP="00CF5F46">
            <w:pPr>
              <w:pBdr>
                <w:top w:val="nil"/>
                <w:left w:val="nil"/>
                <w:bottom w:val="nil"/>
                <w:right w:val="nil"/>
                <w:between w:val="nil"/>
              </w:pBdr>
              <w:spacing w:after="0" w:line="240" w:lineRule="auto"/>
              <w:jc w:val="both"/>
              <w:rPr>
                <w:color w:val="000000"/>
                <w:sz w:val="20"/>
                <w:szCs w:val="20"/>
              </w:rPr>
            </w:pPr>
            <w:r>
              <w:rPr>
                <w:color w:val="000000"/>
                <w:sz w:val="20"/>
                <w:szCs w:val="20"/>
              </w:rPr>
              <w:t>difficulty in talking to people at home</w:t>
            </w:r>
          </w:p>
        </w:tc>
      </w:tr>
    </w:tbl>
    <w:p w14:paraId="0A4151E2" w14:textId="77777777" w:rsidR="00CC2A59" w:rsidRPr="00CC2A59" w:rsidRDefault="00CC2A59">
      <w:pPr>
        <w:pBdr>
          <w:top w:val="nil"/>
          <w:left w:val="nil"/>
          <w:bottom w:val="nil"/>
          <w:right w:val="nil"/>
          <w:between w:val="nil"/>
        </w:pBdr>
        <w:spacing w:after="0" w:line="240" w:lineRule="auto"/>
        <w:jc w:val="both"/>
        <w:rPr>
          <w:color w:val="000000"/>
          <w:sz w:val="10"/>
          <w:szCs w:val="10"/>
        </w:rPr>
      </w:pPr>
    </w:p>
    <w:p w14:paraId="000002D6" w14:textId="11086618" w:rsidR="00421882" w:rsidRDefault="00363292">
      <w:pPr>
        <w:pBdr>
          <w:top w:val="nil"/>
          <w:left w:val="nil"/>
          <w:bottom w:val="nil"/>
          <w:right w:val="nil"/>
          <w:between w:val="nil"/>
        </w:pBdr>
        <w:spacing w:after="0" w:line="240" w:lineRule="auto"/>
        <w:jc w:val="both"/>
        <w:rPr>
          <w:color w:val="000000"/>
        </w:rPr>
      </w:pPr>
      <w:r>
        <w:rPr>
          <w:color w:val="000000"/>
        </w:rPr>
        <w:t xml:space="preserve">This new clustering makes a lot of sense, as there are items in the original clustering or domains that may overlap in any two or three </w:t>
      </w:r>
      <w:r>
        <w:t>domains. Given the new factors determined, future research can focus on elaboration and further exploration of each of the factors.</w:t>
      </w:r>
    </w:p>
    <w:p w14:paraId="000002D7" w14:textId="77777777" w:rsidR="00421882" w:rsidRDefault="00421882">
      <w:pPr>
        <w:spacing w:after="0" w:line="240" w:lineRule="auto"/>
        <w:jc w:val="both"/>
        <w:rPr>
          <w:sz w:val="10"/>
          <w:szCs w:val="10"/>
        </w:rPr>
      </w:pPr>
    </w:p>
    <w:p w14:paraId="000002D8" w14:textId="77777777" w:rsidR="00421882" w:rsidRDefault="00363292">
      <w:pPr>
        <w:pBdr>
          <w:top w:val="nil"/>
          <w:left w:val="nil"/>
          <w:bottom w:val="nil"/>
          <w:right w:val="nil"/>
          <w:between w:val="nil"/>
        </w:pBdr>
        <w:spacing w:after="0" w:line="240" w:lineRule="auto"/>
        <w:rPr>
          <w:b/>
          <w:color w:val="0000FF"/>
        </w:rPr>
      </w:pPr>
      <w:r>
        <w:rPr>
          <w:b/>
          <w:color w:val="0000FF"/>
        </w:rPr>
        <w:t>E. Reliability Test</w:t>
      </w:r>
    </w:p>
    <w:p w14:paraId="000002D9" w14:textId="77777777" w:rsidR="00421882" w:rsidRDefault="00363292">
      <w:pPr>
        <w:pBdr>
          <w:top w:val="nil"/>
          <w:left w:val="nil"/>
          <w:bottom w:val="nil"/>
          <w:right w:val="nil"/>
          <w:between w:val="nil"/>
        </w:pBdr>
        <w:spacing w:after="0" w:line="240" w:lineRule="auto"/>
        <w:jc w:val="both"/>
        <w:rPr>
          <w:color w:val="000000"/>
        </w:rPr>
      </w:pPr>
      <w:r>
        <w:rPr>
          <w:color w:val="000000"/>
        </w:rPr>
        <w:t xml:space="preserve">The Cronbach’s alpha of the retained 20 items was also determined to know the internal consistency of the items. The values obtained are shown in Table </w:t>
      </w:r>
      <w:r>
        <w:t>7</w:t>
      </w:r>
      <w:r>
        <w:rPr>
          <w:color w:val="000000"/>
        </w:rPr>
        <w:t xml:space="preserve">. Based on the reliability analysis through SPSS, the Cronbach’s alpha of the data set obtained from the 319 respondents is 0.923. Based on the well-accepted values of the mentioned test, any value greater than 0.90 has an excellent level of internal consistency (Bonett et al., 2014). The Cronbach’s alphas for the new clustering were also determined. Due to the lesser number of items, compared to the overall retained 20 items, the values for each clustering are relatively lower than 0.923. However, they still range within </w:t>
      </w:r>
      <w:r>
        <w:t>a</w:t>
      </w:r>
      <w:r>
        <w:rPr>
          <w:color w:val="000000"/>
        </w:rPr>
        <w:t xml:space="preserve"> very good level of internal consistency. According to Taber (2018), when alpha is calculated across several domains, there is a tendency for its value to increase substantially.</w:t>
      </w:r>
    </w:p>
    <w:p w14:paraId="000002DA" w14:textId="77777777" w:rsidR="00421882" w:rsidRDefault="00421882">
      <w:pPr>
        <w:pBdr>
          <w:top w:val="nil"/>
          <w:left w:val="nil"/>
          <w:bottom w:val="nil"/>
          <w:right w:val="nil"/>
          <w:between w:val="nil"/>
        </w:pBdr>
        <w:spacing w:after="0" w:line="240" w:lineRule="auto"/>
        <w:jc w:val="both"/>
        <w:rPr>
          <w:b/>
          <w:i/>
          <w:color w:val="C55911"/>
          <w:sz w:val="10"/>
          <w:szCs w:val="10"/>
        </w:rPr>
      </w:pPr>
    </w:p>
    <w:p w14:paraId="000002DB" w14:textId="77777777" w:rsidR="00421882" w:rsidRDefault="00363292">
      <w:pPr>
        <w:pBdr>
          <w:top w:val="nil"/>
          <w:left w:val="nil"/>
          <w:bottom w:val="nil"/>
          <w:right w:val="nil"/>
          <w:between w:val="nil"/>
        </w:pBdr>
        <w:spacing w:after="0" w:line="240" w:lineRule="auto"/>
      </w:pPr>
      <w:r>
        <w:rPr>
          <w:b/>
        </w:rPr>
        <w:t>Table 7.</w:t>
      </w:r>
      <w:r>
        <w:t xml:space="preserve"> Cronbach’s alpha of the retained 20 items and the new clustering</w:t>
      </w:r>
    </w:p>
    <w:tbl>
      <w:tblPr>
        <w:tblStyle w:val="a5"/>
        <w:tblW w:w="10080" w:type="dxa"/>
        <w:tblBorders>
          <w:top w:val="nil"/>
          <w:left w:val="nil"/>
          <w:bottom w:val="nil"/>
          <w:right w:val="nil"/>
          <w:insideH w:val="nil"/>
          <w:insideV w:val="nil"/>
        </w:tblBorders>
        <w:tblLayout w:type="fixed"/>
        <w:tblLook w:val="0400" w:firstRow="0" w:lastRow="0" w:firstColumn="0" w:lastColumn="0" w:noHBand="0" w:noVBand="1"/>
      </w:tblPr>
      <w:tblGrid>
        <w:gridCol w:w="3370"/>
        <w:gridCol w:w="2255"/>
        <w:gridCol w:w="4455"/>
      </w:tblGrid>
      <w:tr w:rsidR="00421882" w14:paraId="71D224AA" w14:textId="77777777" w:rsidTr="00CC2A59">
        <w:tc>
          <w:tcPr>
            <w:tcW w:w="3370" w:type="dxa"/>
            <w:tcBorders>
              <w:top w:val="single" w:sz="12" w:space="0" w:color="auto"/>
              <w:bottom w:val="single" w:sz="4" w:space="0" w:color="000000"/>
            </w:tcBorders>
          </w:tcPr>
          <w:p w14:paraId="000002DC" w14:textId="77777777" w:rsidR="00421882" w:rsidRDefault="00363292">
            <w:pPr>
              <w:pBdr>
                <w:top w:val="nil"/>
                <w:left w:val="nil"/>
                <w:bottom w:val="nil"/>
                <w:right w:val="nil"/>
                <w:between w:val="nil"/>
              </w:pBdr>
              <w:spacing w:after="0" w:line="240" w:lineRule="auto"/>
              <w:rPr>
                <w:b/>
                <w:color w:val="000000"/>
              </w:rPr>
            </w:pPr>
            <w:r>
              <w:rPr>
                <w:b/>
                <w:color w:val="000000"/>
              </w:rPr>
              <w:t>Clustering</w:t>
            </w:r>
          </w:p>
        </w:tc>
        <w:tc>
          <w:tcPr>
            <w:tcW w:w="2255" w:type="dxa"/>
            <w:tcBorders>
              <w:top w:val="single" w:sz="12" w:space="0" w:color="auto"/>
              <w:bottom w:val="single" w:sz="4" w:space="0" w:color="000000"/>
            </w:tcBorders>
          </w:tcPr>
          <w:p w14:paraId="000002DD" w14:textId="77777777" w:rsidR="00421882" w:rsidRDefault="00363292">
            <w:pPr>
              <w:pBdr>
                <w:top w:val="nil"/>
                <w:left w:val="nil"/>
                <w:bottom w:val="nil"/>
                <w:right w:val="nil"/>
                <w:between w:val="nil"/>
              </w:pBdr>
              <w:spacing w:after="0" w:line="240" w:lineRule="auto"/>
              <w:rPr>
                <w:b/>
                <w:color w:val="000000"/>
              </w:rPr>
            </w:pPr>
            <w:r>
              <w:rPr>
                <w:b/>
                <w:color w:val="000000"/>
              </w:rPr>
              <w:t xml:space="preserve">Cronbach’s alpha </w:t>
            </w:r>
          </w:p>
        </w:tc>
        <w:tc>
          <w:tcPr>
            <w:tcW w:w="4455" w:type="dxa"/>
            <w:tcBorders>
              <w:top w:val="single" w:sz="12" w:space="0" w:color="auto"/>
              <w:bottom w:val="single" w:sz="4" w:space="0" w:color="000000"/>
            </w:tcBorders>
          </w:tcPr>
          <w:p w14:paraId="000002DE" w14:textId="77777777" w:rsidR="00421882" w:rsidRDefault="00363292">
            <w:pPr>
              <w:pBdr>
                <w:top w:val="nil"/>
                <w:left w:val="nil"/>
                <w:bottom w:val="nil"/>
                <w:right w:val="nil"/>
                <w:between w:val="nil"/>
              </w:pBdr>
              <w:spacing w:after="0" w:line="240" w:lineRule="auto"/>
              <w:rPr>
                <w:b/>
                <w:color w:val="000000"/>
              </w:rPr>
            </w:pPr>
            <w:r>
              <w:rPr>
                <w:b/>
                <w:color w:val="000000"/>
              </w:rPr>
              <w:t>N of items</w:t>
            </w:r>
          </w:p>
        </w:tc>
      </w:tr>
      <w:tr w:rsidR="00421882" w14:paraId="25D57F34" w14:textId="77777777">
        <w:trPr>
          <w:trHeight w:val="583"/>
        </w:trPr>
        <w:tc>
          <w:tcPr>
            <w:tcW w:w="3370" w:type="dxa"/>
            <w:tcBorders>
              <w:top w:val="single" w:sz="4" w:space="0" w:color="000000"/>
              <w:bottom w:val="nil"/>
            </w:tcBorders>
          </w:tcPr>
          <w:p w14:paraId="000002DF"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Retained 20 Items</w:t>
            </w:r>
          </w:p>
        </w:tc>
        <w:tc>
          <w:tcPr>
            <w:tcW w:w="2255" w:type="dxa"/>
            <w:tcBorders>
              <w:top w:val="single" w:sz="4" w:space="0" w:color="000000"/>
              <w:bottom w:val="nil"/>
            </w:tcBorders>
          </w:tcPr>
          <w:p w14:paraId="000002E0"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0.923</w:t>
            </w:r>
          </w:p>
        </w:tc>
        <w:tc>
          <w:tcPr>
            <w:tcW w:w="4455" w:type="dxa"/>
            <w:tcBorders>
              <w:top w:val="single" w:sz="4" w:space="0" w:color="000000"/>
              <w:bottom w:val="nil"/>
            </w:tcBorders>
          </w:tcPr>
          <w:p w14:paraId="000002E1"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20 (B1, D1, D2, D3, D6, D7, D8, B3, B4, B8, C5, C7, C8, A5, A6, A7, A8, C2, C3, C4)</w:t>
            </w:r>
          </w:p>
        </w:tc>
      </w:tr>
      <w:tr w:rsidR="00421882" w14:paraId="0A7DA1AB" w14:textId="77777777">
        <w:tc>
          <w:tcPr>
            <w:tcW w:w="3370" w:type="dxa"/>
            <w:tcBorders>
              <w:top w:val="nil"/>
              <w:bottom w:val="nil"/>
            </w:tcBorders>
          </w:tcPr>
          <w:p w14:paraId="000002E2"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Physical Health</w:t>
            </w:r>
          </w:p>
        </w:tc>
        <w:tc>
          <w:tcPr>
            <w:tcW w:w="2255" w:type="dxa"/>
            <w:tcBorders>
              <w:top w:val="nil"/>
              <w:bottom w:val="nil"/>
            </w:tcBorders>
          </w:tcPr>
          <w:p w14:paraId="000002E3"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0.864</w:t>
            </w:r>
          </w:p>
        </w:tc>
        <w:tc>
          <w:tcPr>
            <w:tcW w:w="4455" w:type="dxa"/>
            <w:tcBorders>
              <w:top w:val="nil"/>
              <w:bottom w:val="nil"/>
            </w:tcBorders>
          </w:tcPr>
          <w:p w14:paraId="000002E4"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7 (B1, D1, D2, D3, D6, D7, D8)</w:t>
            </w:r>
          </w:p>
        </w:tc>
      </w:tr>
      <w:tr w:rsidR="00421882" w14:paraId="10AFE44E" w14:textId="77777777">
        <w:tc>
          <w:tcPr>
            <w:tcW w:w="3370" w:type="dxa"/>
            <w:tcBorders>
              <w:top w:val="nil"/>
              <w:bottom w:val="nil"/>
            </w:tcBorders>
          </w:tcPr>
          <w:p w14:paraId="000002E5"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Task Management</w:t>
            </w:r>
          </w:p>
        </w:tc>
        <w:tc>
          <w:tcPr>
            <w:tcW w:w="2255" w:type="dxa"/>
            <w:tcBorders>
              <w:top w:val="nil"/>
              <w:bottom w:val="nil"/>
            </w:tcBorders>
          </w:tcPr>
          <w:p w14:paraId="000002E6"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0.864</w:t>
            </w:r>
          </w:p>
        </w:tc>
        <w:tc>
          <w:tcPr>
            <w:tcW w:w="4455" w:type="dxa"/>
            <w:tcBorders>
              <w:top w:val="nil"/>
              <w:bottom w:val="nil"/>
            </w:tcBorders>
          </w:tcPr>
          <w:p w14:paraId="000002E7"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6 (B3, B4, B8, C5, C7, C8)</w:t>
            </w:r>
          </w:p>
        </w:tc>
      </w:tr>
      <w:tr w:rsidR="00421882" w14:paraId="46D64D3E" w14:textId="77777777">
        <w:tc>
          <w:tcPr>
            <w:tcW w:w="3370" w:type="dxa"/>
            <w:tcBorders>
              <w:top w:val="nil"/>
              <w:bottom w:val="nil"/>
            </w:tcBorders>
          </w:tcPr>
          <w:p w14:paraId="000002E8"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Valuing</w:t>
            </w:r>
          </w:p>
        </w:tc>
        <w:tc>
          <w:tcPr>
            <w:tcW w:w="2255" w:type="dxa"/>
            <w:tcBorders>
              <w:top w:val="nil"/>
              <w:bottom w:val="nil"/>
            </w:tcBorders>
          </w:tcPr>
          <w:p w14:paraId="000002E9"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0.791</w:t>
            </w:r>
          </w:p>
        </w:tc>
        <w:tc>
          <w:tcPr>
            <w:tcW w:w="4455" w:type="dxa"/>
            <w:tcBorders>
              <w:top w:val="nil"/>
              <w:bottom w:val="nil"/>
            </w:tcBorders>
          </w:tcPr>
          <w:p w14:paraId="000002EA"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4 (A5, A6, A7, A8)</w:t>
            </w:r>
          </w:p>
        </w:tc>
      </w:tr>
      <w:tr w:rsidR="00421882" w14:paraId="265E1340" w14:textId="77777777" w:rsidTr="00CC2A59">
        <w:tc>
          <w:tcPr>
            <w:tcW w:w="3370" w:type="dxa"/>
            <w:tcBorders>
              <w:top w:val="nil"/>
              <w:bottom w:val="single" w:sz="12" w:space="0" w:color="auto"/>
            </w:tcBorders>
          </w:tcPr>
          <w:p w14:paraId="000002EB"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Relating to Oneself and Others</w:t>
            </w:r>
          </w:p>
        </w:tc>
        <w:tc>
          <w:tcPr>
            <w:tcW w:w="2255" w:type="dxa"/>
            <w:tcBorders>
              <w:top w:val="nil"/>
              <w:bottom w:val="single" w:sz="12" w:space="0" w:color="auto"/>
            </w:tcBorders>
          </w:tcPr>
          <w:p w14:paraId="000002EC" w14:textId="77777777" w:rsidR="00421882" w:rsidRDefault="00363292">
            <w:pPr>
              <w:pBdr>
                <w:top w:val="nil"/>
                <w:left w:val="nil"/>
                <w:bottom w:val="nil"/>
                <w:right w:val="nil"/>
                <w:between w:val="nil"/>
              </w:pBdr>
              <w:spacing w:after="0" w:line="240" w:lineRule="auto"/>
              <w:rPr>
                <w:color w:val="000000"/>
                <w:sz w:val="20"/>
                <w:szCs w:val="20"/>
              </w:rPr>
            </w:pPr>
            <w:r>
              <w:rPr>
                <w:color w:val="000000"/>
                <w:sz w:val="20"/>
                <w:szCs w:val="20"/>
              </w:rPr>
              <w:t>0.792</w:t>
            </w:r>
          </w:p>
        </w:tc>
        <w:tc>
          <w:tcPr>
            <w:tcW w:w="4455" w:type="dxa"/>
            <w:tcBorders>
              <w:top w:val="nil"/>
              <w:bottom w:val="single" w:sz="12" w:space="0" w:color="auto"/>
            </w:tcBorders>
          </w:tcPr>
          <w:p w14:paraId="000002ED" w14:textId="77777777" w:rsidR="00421882" w:rsidRDefault="00363292">
            <w:pPr>
              <w:numPr>
                <w:ilvl w:val="0"/>
                <w:numId w:val="1"/>
              </w:numPr>
              <w:pBdr>
                <w:top w:val="nil"/>
                <w:left w:val="nil"/>
                <w:bottom w:val="nil"/>
                <w:right w:val="nil"/>
                <w:between w:val="nil"/>
              </w:pBdr>
              <w:spacing w:after="0" w:line="240" w:lineRule="auto"/>
              <w:ind w:left="187" w:hanging="187"/>
              <w:rPr>
                <w:color w:val="000000"/>
                <w:sz w:val="20"/>
                <w:szCs w:val="20"/>
              </w:rPr>
            </w:pPr>
            <w:r>
              <w:rPr>
                <w:color w:val="000000"/>
                <w:sz w:val="20"/>
                <w:szCs w:val="20"/>
              </w:rPr>
              <w:t>(C2, C3, C4)</w:t>
            </w:r>
          </w:p>
        </w:tc>
      </w:tr>
    </w:tbl>
    <w:p w14:paraId="000002EE" w14:textId="77777777" w:rsidR="00421882" w:rsidRDefault="00421882">
      <w:pPr>
        <w:pBdr>
          <w:top w:val="nil"/>
          <w:left w:val="nil"/>
          <w:bottom w:val="nil"/>
          <w:right w:val="nil"/>
          <w:between w:val="nil"/>
        </w:pBdr>
        <w:spacing w:after="0" w:line="240" w:lineRule="auto"/>
        <w:rPr>
          <w:b/>
          <w:color w:val="000000"/>
          <w:sz w:val="10"/>
          <w:szCs w:val="10"/>
        </w:rPr>
      </w:pPr>
    </w:p>
    <w:p w14:paraId="000002EF" w14:textId="77777777" w:rsidR="00421882" w:rsidRDefault="00363292">
      <w:pPr>
        <w:pBdr>
          <w:top w:val="nil"/>
          <w:left w:val="nil"/>
          <w:bottom w:val="nil"/>
          <w:right w:val="nil"/>
          <w:between w:val="nil"/>
        </w:pBdr>
        <w:spacing w:after="0" w:line="240" w:lineRule="auto"/>
        <w:jc w:val="both"/>
      </w:pPr>
      <w:r>
        <w:t xml:space="preserve">Compared to other instruments, the overall Cronbach’s alpha of the retained 20 items of this </w:t>
      </w:r>
      <w:proofErr w:type="gramStart"/>
      <w:r>
        <w:t>particular scale</w:t>
      </w:r>
      <w:proofErr w:type="gramEnd"/>
      <w:r>
        <w:t xml:space="preserve"> is relatively high. The Perceived Stress Scale (PSS-10) developed by Cohen and Williamson (1988) which is  one of the most extensively used instruments in stress research has an alpha of 0.78. Meanwhile, the reliability values of the </w:t>
      </w:r>
      <w:r>
        <w:rPr>
          <w:color w:val="000000"/>
          <w:highlight w:val="white"/>
        </w:rPr>
        <w:t>Educational Stress Scale for Adolescents</w:t>
      </w:r>
      <w:r>
        <w:rPr>
          <w:color w:val="000000"/>
        </w:rPr>
        <w:t xml:space="preserve"> (ESSA) by Sun et al. (2011) </w:t>
      </w:r>
      <w:proofErr w:type="gramStart"/>
      <w:r>
        <w:rPr>
          <w:color w:val="000000"/>
        </w:rPr>
        <w:t>is</w:t>
      </w:r>
      <w:proofErr w:type="gramEnd"/>
      <w:r>
        <w:rPr>
          <w:color w:val="000000"/>
        </w:rPr>
        <w:t xml:space="preserve"> 0.81, the Perception of Academic Stress Scale (PASS) by </w:t>
      </w:r>
      <w:proofErr w:type="spellStart"/>
      <w:r>
        <w:rPr>
          <w:color w:val="000000"/>
        </w:rPr>
        <w:t>Bedewy</w:t>
      </w:r>
      <w:proofErr w:type="spellEnd"/>
      <w:r>
        <w:rPr>
          <w:color w:val="000000"/>
        </w:rPr>
        <w:t xml:space="preserve"> and Gabriel (2015) is 0.7, and the </w:t>
      </w:r>
      <w:r>
        <w:t xml:space="preserve">COVID-19 Student Stress Questionnaire (CSSQ) by Zurlo et al. (2020) is 0.71. All the </w:t>
      </w:r>
      <w:proofErr w:type="gramStart"/>
      <w:r>
        <w:t>aforementioned values</w:t>
      </w:r>
      <w:proofErr w:type="gramEnd"/>
      <w:r>
        <w:t xml:space="preserve"> indicate satisfactory internal consistency. This instrument’s alpha of 0.923 may be the highest among the stress scales, but it does not necessarily mean that it is the most reliable. </w:t>
      </w:r>
    </w:p>
    <w:p w14:paraId="000002F0" w14:textId="77777777" w:rsidR="00421882" w:rsidRDefault="00421882">
      <w:pPr>
        <w:pBdr>
          <w:top w:val="nil"/>
          <w:left w:val="nil"/>
          <w:bottom w:val="nil"/>
          <w:right w:val="nil"/>
          <w:between w:val="nil"/>
        </w:pBdr>
        <w:spacing w:after="0" w:line="240" w:lineRule="auto"/>
        <w:jc w:val="both"/>
        <w:rPr>
          <w:sz w:val="10"/>
          <w:szCs w:val="10"/>
        </w:rPr>
      </w:pPr>
    </w:p>
    <w:p w14:paraId="000002F1" w14:textId="77777777" w:rsidR="00421882" w:rsidRDefault="00363292">
      <w:pPr>
        <w:pBdr>
          <w:top w:val="nil"/>
          <w:left w:val="nil"/>
          <w:bottom w:val="nil"/>
          <w:right w:val="nil"/>
          <w:between w:val="nil"/>
        </w:pBdr>
        <w:spacing w:after="0" w:line="240" w:lineRule="auto"/>
        <w:jc w:val="both"/>
      </w:pPr>
      <w:r>
        <w:t xml:space="preserve">There are several factors that could affect an instrument’s reliability. One of which is the number of items. According to </w:t>
      </w:r>
      <w:proofErr w:type="spellStart"/>
      <w:r>
        <w:t>Vaske</w:t>
      </w:r>
      <w:proofErr w:type="spellEnd"/>
      <w:r>
        <w:t xml:space="preserve"> et al. (2016), increasing the number of items will result in a higher alpha value. This instrument’s high alpha could be attributed to the fact that it has the greatest number of items. It has a total of 20 items while the other scales from the oldest to the latest have 10, 16, 18, and 7 items, respectively. Cronbach (1951) cautioned that adding more items that repeat the same information just to increase alpha is pointless.  </w:t>
      </w:r>
    </w:p>
    <w:p w14:paraId="000002F2" w14:textId="77777777" w:rsidR="00421882" w:rsidRDefault="00421882">
      <w:pPr>
        <w:pBdr>
          <w:top w:val="nil"/>
          <w:left w:val="nil"/>
          <w:bottom w:val="nil"/>
          <w:right w:val="nil"/>
          <w:between w:val="nil"/>
        </w:pBdr>
        <w:spacing w:after="0" w:line="240" w:lineRule="auto"/>
        <w:jc w:val="both"/>
        <w:rPr>
          <w:sz w:val="10"/>
          <w:szCs w:val="10"/>
        </w:rPr>
      </w:pPr>
    </w:p>
    <w:p w14:paraId="000002F3" w14:textId="77777777" w:rsidR="00421882" w:rsidRDefault="00363292">
      <w:pPr>
        <w:pBdr>
          <w:top w:val="nil"/>
          <w:left w:val="nil"/>
          <w:bottom w:val="nil"/>
          <w:right w:val="nil"/>
          <w:between w:val="nil"/>
        </w:pBdr>
        <w:spacing w:after="0" w:line="240" w:lineRule="auto"/>
        <w:jc w:val="both"/>
      </w:pPr>
      <w:r>
        <w:t xml:space="preserve">Another thing to take into consideration when evaluating reliability is the heterogeneity of the research respondents. Those who answered this instrument are adolescents whose age ranges from 11 to 17, but who study in the same private high school. Meanwhile, university students who are 18 to 26 years old are the primary respondents of the CSSQ and the PASS with each study involving 514 and 100 participants, respectively. The PSS-10 was originally responded to by a total of 2,387 adults from various socio-economic backgrounds and the ESSA </w:t>
      </w:r>
      <w:r>
        <w:lastRenderedPageBreak/>
        <w:t xml:space="preserve">by 1,670 students aged 12 to 18 living in urban and rural settings. Based on the said data, the respondents of the PSS-10 and the ESSA are the most diverse. Producing consistent results regardless of the diversity of the participants is a good indicator of an instrument’s reliability. </w:t>
      </w:r>
    </w:p>
    <w:p w14:paraId="000002F4" w14:textId="77777777" w:rsidR="00421882" w:rsidRDefault="00421882">
      <w:pPr>
        <w:pBdr>
          <w:top w:val="nil"/>
          <w:left w:val="nil"/>
          <w:bottom w:val="nil"/>
          <w:right w:val="nil"/>
          <w:between w:val="nil"/>
        </w:pBdr>
        <w:spacing w:after="0" w:line="240" w:lineRule="auto"/>
        <w:jc w:val="both"/>
        <w:rPr>
          <w:sz w:val="10"/>
          <w:szCs w:val="10"/>
        </w:rPr>
      </w:pPr>
    </w:p>
    <w:p w14:paraId="000002F5" w14:textId="77777777" w:rsidR="00421882" w:rsidRDefault="00363292">
      <w:pPr>
        <w:pBdr>
          <w:top w:val="nil"/>
          <w:left w:val="nil"/>
          <w:bottom w:val="nil"/>
          <w:right w:val="nil"/>
          <w:between w:val="nil"/>
        </w:pBdr>
        <w:spacing w:after="0" w:line="240" w:lineRule="auto"/>
        <w:jc w:val="both"/>
        <w:rPr>
          <w:color w:val="131413"/>
        </w:rPr>
      </w:pPr>
      <w:r>
        <w:t xml:space="preserve">It is important to note that the stress scale administered to the participants of this study and the CSSQ are somewhat similar in terms of context. Both instruments were developed during the online learning setup because of the COVID-19 outbreak. The rest of the scales were made pre-pandemic. </w:t>
      </w:r>
    </w:p>
    <w:p w14:paraId="000002F6" w14:textId="77777777" w:rsidR="00421882" w:rsidRDefault="00421882">
      <w:pPr>
        <w:shd w:val="clear" w:color="auto" w:fill="FFFFFF"/>
        <w:spacing w:after="0"/>
        <w:rPr>
          <w:color w:val="131413"/>
          <w:sz w:val="10"/>
          <w:szCs w:val="10"/>
        </w:rPr>
      </w:pPr>
    </w:p>
    <w:p w14:paraId="000002F7" w14:textId="77777777" w:rsidR="00421882" w:rsidRDefault="00363292">
      <w:pPr>
        <w:pBdr>
          <w:top w:val="nil"/>
          <w:left w:val="nil"/>
          <w:bottom w:val="nil"/>
          <w:right w:val="nil"/>
          <w:between w:val="nil"/>
        </w:pBdr>
        <w:spacing w:after="0" w:line="240" w:lineRule="auto"/>
        <w:rPr>
          <w:b/>
          <w:color w:val="0033CC"/>
        </w:rPr>
      </w:pPr>
      <w:r>
        <w:rPr>
          <w:b/>
          <w:color w:val="0033CC"/>
        </w:rPr>
        <w:t>F. Invariance tests</w:t>
      </w:r>
    </w:p>
    <w:p w14:paraId="000002F8" w14:textId="77777777" w:rsidR="00421882" w:rsidRDefault="00363292">
      <w:pPr>
        <w:pBdr>
          <w:top w:val="nil"/>
          <w:left w:val="nil"/>
          <w:bottom w:val="nil"/>
          <w:right w:val="nil"/>
          <w:between w:val="nil"/>
        </w:pBdr>
        <w:spacing w:after="0" w:line="240" w:lineRule="auto"/>
        <w:jc w:val="both"/>
      </w:pPr>
      <w:r>
        <w:t>Measurement invariance tests were conducted for the identified factors, namely, Physical Health, Task Management, Valuing, and Relating to Oneself and Others across (a) sex, (b) grade level, and (d) age. Table 8 presents the results of measurement invariance fit indices. The general CFA model (G) confirms a good fit of the scale’s measurement model with SRMR and RMSEA within the threshold level of acceptance. Results of measurement invariance tests establish structurally and construct validity of the newly developed four-factor stress scale in the context of online learning. The results also allow examination of the difference among groups.</w:t>
      </w:r>
    </w:p>
    <w:p w14:paraId="000002F9" w14:textId="77777777" w:rsidR="00421882" w:rsidRDefault="00421882">
      <w:pPr>
        <w:pBdr>
          <w:top w:val="nil"/>
          <w:left w:val="nil"/>
          <w:bottom w:val="nil"/>
          <w:right w:val="nil"/>
          <w:between w:val="nil"/>
        </w:pBdr>
        <w:spacing w:after="0" w:line="240" w:lineRule="auto"/>
        <w:jc w:val="both"/>
        <w:rPr>
          <w:sz w:val="10"/>
          <w:szCs w:val="10"/>
        </w:rPr>
      </w:pPr>
    </w:p>
    <w:p w14:paraId="000002FA" w14:textId="77777777" w:rsidR="00421882" w:rsidRDefault="00363292">
      <w:pPr>
        <w:pBdr>
          <w:top w:val="nil"/>
          <w:left w:val="nil"/>
          <w:bottom w:val="nil"/>
          <w:right w:val="nil"/>
          <w:between w:val="nil"/>
        </w:pBdr>
        <w:spacing w:after="0" w:line="240" w:lineRule="auto"/>
        <w:rPr>
          <w:i/>
        </w:rPr>
      </w:pPr>
      <w:bookmarkStart w:id="0" w:name="_heading=h.gjdgxs" w:colFirst="0" w:colLast="0"/>
      <w:bookmarkEnd w:id="0"/>
      <w:r>
        <w:rPr>
          <w:i/>
        </w:rPr>
        <w:t>Invariance for sex</w:t>
      </w:r>
    </w:p>
    <w:p w14:paraId="000002FB" w14:textId="77777777" w:rsidR="00421882" w:rsidRDefault="00363292">
      <w:pPr>
        <w:pBdr>
          <w:top w:val="nil"/>
          <w:left w:val="nil"/>
          <w:bottom w:val="nil"/>
          <w:right w:val="nil"/>
          <w:between w:val="nil"/>
        </w:pBdr>
        <w:spacing w:after="0" w:line="240" w:lineRule="auto"/>
        <w:jc w:val="both"/>
      </w:pPr>
      <w:r>
        <w:t xml:space="preserve">Male (M) and female (F) CFA measurement models yielded a good fit with SRMR value lower than the cut-off. In terms of RMSEA, however, M model showed good fit while F model had slightly higher than the cut-off, though the lower bound of CI was still within the threshold. Results of measurement invariance fit indices revealed acceptance level up to strict factorial invariance with almost all figures fell within the threshold levels, except that of chi-square difference with significant p-value. According to </w:t>
      </w:r>
      <w:proofErr w:type="spellStart"/>
      <w:r>
        <w:t>Putnick</w:t>
      </w:r>
      <w:proofErr w:type="spellEnd"/>
      <w:r>
        <w:t xml:space="preserve"> &amp; Bornstein (2016), some researchers have changed from a focus on absolute fit indices because chi-square is quite sensitive to small, unimportant deviations from “perfect” model in large samples. Thus, results of alternative fit indices still hold, proving that there is a measurement invariance across sexes. Findings of measurement invariance imply that the newly developed four-factor stress scale in the context of online learning measures the same underlying constructs across sexes, i.e., male and female, allowing us to examine group differences. </w:t>
      </w:r>
    </w:p>
    <w:p w14:paraId="000002FC" w14:textId="77777777" w:rsidR="00421882" w:rsidRDefault="00421882">
      <w:pPr>
        <w:pBdr>
          <w:top w:val="nil"/>
          <w:left w:val="nil"/>
          <w:bottom w:val="nil"/>
          <w:right w:val="nil"/>
          <w:between w:val="nil"/>
        </w:pBdr>
        <w:spacing w:after="0" w:line="240" w:lineRule="auto"/>
        <w:rPr>
          <w:b/>
          <w:color w:val="0033CC"/>
          <w:sz w:val="10"/>
          <w:szCs w:val="10"/>
        </w:rPr>
      </w:pPr>
    </w:p>
    <w:p w14:paraId="000002FD" w14:textId="77777777" w:rsidR="00421882" w:rsidRDefault="00363292">
      <w:pPr>
        <w:pBdr>
          <w:top w:val="nil"/>
          <w:left w:val="nil"/>
          <w:bottom w:val="nil"/>
          <w:right w:val="nil"/>
          <w:between w:val="nil"/>
        </w:pBdr>
        <w:spacing w:after="0" w:line="240" w:lineRule="auto"/>
        <w:rPr>
          <w:i/>
        </w:rPr>
      </w:pPr>
      <w:r>
        <w:rPr>
          <w:i/>
        </w:rPr>
        <w:t>Invariance for grade level</w:t>
      </w:r>
    </w:p>
    <w:p w14:paraId="000002FE" w14:textId="77777777" w:rsidR="00421882" w:rsidRDefault="00363292">
      <w:pPr>
        <w:pBdr>
          <w:top w:val="nil"/>
          <w:left w:val="nil"/>
          <w:bottom w:val="nil"/>
          <w:right w:val="nil"/>
          <w:between w:val="nil"/>
        </w:pBdr>
        <w:spacing w:after="0" w:line="240" w:lineRule="auto"/>
        <w:jc w:val="both"/>
        <w:rPr>
          <w:b/>
          <w:color w:val="0033CC"/>
        </w:rPr>
      </w:pPr>
      <w:r>
        <w:t>The CFA measurement models of Grade 7 (G7), Grade 8 (G8), Grade 9 (G9), and Grade 10 (G10) yielded good fit with at least one fit index fell within the threshold of acceptance. G7 CFA models had RMSEA good fit while G8, G9, and G10 had SRMR good fit. Results of measurement invariance fit indices revealed acceptance level up to strict factorial invariance with almost all figures fell within the threshold levels, except that of chi-square difference with significant p-value. Findings of measurement invariance tests suggest that newly developed four-factor stress scale in the context of online learning measure the same underlying constructs across group levels, allowing us to examine group differences.</w:t>
      </w:r>
    </w:p>
    <w:p w14:paraId="000002FF" w14:textId="77777777" w:rsidR="00421882" w:rsidRDefault="00421882">
      <w:pPr>
        <w:pBdr>
          <w:top w:val="nil"/>
          <w:left w:val="nil"/>
          <w:bottom w:val="nil"/>
          <w:right w:val="nil"/>
          <w:between w:val="nil"/>
        </w:pBdr>
        <w:spacing w:after="0" w:line="240" w:lineRule="auto"/>
        <w:rPr>
          <w:b/>
          <w:color w:val="0033CC"/>
          <w:sz w:val="10"/>
          <w:szCs w:val="10"/>
        </w:rPr>
      </w:pPr>
    </w:p>
    <w:p w14:paraId="00000300" w14:textId="77777777" w:rsidR="00421882" w:rsidRDefault="00363292">
      <w:pPr>
        <w:pBdr>
          <w:top w:val="nil"/>
          <w:left w:val="nil"/>
          <w:bottom w:val="nil"/>
          <w:right w:val="nil"/>
          <w:between w:val="nil"/>
        </w:pBdr>
        <w:spacing w:after="0" w:line="240" w:lineRule="auto"/>
        <w:rPr>
          <w:i/>
        </w:rPr>
      </w:pPr>
      <w:r>
        <w:rPr>
          <w:i/>
        </w:rPr>
        <w:t>Invariance for age</w:t>
      </w:r>
    </w:p>
    <w:p w14:paraId="00000301" w14:textId="77777777" w:rsidR="00421882" w:rsidRDefault="00363292">
      <w:pPr>
        <w:pBdr>
          <w:top w:val="nil"/>
          <w:left w:val="nil"/>
          <w:bottom w:val="nil"/>
          <w:right w:val="nil"/>
          <w:between w:val="nil"/>
        </w:pBdr>
        <w:spacing w:after="0" w:line="240" w:lineRule="auto"/>
        <w:jc w:val="both"/>
        <w:rPr>
          <w:b/>
          <w:color w:val="0033CC"/>
        </w:rPr>
      </w:pPr>
      <w:bookmarkStart w:id="1" w:name="_heading=h.30j0zll" w:colFirst="0" w:colLast="0"/>
      <w:bookmarkEnd w:id="1"/>
      <w:r>
        <w:t>The CFA measurement models for almost all age groups (A2, A3, and A4), except A1 yielded at least one good fit index. However, A1 (11-12) only had lower bound of CI that fell within the threshold level. Results of measurement invariance fit indices revealed acceptance level up to strict factorial invariance with all figures fell within the threshold levels. Findings of measurement invariance tests indicate that the newly developed four-factor stress scale in the context of online learning measure the same underlying constructs across age groups, allowing us to examine group differences.</w:t>
      </w:r>
    </w:p>
    <w:p w14:paraId="00000302" w14:textId="77777777" w:rsidR="00421882" w:rsidRDefault="00421882">
      <w:pPr>
        <w:spacing w:after="0" w:line="240" w:lineRule="auto"/>
        <w:rPr>
          <w:b/>
          <w:color w:val="0033CC"/>
        </w:rPr>
      </w:pPr>
    </w:p>
    <w:p w14:paraId="00000303" w14:textId="77777777" w:rsidR="00421882" w:rsidRDefault="00421882">
      <w:pPr>
        <w:spacing w:after="0" w:line="240" w:lineRule="auto"/>
        <w:rPr>
          <w:b/>
          <w:color w:val="0033CC"/>
        </w:rPr>
      </w:pPr>
    </w:p>
    <w:p w14:paraId="00000304" w14:textId="77777777" w:rsidR="00421882" w:rsidRDefault="00421882">
      <w:pPr>
        <w:spacing w:after="0" w:line="240" w:lineRule="auto"/>
        <w:rPr>
          <w:b/>
          <w:color w:val="0033CC"/>
        </w:rPr>
      </w:pPr>
    </w:p>
    <w:p w14:paraId="00000305" w14:textId="77777777" w:rsidR="00421882" w:rsidRDefault="00421882">
      <w:pPr>
        <w:spacing w:after="0" w:line="240" w:lineRule="auto"/>
        <w:rPr>
          <w:b/>
          <w:color w:val="0033CC"/>
        </w:rPr>
      </w:pPr>
    </w:p>
    <w:p w14:paraId="00000306" w14:textId="77777777" w:rsidR="00421882" w:rsidRDefault="00421882">
      <w:pPr>
        <w:spacing w:after="0" w:line="240" w:lineRule="auto"/>
        <w:rPr>
          <w:b/>
          <w:color w:val="0033CC"/>
        </w:rPr>
      </w:pPr>
    </w:p>
    <w:p w14:paraId="00000307" w14:textId="77777777" w:rsidR="00421882" w:rsidRDefault="00363292">
      <w:pPr>
        <w:spacing w:after="0" w:line="240" w:lineRule="auto"/>
      </w:pPr>
      <w:r>
        <w:rPr>
          <w:b/>
        </w:rPr>
        <w:lastRenderedPageBreak/>
        <w:t>Table 8.</w:t>
      </w:r>
      <w:r>
        <w:t xml:space="preserve"> Measurement invariance model comparison across sexes, grade levels, and age groups for CFA Four-factor Model of the Stress Scale in the Context of Online Learning</w:t>
      </w:r>
    </w:p>
    <w:tbl>
      <w:tblPr>
        <w:tblStyle w:val="a6"/>
        <w:tblW w:w="10151" w:type="dxa"/>
        <w:tblBorders>
          <w:top w:val="nil"/>
          <w:left w:val="nil"/>
          <w:bottom w:val="nil"/>
          <w:right w:val="nil"/>
          <w:insideH w:val="nil"/>
          <w:insideV w:val="nil"/>
        </w:tblBorders>
        <w:tblLayout w:type="fixed"/>
        <w:tblLook w:val="0400" w:firstRow="0" w:lastRow="0" w:firstColumn="0" w:lastColumn="0" w:noHBand="0" w:noVBand="1"/>
      </w:tblPr>
      <w:tblGrid>
        <w:gridCol w:w="1747"/>
        <w:gridCol w:w="840"/>
        <w:gridCol w:w="952"/>
        <w:gridCol w:w="778"/>
        <w:gridCol w:w="1025"/>
        <w:gridCol w:w="841"/>
        <w:gridCol w:w="1178"/>
        <w:gridCol w:w="910"/>
        <w:gridCol w:w="910"/>
        <w:gridCol w:w="970"/>
      </w:tblGrid>
      <w:tr w:rsidR="00421882" w:rsidRPr="006801CB" w14:paraId="02153BEC" w14:textId="77777777" w:rsidTr="00CC2A59">
        <w:trPr>
          <w:trHeight w:val="479"/>
        </w:trPr>
        <w:tc>
          <w:tcPr>
            <w:tcW w:w="1747" w:type="dxa"/>
            <w:tcBorders>
              <w:top w:val="single" w:sz="12" w:space="0" w:color="auto"/>
              <w:bottom w:val="single" w:sz="4" w:space="0" w:color="000000"/>
            </w:tcBorders>
          </w:tcPr>
          <w:p w14:paraId="00000308" w14:textId="77777777" w:rsidR="00421882" w:rsidRPr="006801CB" w:rsidRDefault="00421882">
            <w:pPr>
              <w:rPr>
                <w:rFonts w:asciiTheme="minorHAnsi" w:eastAsia="Roboto" w:hAnsiTheme="minorHAnsi" w:cstheme="minorHAnsi"/>
                <w:sz w:val="14"/>
                <w:szCs w:val="14"/>
              </w:rPr>
            </w:pPr>
            <w:bookmarkStart w:id="2" w:name="_heading=h.1fob9te" w:colFirst="0" w:colLast="0"/>
            <w:bookmarkEnd w:id="2"/>
          </w:p>
        </w:tc>
        <w:tc>
          <w:tcPr>
            <w:tcW w:w="840" w:type="dxa"/>
            <w:tcBorders>
              <w:top w:val="single" w:sz="12" w:space="0" w:color="auto"/>
              <w:bottom w:val="single" w:sz="4" w:space="0" w:color="000000"/>
            </w:tcBorders>
          </w:tcPr>
          <w:p w14:paraId="0000030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Model</w:t>
            </w:r>
          </w:p>
        </w:tc>
        <w:tc>
          <w:tcPr>
            <w:tcW w:w="952" w:type="dxa"/>
            <w:tcBorders>
              <w:top w:val="single" w:sz="12" w:space="0" w:color="auto"/>
              <w:bottom w:val="single" w:sz="4" w:space="0" w:color="000000"/>
            </w:tcBorders>
          </w:tcPr>
          <w:p w14:paraId="0000030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x</w:t>
            </w:r>
            <w:r w:rsidRPr="006801CB">
              <w:rPr>
                <w:rFonts w:asciiTheme="minorHAnsi" w:eastAsia="Roboto" w:hAnsiTheme="minorHAnsi" w:cstheme="minorHAnsi"/>
                <w:sz w:val="14"/>
                <w:szCs w:val="14"/>
                <w:vertAlign w:val="superscript"/>
              </w:rPr>
              <w:t>2</w:t>
            </w:r>
            <w:r w:rsidRPr="006801CB">
              <w:rPr>
                <w:rFonts w:asciiTheme="minorHAnsi" w:eastAsia="Roboto" w:hAnsiTheme="minorHAnsi" w:cstheme="minorHAnsi"/>
                <w:sz w:val="14"/>
                <w:szCs w:val="14"/>
              </w:rPr>
              <w:t xml:space="preserve"> (df)</w:t>
            </w:r>
          </w:p>
        </w:tc>
        <w:tc>
          <w:tcPr>
            <w:tcW w:w="778" w:type="dxa"/>
            <w:tcBorders>
              <w:top w:val="single" w:sz="12" w:space="0" w:color="auto"/>
              <w:bottom w:val="single" w:sz="4" w:space="0" w:color="000000"/>
            </w:tcBorders>
          </w:tcPr>
          <w:p w14:paraId="0000030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SRMR</w:t>
            </w:r>
          </w:p>
          <w:p w14:paraId="0000030C" w14:textId="77777777" w:rsidR="00421882" w:rsidRPr="006801CB" w:rsidRDefault="00421882">
            <w:pPr>
              <w:jc w:val="center"/>
              <w:rPr>
                <w:rFonts w:asciiTheme="minorHAnsi" w:eastAsia="Roboto" w:hAnsiTheme="minorHAnsi" w:cstheme="minorHAnsi"/>
                <w:sz w:val="14"/>
                <w:szCs w:val="14"/>
              </w:rPr>
            </w:pPr>
          </w:p>
        </w:tc>
        <w:tc>
          <w:tcPr>
            <w:tcW w:w="1025" w:type="dxa"/>
            <w:tcBorders>
              <w:top w:val="single" w:sz="12" w:space="0" w:color="auto"/>
              <w:bottom w:val="single" w:sz="4" w:space="0" w:color="000000"/>
            </w:tcBorders>
          </w:tcPr>
          <w:p w14:paraId="0000030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RMSEA </w:t>
            </w:r>
          </w:p>
          <w:p w14:paraId="0000030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(90% CI)</w:t>
            </w:r>
          </w:p>
          <w:p w14:paraId="0000030F" w14:textId="77777777" w:rsidR="00421882" w:rsidRPr="006801CB" w:rsidRDefault="00421882">
            <w:pPr>
              <w:jc w:val="center"/>
              <w:rPr>
                <w:rFonts w:asciiTheme="minorHAnsi" w:eastAsia="Roboto" w:hAnsiTheme="minorHAnsi" w:cstheme="minorHAnsi"/>
                <w:sz w:val="14"/>
                <w:szCs w:val="14"/>
              </w:rPr>
            </w:pPr>
          </w:p>
        </w:tc>
        <w:tc>
          <w:tcPr>
            <w:tcW w:w="841" w:type="dxa"/>
            <w:tcBorders>
              <w:top w:val="single" w:sz="12" w:space="0" w:color="auto"/>
              <w:bottom w:val="single" w:sz="4" w:space="0" w:color="000000"/>
            </w:tcBorders>
          </w:tcPr>
          <w:p w14:paraId="0000031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Model comp.</w:t>
            </w:r>
          </w:p>
        </w:tc>
        <w:tc>
          <w:tcPr>
            <w:tcW w:w="1178" w:type="dxa"/>
            <w:tcBorders>
              <w:top w:val="single" w:sz="12" w:space="0" w:color="auto"/>
              <w:bottom w:val="single" w:sz="4" w:space="0" w:color="000000"/>
            </w:tcBorders>
          </w:tcPr>
          <w:p w14:paraId="0000031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Chi-Square difference </w:t>
            </w:r>
          </w:p>
          <w:p w14:paraId="0000031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roofErr w:type="gramStart"/>
            <w:r w:rsidRPr="006801CB">
              <w:rPr>
                <w:rFonts w:asciiTheme="minorHAnsi" w:eastAsia="Roboto" w:hAnsiTheme="minorHAnsi" w:cstheme="minorHAnsi"/>
                <w:sz w:val="14"/>
                <w:szCs w:val="14"/>
              </w:rPr>
              <w:t>df</w:t>
            </w:r>
            <w:proofErr w:type="gramEnd"/>
            <w:r w:rsidRPr="006801CB">
              <w:rPr>
                <w:rFonts w:asciiTheme="minorHAnsi" w:eastAsia="Roboto" w:hAnsiTheme="minorHAnsi" w:cstheme="minorHAnsi"/>
                <w:sz w:val="14"/>
                <w:szCs w:val="14"/>
              </w:rPr>
              <w:t xml:space="preserve"> difference)</w:t>
            </w:r>
          </w:p>
        </w:tc>
        <w:tc>
          <w:tcPr>
            <w:tcW w:w="910" w:type="dxa"/>
            <w:tcBorders>
              <w:top w:val="single" w:sz="12" w:space="0" w:color="auto"/>
              <w:bottom w:val="single" w:sz="4" w:space="0" w:color="000000"/>
            </w:tcBorders>
          </w:tcPr>
          <w:p w14:paraId="0000031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Change in SRMR</w:t>
            </w:r>
          </w:p>
          <w:p w14:paraId="00000314" w14:textId="77777777" w:rsidR="00421882" w:rsidRPr="006801CB" w:rsidRDefault="00421882">
            <w:pPr>
              <w:jc w:val="center"/>
              <w:rPr>
                <w:rFonts w:asciiTheme="minorHAnsi" w:eastAsia="Roboto" w:hAnsiTheme="minorHAnsi" w:cstheme="minorHAnsi"/>
                <w:sz w:val="14"/>
                <w:szCs w:val="14"/>
              </w:rPr>
            </w:pPr>
          </w:p>
          <w:p w14:paraId="00000315" w14:textId="77777777" w:rsidR="00421882" w:rsidRPr="006801CB" w:rsidRDefault="00421882">
            <w:pPr>
              <w:jc w:val="center"/>
              <w:rPr>
                <w:rFonts w:asciiTheme="minorHAnsi" w:eastAsia="Roboto" w:hAnsiTheme="minorHAnsi" w:cstheme="minorHAnsi"/>
                <w:sz w:val="14"/>
                <w:szCs w:val="14"/>
              </w:rPr>
            </w:pPr>
          </w:p>
        </w:tc>
        <w:tc>
          <w:tcPr>
            <w:tcW w:w="910" w:type="dxa"/>
            <w:tcBorders>
              <w:top w:val="single" w:sz="12" w:space="0" w:color="auto"/>
              <w:bottom w:val="single" w:sz="4" w:space="0" w:color="000000"/>
            </w:tcBorders>
          </w:tcPr>
          <w:p w14:paraId="0000031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Change in RMSEA</w:t>
            </w:r>
          </w:p>
          <w:p w14:paraId="00000317" w14:textId="77777777" w:rsidR="00421882" w:rsidRPr="006801CB" w:rsidRDefault="00421882">
            <w:pPr>
              <w:jc w:val="center"/>
              <w:rPr>
                <w:rFonts w:asciiTheme="minorHAnsi" w:eastAsia="Roboto" w:hAnsiTheme="minorHAnsi" w:cstheme="minorHAnsi"/>
                <w:sz w:val="14"/>
                <w:szCs w:val="14"/>
              </w:rPr>
            </w:pPr>
          </w:p>
          <w:p w14:paraId="00000318" w14:textId="77777777" w:rsidR="00421882" w:rsidRPr="006801CB" w:rsidRDefault="00421882">
            <w:pPr>
              <w:jc w:val="center"/>
              <w:rPr>
                <w:rFonts w:asciiTheme="minorHAnsi" w:eastAsia="Roboto" w:hAnsiTheme="minorHAnsi" w:cstheme="minorHAnsi"/>
                <w:sz w:val="14"/>
                <w:szCs w:val="14"/>
              </w:rPr>
            </w:pPr>
          </w:p>
        </w:tc>
        <w:tc>
          <w:tcPr>
            <w:tcW w:w="970" w:type="dxa"/>
            <w:tcBorders>
              <w:top w:val="single" w:sz="12" w:space="0" w:color="auto"/>
              <w:bottom w:val="single" w:sz="4" w:space="0" w:color="000000"/>
            </w:tcBorders>
          </w:tcPr>
          <w:p w14:paraId="00000319" w14:textId="77777777" w:rsidR="00421882" w:rsidRPr="006801CB" w:rsidRDefault="00421882">
            <w:pPr>
              <w:jc w:val="center"/>
              <w:rPr>
                <w:rFonts w:asciiTheme="minorHAnsi" w:eastAsia="Roboto" w:hAnsiTheme="minorHAnsi" w:cstheme="minorHAnsi"/>
                <w:sz w:val="14"/>
                <w:szCs w:val="14"/>
              </w:rPr>
            </w:pPr>
          </w:p>
          <w:p w14:paraId="0000031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Decision</w:t>
            </w:r>
          </w:p>
        </w:tc>
      </w:tr>
      <w:tr w:rsidR="00421882" w:rsidRPr="006801CB" w14:paraId="03A86CA8" w14:textId="77777777">
        <w:trPr>
          <w:trHeight w:val="219"/>
        </w:trPr>
        <w:tc>
          <w:tcPr>
            <w:tcW w:w="1747" w:type="dxa"/>
            <w:tcBorders>
              <w:top w:val="single" w:sz="4" w:space="0" w:color="000000"/>
            </w:tcBorders>
          </w:tcPr>
          <w:p w14:paraId="0000031B"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b/>
                <w:sz w:val="14"/>
                <w:szCs w:val="14"/>
              </w:rPr>
              <w:t>General</w:t>
            </w:r>
            <w:r w:rsidRPr="006801CB">
              <w:rPr>
                <w:rFonts w:asciiTheme="minorHAnsi" w:eastAsia="Roboto" w:hAnsiTheme="minorHAnsi" w:cstheme="minorHAnsi"/>
                <w:sz w:val="14"/>
                <w:szCs w:val="14"/>
              </w:rPr>
              <w:t xml:space="preserve"> (n = 319)</w:t>
            </w:r>
          </w:p>
        </w:tc>
        <w:tc>
          <w:tcPr>
            <w:tcW w:w="840" w:type="dxa"/>
            <w:tcBorders>
              <w:top w:val="single" w:sz="4" w:space="0" w:color="000000"/>
            </w:tcBorders>
          </w:tcPr>
          <w:p w14:paraId="0000031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G</w:t>
            </w:r>
          </w:p>
        </w:tc>
        <w:tc>
          <w:tcPr>
            <w:tcW w:w="952" w:type="dxa"/>
            <w:tcBorders>
              <w:top w:val="single" w:sz="4" w:space="0" w:color="000000"/>
            </w:tcBorders>
          </w:tcPr>
          <w:p w14:paraId="0000031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411.79 (164)</w:t>
            </w:r>
          </w:p>
        </w:tc>
        <w:tc>
          <w:tcPr>
            <w:tcW w:w="778" w:type="dxa"/>
            <w:tcBorders>
              <w:top w:val="single" w:sz="4" w:space="0" w:color="000000"/>
            </w:tcBorders>
          </w:tcPr>
          <w:p w14:paraId="0000031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.057</w:t>
            </w:r>
          </w:p>
        </w:tc>
        <w:tc>
          <w:tcPr>
            <w:tcW w:w="1025" w:type="dxa"/>
            <w:tcBorders>
              <w:top w:val="single" w:sz="4" w:space="0" w:color="000000"/>
            </w:tcBorders>
          </w:tcPr>
          <w:p w14:paraId="0000031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.078 </w:t>
            </w:r>
          </w:p>
          <w:p w14:paraId="0000032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(.069; .086)</w:t>
            </w:r>
          </w:p>
        </w:tc>
        <w:tc>
          <w:tcPr>
            <w:tcW w:w="841" w:type="dxa"/>
            <w:tcBorders>
              <w:top w:val="single" w:sz="4" w:space="0" w:color="000000"/>
            </w:tcBorders>
          </w:tcPr>
          <w:p w14:paraId="0000032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Borders>
              <w:top w:val="single" w:sz="4" w:space="0" w:color="000000"/>
            </w:tcBorders>
          </w:tcPr>
          <w:p w14:paraId="0000032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Borders>
              <w:top w:val="single" w:sz="4" w:space="0" w:color="000000"/>
            </w:tcBorders>
          </w:tcPr>
          <w:p w14:paraId="00000323" w14:textId="77777777" w:rsidR="00421882" w:rsidRPr="006801CB" w:rsidRDefault="00421882">
            <w:pPr>
              <w:jc w:val="center"/>
              <w:rPr>
                <w:rFonts w:asciiTheme="minorHAnsi" w:eastAsia="Roboto" w:hAnsiTheme="minorHAnsi" w:cstheme="minorHAnsi"/>
                <w:sz w:val="14"/>
                <w:szCs w:val="14"/>
              </w:rPr>
            </w:pPr>
          </w:p>
        </w:tc>
        <w:tc>
          <w:tcPr>
            <w:tcW w:w="910" w:type="dxa"/>
            <w:tcBorders>
              <w:top w:val="single" w:sz="4" w:space="0" w:color="000000"/>
            </w:tcBorders>
          </w:tcPr>
          <w:p w14:paraId="00000324" w14:textId="77777777" w:rsidR="00421882" w:rsidRPr="006801CB" w:rsidRDefault="00421882">
            <w:pPr>
              <w:jc w:val="center"/>
              <w:rPr>
                <w:rFonts w:asciiTheme="minorHAnsi" w:eastAsia="Roboto" w:hAnsiTheme="minorHAnsi" w:cstheme="minorHAnsi"/>
                <w:sz w:val="14"/>
                <w:szCs w:val="14"/>
              </w:rPr>
            </w:pPr>
          </w:p>
        </w:tc>
        <w:tc>
          <w:tcPr>
            <w:tcW w:w="970" w:type="dxa"/>
            <w:tcBorders>
              <w:top w:val="single" w:sz="4" w:space="0" w:color="000000"/>
            </w:tcBorders>
          </w:tcPr>
          <w:p w14:paraId="0000032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6F5D2B0B" w14:textId="77777777">
        <w:trPr>
          <w:trHeight w:val="219"/>
        </w:trPr>
        <w:tc>
          <w:tcPr>
            <w:tcW w:w="1747" w:type="dxa"/>
          </w:tcPr>
          <w:p w14:paraId="00000326" w14:textId="77777777" w:rsidR="00421882" w:rsidRPr="006801CB" w:rsidRDefault="00363292">
            <w:pPr>
              <w:rPr>
                <w:rFonts w:asciiTheme="minorHAnsi" w:eastAsia="Roboto" w:hAnsiTheme="minorHAnsi" w:cstheme="minorHAnsi"/>
                <w:b/>
                <w:sz w:val="14"/>
                <w:szCs w:val="14"/>
              </w:rPr>
            </w:pPr>
            <w:r w:rsidRPr="006801CB">
              <w:rPr>
                <w:rFonts w:asciiTheme="minorHAnsi" w:eastAsia="Roboto" w:hAnsiTheme="minorHAnsi" w:cstheme="minorHAnsi"/>
                <w:b/>
                <w:sz w:val="14"/>
                <w:szCs w:val="14"/>
              </w:rPr>
              <w:t>Sex</w:t>
            </w:r>
          </w:p>
        </w:tc>
        <w:tc>
          <w:tcPr>
            <w:tcW w:w="840" w:type="dxa"/>
          </w:tcPr>
          <w:p w14:paraId="00000327" w14:textId="77777777" w:rsidR="00421882" w:rsidRPr="006801CB" w:rsidRDefault="00421882">
            <w:pPr>
              <w:jc w:val="center"/>
              <w:rPr>
                <w:rFonts w:asciiTheme="minorHAnsi" w:eastAsia="Roboto" w:hAnsiTheme="minorHAnsi" w:cstheme="minorHAnsi"/>
                <w:sz w:val="14"/>
                <w:szCs w:val="14"/>
              </w:rPr>
            </w:pPr>
          </w:p>
        </w:tc>
        <w:tc>
          <w:tcPr>
            <w:tcW w:w="952" w:type="dxa"/>
          </w:tcPr>
          <w:p w14:paraId="00000328" w14:textId="77777777" w:rsidR="00421882" w:rsidRPr="006801CB" w:rsidRDefault="00421882">
            <w:pPr>
              <w:jc w:val="center"/>
              <w:rPr>
                <w:rFonts w:asciiTheme="minorHAnsi" w:eastAsia="Roboto" w:hAnsiTheme="minorHAnsi" w:cstheme="minorHAnsi"/>
                <w:sz w:val="14"/>
                <w:szCs w:val="14"/>
              </w:rPr>
            </w:pPr>
          </w:p>
        </w:tc>
        <w:tc>
          <w:tcPr>
            <w:tcW w:w="778" w:type="dxa"/>
          </w:tcPr>
          <w:p w14:paraId="00000329" w14:textId="77777777" w:rsidR="00421882" w:rsidRPr="006801CB" w:rsidRDefault="00421882">
            <w:pPr>
              <w:jc w:val="center"/>
              <w:rPr>
                <w:rFonts w:asciiTheme="minorHAnsi" w:eastAsia="Roboto" w:hAnsiTheme="minorHAnsi" w:cstheme="minorHAnsi"/>
                <w:sz w:val="14"/>
                <w:szCs w:val="14"/>
              </w:rPr>
            </w:pPr>
          </w:p>
        </w:tc>
        <w:tc>
          <w:tcPr>
            <w:tcW w:w="1025" w:type="dxa"/>
          </w:tcPr>
          <w:p w14:paraId="0000032A" w14:textId="77777777" w:rsidR="00421882" w:rsidRPr="006801CB" w:rsidRDefault="00421882">
            <w:pPr>
              <w:jc w:val="center"/>
              <w:rPr>
                <w:rFonts w:asciiTheme="minorHAnsi" w:eastAsia="Roboto" w:hAnsiTheme="minorHAnsi" w:cstheme="minorHAnsi"/>
                <w:sz w:val="14"/>
                <w:szCs w:val="14"/>
              </w:rPr>
            </w:pPr>
          </w:p>
        </w:tc>
        <w:tc>
          <w:tcPr>
            <w:tcW w:w="841" w:type="dxa"/>
          </w:tcPr>
          <w:p w14:paraId="0000032B" w14:textId="77777777" w:rsidR="00421882" w:rsidRPr="006801CB" w:rsidRDefault="00421882">
            <w:pPr>
              <w:jc w:val="center"/>
              <w:rPr>
                <w:rFonts w:asciiTheme="minorHAnsi" w:eastAsia="Roboto" w:hAnsiTheme="minorHAnsi" w:cstheme="minorHAnsi"/>
                <w:sz w:val="14"/>
                <w:szCs w:val="14"/>
              </w:rPr>
            </w:pPr>
          </w:p>
        </w:tc>
        <w:tc>
          <w:tcPr>
            <w:tcW w:w="1178" w:type="dxa"/>
          </w:tcPr>
          <w:p w14:paraId="0000032C"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2D"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2E"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2F" w14:textId="77777777" w:rsidR="00421882" w:rsidRPr="006801CB" w:rsidRDefault="00421882">
            <w:pPr>
              <w:jc w:val="center"/>
              <w:rPr>
                <w:rFonts w:asciiTheme="minorHAnsi" w:eastAsia="Roboto" w:hAnsiTheme="minorHAnsi" w:cstheme="minorHAnsi"/>
                <w:sz w:val="14"/>
                <w:szCs w:val="14"/>
              </w:rPr>
            </w:pPr>
          </w:p>
        </w:tc>
      </w:tr>
      <w:tr w:rsidR="00421882" w:rsidRPr="006801CB" w14:paraId="644936CD" w14:textId="77777777">
        <w:trPr>
          <w:trHeight w:val="324"/>
        </w:trPr>
        <w:tc>
          <w:tcPr>
            <w:tcW w:w="1747" w:type="dxa"/>
          </w:tcPr>
          <w:p w14:paraId="00000330"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Male (n = 151)</w:t>
            </w:r>
          </w:p>
        </w:tc>
        <w:tc>
          <w:tcPr>
            <w:tcW w:w="840" w:type="dxa"/>
          </w:tcPr>
          <w:p w14:paraId="0000033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M</w:t>
            </w:r>
          </w:p>
        </w:tc>
        <w:tc>
          <w:tcPr>
            <w:tcW w:w="952" w:type="dxa"/>
          </w:tcPr>
          <w:p w14:paraId="0000033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263.26 (164)</w:t>
            </w:r>
          </w:p>
        </w:tc>
        <w:tc>
          <w:tcPr>
            <w:tcW w:w="778" w:type="dxa"/>
          </w:tcPr>
          <w:p w14:paraId="0000033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.064</w:t>
            </w:r>
          </w:p>
        </w:tc>
        <w:tc>
          <w:tcPr>
            <w:tcW w:w="1025" w:type="dxa"/>
          </w:tcPr>
          <w:p w14:paraId="0000033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.066</w:t>
            </w:r>
          </w:p>
          <w:p w14:paraId="0000033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(.051; .081)</w:t>
            </w:r>
          </w:p>
        </w:tc>
        <w:tc>
          <w:tcPr>
            <w:tcW w:w="841" w:type="dxa"/>
          </w:tcPr>
          <w:p w14:paraId="0000033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3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38"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39"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3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67C84417" w14:textId="77777777">
        <w:trPr>
          <w:trHeight w:val="316"/>
        </w:trPr>
        <w:tc>
          <w:tcPr>
            <w:tcW w:w="1747" w:type="dxa"/>
          </w:tcPr>
          <w:p w14:paraId="0000033B"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Female (n = 168)</w:t>
            </w:r>
          </w:p>
        </w:tc>
        <w:tc>
          <w:tcPr>
            <w:tcW w:w="840" w:type="dxa"/>
          </w:tcPr>
          <w:p w14:paraId="0000033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F</w:t>
            </w:r>
          </w:p>
        </w:tc>
        <w:tc>
          <w:tcPr>
            <w:tcW w:w="952" w:type="dxa"/>
          </w:tcPr>
          <w:p w14:paraId="0000033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365.96 (164)</w:t>
            </w:r>
          </w:p>
        </w:tc>
        <w:tc>
          <w:tcPr>
            <w:tcW w:w="778" w:type="dxa"/>
          </w:tcPr>
          <w:p w14:paraId="0000033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.067</w:t>
            </w:r>
          </w:p>
        </w:tc>
        <w:tc>
          <w:tcPr>
            <w:tcW w:w="1025" w:type="dxa"/>
          </w:tcPr>
          <w:p w14:paraId="0000033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.091 </w:t>
            </w:r>
          </w:p>
          <w:p w14:paraId="0000034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(.079; .104)</w:t>
            </w:r>
          </w:p>
        </w:tc>
        <w:tc>
          <w:tcPr>
            <w:tcW w:w="841" w:type="dxa"/>
          </w:tcPr>
          <w:p w14:paraId="0000034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4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43"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44"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4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08E91C99" w14:textId="77777777">
        <w:trPr>
          <w:trHeight w:val="162"/>
        </w:trPr>
        <w:tc>
          <w:tcPr>
            <w:tcW w:w="1747" w:type="dxa"/>
          </w:tcPr>
          <w:p w14:paraId="00000346"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Configural </w:t>
            </w:r>
          </w:p>
        </w:tc>
        <w:tc>
          <w:tcPr>
            <w:tcW w:w="840" w:type="dxa"/>
          </w:tcPr>
          <w:p w14:paraId="00000347"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sex</w:t>
            </w:r>
            <w:proofErr w:type="spellEnd"/>
          </w:p>
        </w:tc>
        <w:tc>
          <w:tcPr>
            <w:tcW w:w="952" w:type="dxa"/>
          </w:tcPr>
          <w:p w14:paraId="0000034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631.08</w:t>
            </w:r>
          </w:p>
          <w:p w14:paraId="0000034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(328)</w:t>
            </w:r>
          </w:p>
        </w:tc>
        <w:tc>
          <w:tcPr>
            <w:tcW w:w="778" w:type="dxa"/>
          </w:tcPr>
          <w:p w14:paraId="0000034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.062</w:t>
            </w:r>
          </w:p>
        </w:tc>
        <w:tc>
          <w:tcPr>
            <w:tcW w:w="1025" w:type="dxa"/>
          </w:tcPr>
          <w:p w14:paraId="0000034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.080</w:t>
            </w:r>
          </w:p>
          <w:p w14:paraId="0000034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(.071; .090)</w:t>
            </w:r>
          </w:p>
        </w:tc>
        <w:tc>
          <w:tcPr>
            <w:tcW w:w="841" w:type="dxa"/>
          </w:tcPr>
          <w:p w14:paraId="0000034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4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4F"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50"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5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71FABED2" w14:textId="77777777">
        <w:trPr>
          <w:trHeight w:val="162"/>
        </w:trPr>
        <w:tc>
          <w:tcPr>
            <w:tcW w:w="1747" w:type="dxa"/>
          </w:tcPr>
          <w:p w14:paraId="00000352"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Metric</w:t>
            </w:r>
          </w:p>
        </w:tc>
        <w:tc>
          <w:tcPr>
            <w:tcW w:w="840" w:type="dxa"/>
          </w:tcPr>
          <w:p w14:paraId="00000353"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sex</w:t>
            </w:r>
            <w:proofErr w:type="spellEnd"/>
          </w:p>
        </w:tc>
        <w:tc>
          <w:tcPr>
            <w:tcW w:w="952" w:type="dxa"/>
          </w:tcPr>
          <w:p w14:paraId="0000035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642.05</w:t>
            </w:r>
          </w:p>
          <w:p w14:paraId="0000035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(344)</w:t>
            </w:r>
          </w:p>
        </w:tc>
        <w:tc>
          <w:tcPr>
            <w:tcW w:w="778" w:type="dxa"/>
          </w:tcPr>
          <w:p w14:paraId="0000035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.068</w:t>
            </w:r>
          </w:p>
        </w:tc>
        <w:tc>
          <w:tcPr>
            <w:tcW w:w="1025" w:type="dxa"/>
          </w:tcPr>
          <w:p w14:paraId="0000035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.078</w:t>
            </w:r>
          </w:p>
          <w:p w14:paraId="0000035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(.068; .087)</w:t>
            </w:r>
          </w:p>
        </w:tc>
        <w:tc>
          <w:tcPr>
            <w:tcW w:w="841" w:type="dxa"/>
          </w:tcPr>
          <w:p w14:paraId="00000359"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sex</w:t>
            </w:r>
            <w:proofErr w:type="spellEnd"/>
          </w:p>
        </w:tc>
        <w:tc>
          <w:tcPr>
            <w:tcW w:w="1178" w:type="dxa"/>
          </w:tcPr>
          <w:p w14:paraId="0000035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9.05 </w:t>
            </w:r>
          </w:p>
          <w:p w14:paraId="0000035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w:t>
            </w:r>
          </w:p>
        </w:tc>
        <w:tc>
          <w:tcPr>
            <w:tcW w:w="910" w:type="dxa"/>
          </w:tcPr>
          <w:p w14:paraId="0000035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.006</w:t>
            </w:r>
          </w:p>
        </w:tc>
        <w:tc>
          <w:tcPr>
            <w:tcW w:w="910" w:type="dxa"/>
          </w:tcPr>
          <w:p w14:paraId="0000035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.002</w:t>
            </w:r>
          </w:p>
        </w:tc>
        <w:tc>
          <w:tcPr>
            <w:tcW w:w="970" w:type="dxa"/>
          </w:tcPr>
          <w:p w14:paraId="0000035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3B7762B2" w14:textId="77777777">
        <w:trPr>
          <w:trHeight w:val="153"/>
        </w:trPr>
        <w:tc>
          <w:tcPr>
            <w:tcW w:w="1747" w:type="dxa"/>
          </w:tcPr>
          <w:p w14:paraId="0000035F"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Scalar</w:t>
            </w:r>
          </w:p>
        </w:tc>
        <w:tc>
          <w:tcPr>
            <w:tcW w:w="840" w:type="dxa"/>
          </w:tcPr>
          <w:p w14:paraId="00000360"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sex</w:t>
            </w:r>
            <w:proofErr w:type="spellEnd"/>
          </w:p>
        </w:tc>
        <w:tc>
          <w:tcPr>
            <w:tcW w:w="952" w:type="dxa"/>
          </w:tcPr>
          <w:p w14:paraId="0000036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696.23</w:t>
            </w:r>
          </w:p>
          <w:p w14:paraId="0000036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(360)</w:t>
            </w:r>
          </w:p>
        </w:tc>
        <w:tc>
          <w:tcPr>
            <w:tcW w:w="778" w:type="dxa"/>
          </w:tcPr>
          <w:p w14:paraId="0000036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.073</w:t>
            </w:r>
          </w:p>
        </w:tc>
        <w:tc>
          <w:tcPr>
            <w:tcW w:w="1025" w:type="dxa"/>
          </w:tcPr>
          <w:p w14:paraId="0000036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.080</w:t>
            </w:r>
          </w:p>
          <w:p w14:paraId="0000036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(.071; .089)</w:t>
            </w:r>
          </w:p>
        </w:tc>
        <w:tc>
          <w:tcPr>
            <w:tcW w:w="841" w:type="dxa"/>
          </w:tcPr>
          <w:p w14:paraId="00000366"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sex</w:t>
            </w:r>
            <w:proofErr w:type="spellEnd"/>
          </w:p>
        </w:tc>
        <w:tc>
          <w:tcPr>
            <w:tcW w:w="1178" w:type="dxa"/>
          </w:tcPr>
          <w:p w14:paraId="0000036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56.38***</w:t>
            </w:r>
          </w:p>
          <w:p w14:paraId="0000036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w:t>
            </w:r>
          </w:p>
        </w:tc>
        <w:tc>
          <w:tcPr>
            <w:tcW w:w="910" w:type="dxa"/>
          </w:tcPr>
          <w:p w14:paraId="0000036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.005</w:t>
            </w:r>
          </w:p>
        </w:tc>
        <w:tc>
          <w:tcPr>
            <w:tcW w:w="910" w:type="dxa"/>
          </w:tcPr>
          <w:p w14:paraId="0000036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.002</w:t>
            </w:r>
          </w:p>
        </w:tc>
        <w:tc>
          <w:tcPr>
            <w:tcW w:w="970" w:type="dxa"/>
          </w:tcPr>
          <w:p w14:paraId="0000036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6E12096C" w14:textId="77777777">
        <w:trPr>
          <w:trHeight w:val="324"/>
        </w:trPr>
        <w:tc>
          <w:tcPr>
            <w:tcW w:w="1747" w:type="dxa"/>
          </w:tcPr>
          <w:p w14:paraId="0000036C"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Strict factorial</w:t>
            </w:r>
          </w:p>
        </w:tc>
        <w:tc>
          <w:tcPr>
            <w:tcW w:w="840" w:type="dxa"/>
          </w:tcPr>
          <w:p w14:paraId="0000036D"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St</w:t>
            </w:r>
            <w:r w:rsidRPr="006801CB">
              <w:rPr>
                <w:rFonts w:asciiTheme="minorHAnsi" w:eastAsia="Roboto" w:hAnsiTheme="minorHAnsi" w:cstheme="minorHAnsi"/>
                <w:sz w:val="14"/>
                <w:szCs w:val="14"/>
                <w:vertAlign w:val="subscript"/>
              </w:rPr>
              <w:t>sex</w:t>
            </w:r>
            <w:proofErr w:type="spellEnd"/>
          </w:p>
        </w:tc>
        <w:tc>
          <w:tcPr>
            <w:tcW w:w="952" w:type="dxa"/>
          </w:tcPr>
          <w:p w14:paraId="0000036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724.23</w:t>
            </w:r>
          </w:p>
          <w:p w14:paraId="0000036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(380)</w:t>
            </w:r>
          </w:p>
        </w:tc>
        <w:tc>
          <w:tcPr>
            <w:tcW w:w="778" w:type="dxa"/>
          </w:tcPr>
          <w:p w14:paraId="0000037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.075</w:t>
            </w:r>
          </w:p>
        </w:tc>
        <w:tc>
          <w:tcPr>
            <w:tcW w:w="1025" w:type="dxa"/>
          </w:tcPr>
          <w:p w14:paraId="0000037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.079</w:t>
            </w:r>
          </w:p>
          <w:p w14:paraId="0000037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(.070; .088)</w:t>
            </w:r>
          </w:p>
        </w:tc>
        <w:tc>
          <w:tcPr>
            <w:tcW w:w="841" w:type="dxa"/>
          </w:tcPr>
          <w:p w14:paraId="00000373"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sex</w:t>
            </w:r>
            <w:proofErr w:type="spellEnd"/>
          </w:p>
        </w:tc>
        <w:tc>
          <w:tcPr>
            <w:tcW w:w="1178" w:type="dxa"/>
          </w:tcPr>
          <w:p w14:paraId="0000037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27.87 </w:t>
            </w:r>
          </w:p>
          <w:p w14:paraId="0000037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(20)</w:t>
            </w:r>
          </w:p>
        </w:tc>
        <w:tc>
          <w:tcPr>
            <w:tcW w:w="910" w:type="dxa"/>
          </w:tcPr>
          <w:p w14:paraId="0000037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.002</w:t>
            </w:r>
          </w:p>
        </w:tc>
        <w:tc>
          <w:tcPr>
            <w:tcW w:w="910" w:type="dxa"/>
          </w:tcPr>
          <w:p w14:paraId="0000037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.001</w:t>
            </w:r>
          </w:p>
        </w:tc>
        <w:tc>
          <w:tcPr>
            <w:tcW w:w="970" w:type="dxa"/>
          </w:tcPr>
          <w:p w14:paraId="0000037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45006E5E" w14:textId="77777777">
        <w:trPr>
          <w:trHeight w:val="324"/>
        </w:trPr>
        <w:tc>
          <w:tcPr>
            <w:tcW w:w="1747" w:type="dxa"/>
          </w:tcPr>
          <w:p w14:paraId="00000379"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b/>
                <w:sz w:val="14"/>
                <w:szCs w:val="14"/>
              </w:rPr>
              <w:t>Grade level</w:t>
            </w:r>
          </w:p>
        </w:tc>
        <w:tc>
          <w:tcPr>
            <w:tcW w:w="840" w:type="dxa"/>
          </w:tcPr>
          <w:p w14:paraId="0000037A" w14:textId="77777777" w:rsidR="00421882" w:rsidRPr="006801CB" w:rsidRDefault="00421882">
            <w:pPr>
              <w:jc w:val="center"/>
              <w:rPr>
                <w:rFonts w:asciiTheme="minorHAnsi" w:eastAsia="Roboto" w:hAnsiTheme="minorHAnsi" w:cstheme="minorHAnsi"/>
                <w:sz w:val="14"/>
                <w:szCs w:val="14"/>
              </w:rPr>
            </w:pPr>
          </w:p>
        </w:tc>
        <w:tc>
          <w:tcPr>
            <w:tcW w:w="952" w:type="dxa"/>
          </w:tcPr>
          <w:p w14:paraId="0000037B" w14:textId="77777777" w:rsidR="00421882" w:rsidRPr="006801CB" w:rsidRDefault="00421882">
            <w:pPr>
              <w:jc w:val="center"/>
              <w:rPr>
                <w:rFonts w:asciiTheme="minorHAnsi" w:eastAsia="Roboto" w:hAnsiTheme="minorHAnsi" w:cstheme="minorHAnsi"/>
                <w:sz w:val="14"/>
                <w:szCs w:val="14"/>
              </w:rPr>
            </w:pPr>
          </w:p>
        </w:tc>
        <w:tc>
          <w:tcPr>
            <w:tcW w:w="778" w:type="dxa"/>
          </w:tcPr>
          <w:p w14:paraId="0000037C" w14:textId="77777777" w:rsidR="00421882" w:rsidRPr="006801CB" w:rsidRDefault="00421882">
            <w:pPr>
              <w:jc w:val="center"/>
              <w:rPr>
                <w:rFonts w:asciiTheme="minorHAnsi" w:eastAsia="Roboto" w:hAnsiTheme="minorHAnsi" w:cstheme="minorHAnsi"/>
                <w:sz w:val="14"/>
                <w:szCs w:val="14"/>
              </w:rPr>
            </w:pPr>
          </w:p>
        </w:tc>
        <w:tc>
          <w:tcPr>
            <w:tcW w:w="1025" w:type="dxa"/>
          </w:tcPr>
          <w:p w14:paraId="0000037D" w14:textId="77777777" w:rsidR="00421882" w:rsidRPr="006801CB" w:rsidRDefault="00421882">
            <w:pPr>
              <w:jc w:val="center"/>
              <w:rPr>
                <w:rFonts w:asciiTheme="minorHAnsi" w:eastAsia="Roboto" w:hAnsiTheme="minorHAnsi" w:cstheme="minorHAnsi"/>
                <w:sz w:val="14"/>
                <w:szCs w:val="14"/>
              </w:rPr>
            </w:pPr>
          </w:p>
        </w:tc>
        <w:tc>
          <w:tcPr>
            <w:tcW w:w="841" w:type="dxa"/>
          </w:tcPr>
          <w:p w14:paraId="0000037E" w14:textId="77777777" w:rsidR="00421882" w:rsidRPr="006801CB" w:rsidRDefault="00421882">
            <w:pPr>
              <w:jc w:val="center"/>
              <w:rPr>
                <w:rFonts w:asciiTheme="minorHAnsi" w:eastAsia="Roboto" w:hAnsiTheme="minorHAnsi" w:cstheme="minorHAnsi"/>
                <w:sz w:val="14"/>
                <w:szCs w:val="14"/>
              </w:rPr>
            </w:pPr>
          </w:p>
        </w:tc>
        <w:tc>
          <w:tcPr>
            <w:tcW w:w="1178" w:type="dxa"/>
          </w:tcPr>
          <w:p w14:paraId="0000037F"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80"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81"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82" w14:textId="77777777" w:rsidR="00421882" w:rsidRPr="006801CB" w:rsidRDefault="00421882">
            <w:pPr>
              <w:jc w:val="center"/>
              <w:rPr>
                <w:rFonts w:asciiTheme="minorHAnsi" w:eastAsia="Roboto" w:hAnsiTheme="minorHAnsi" w:cstheme="minorHAnsi"/>
                <w:sz w:val="14"/>
                <w:szCs w:val="14"/>
              </w:rPr>
            </w:pPr>
          </w:p>
        </w:tc>
      </w:tr>
      <w:tr w:rsidR="00421882" w:rsidRPr="006801CB" w14:paraId="3C96E8FC" w14:textId="77777777">
        <w:trPr>
          <w:trHeight w:val="324"/>
        </w:trPr>
        <w:tc>
          <w:tcPr>
            <w:tcW w:w="1747" w:type="dxa"/>
          </w:tcPr>
          <w:p w14:paraId="00000383"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Grade 7 (n = 73)</w:t>
            </w:r>
          </w:p>
        </w:tc>
        <w:tc>
          <w:tcPr>
            <w:tcW w:w="840" w:type="dxa"/>
          </w:tcPr>
          <w:p w14:paraId="0000038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G7</w:t>
            </w:r>
          </w:p>
        </w:tc>
        <w:tc>
          <w:tcPr>
            <w:tcW w:w="952" w:type="dxa"/>
          </w:tcPr>
          <w:p w14:paraId="0000038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258.48</w:t>
            </w:r>
          </w:p>
          <w:p w14:paraId="0000038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8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.090</w:t>
            </w:r>
          </w:p>
        </w:tc>
        <w:tc>
          <w:tcPr>
            <w:tcW w:w="1025" w:type="dxa"/>
          </w:tcPr>
          <w:p w14:paraId="0000038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.087</w:t>
            </w:r>
          </w:p>
          <w:p w14:paraId="0000038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(.065; .108)</w:t>
            </w:r>
          </w:p>
        </w:tc>
        <w:tc>
          <w:tcPr>
            <w:tcW w:w="841" w:type="dxa"/>
          </w:tcPr>
          <w:p w14:paraId="0000038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8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8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8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70" w:type="dxa"/>
          </w:tcPr>
          <w:p w14:paraId="0000038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0474E76A" w14:textId="77777777">
        <w:trPr>
          <w:trHeight w:val="324"/>
        </w:trPr>
        <w:tc>
          <w:tcPr>
            <w:tcW w:w="1747" w:type="dxa"/>
          </w:tcPr>
          <w:p w14:paraId="0000038F"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Grade 8 (n = 86)</w:t>
            </w:r>
          </w:p>
        </w:tc>
        <w:tc>
          <w:tcPr>
            <w:tcW w:w="840" w:type="dxa"/>
          </w:tcPr>
          <w:p w14:paraId="0000039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G8</w:t>
            </w:r>
          </w:p>
        </w:tc>
        <w:tc>
          <w:tcPr>
            <w:tcW w:w="952" w:type="dxa"/>
          </w:tcPr>
          <w:p w14:paraId="0000039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297.41</w:t>
            </w:r>
          </w:p>
          <w:p w14:paraId="0000039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9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.076</w:t>
            </w:r>
          </w:p>
        </w:tc>
        <w:tc>
          <w:tcPr>
            <w:tcW w:w="1025" w:type="dxa"/>
          </w:tcPr>
          <w:p w14:paraId="0000039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.099</w:t>
            </w:r>
          </w:p>
          <w:p w14:paraId="00000395"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(.081; .117)</w:t>
            </w:r>
          </w:p>
        </w:tc>
        <w:tc>
          <w:tcPr>
            <w:tcW w:w="841" w:type="dxa"/>
          </w:tcPr>
          <w:p w14:paraId="0000039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9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9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9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70" w:type="dxa"/>
          </w:tcPr>
          <w:p w14:paraId="0000039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13DE7526" w14:textId="77777777">
        <w:trPr>
          <w:trHeight w:val="324"/>
        </w:trPr>
        <w:tc>
          <w:tcPr>
            <w:tcW w:w="1747" w:type="dxa"/>
          </w:tcPr>
          <w:p w14:paraId="0000039B"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Grade 9 (n = 83)</w:t>
            </w:r>
          </w:p>
        </w:tc>
        <w:tc>
          <w:tcPr>
            <w:tcW w:w="840" w:type="dxa"/>
          </w:tcPr>
          <w:p w14:paraId="0000039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G9</w:t>
            </w:r>
          </w:p>
        </w:tc>
        <w:tc>
          <w:tcPr>
            <w:tcW w:w="952" w:type="dxa"/>
          </w:tcPr>
          <w:p w14:paraId="0000039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301.94</w:t>
            </w:r>
          </w:p>
          <w:p w14:paraId="0000039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9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.081</w:t>
            </w:r>
          </w:p>
        </w:tc>
        <w:tc>
          <w:tcPr>
            <w:tcW w:w="1025" w:type="dxa"/>
          </w:tcPr>
          <w:p w14:paraId="000003A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.104</w:t>
            </w:r>
          </w:p>
          <w:p w14:paraId="000003A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(.085; .122)</w:t>
            </w:r>
          </w:p>
        </w:tc>
        <w:tc>
          <w:tcPr>
            <w:tcW w:w="841" w:type="dxa"/>
          </w:tcPr>
          <w:p w14:paraId="000003A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A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A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A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70" w:type="dxa"/>
          </w:tcPr>
          <w:p w14:paraId="000003A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5840E9A7" w14:textId="77777777">
        <w:trPr>
          <w:trHeight w:val="324"/>
        </w:trPr>
        <w:tc>
          <w:tcPr>
            <w:tcW w:w="1747" w:type="dxa"/>
          </w:tcPr>
          <w:p w14:paraId="000003A7"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Grade 10 (n = 77)</w:t>
            </w:r>
          </w:p>
        </w:tc>
        <w:tc>
          <w:tcPr>
            <w:tcW w:w="840" w:type="dxa"/>
          </w:tcPr>
          <w:p w14:paraId="000003A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G10</w:t>
            </w:r>
          </w:p>
        </w:tc>
        <w:tc>
          <w:tcPr>
            <w:tcW w:w="952" w:type="dxa"/>
          </w:tcPr>
          <w:p w14:paraId="000003A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302.98</w:t>
            </w:r>
          </w:p>
          <w:p w14:paraId="000003A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A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.077</w:t>
            </w:r>
          </w:p>
        </w:tc>
        <w:tc>
          <w:tcPr>
            <w:tcW w:w="1025" w:type="dxa"/>
          </w:tcPr>
          <w:p w14:paraId="000003A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.108</w:t>
            </w:r>
          </w:p>
          <w:p w14:paraId="000003A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(.089; .127)</w:t>
            </w:r>
          </w:p>
        </w:tc>
        <w:tc>
          <w:tcPr>
            <w:tcW w:w="841" w:type="dxa"/>
          </w:tcPr>
          <w:p w14:paraId="000003A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A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B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B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70" w:type="dxa"/>
          </w:tcPr>
          <w:p w14:paraId="000003B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4D508402" w14:textId="77777777">
        <w:trPr>
          <w:trHeight w:val="324"/>
        </w:trPr>
        <w:tc>
          <w:tcPr>
            <w:tcW w:w="1747" w:type="dxa"/>
          </w:tcPr>
          <w:p w14:paraId="000003B3"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Configural </w:t>
            </w:r>
          </w:p>
        </w:tc>
        <w:tc>
          <w:tcPr>
            <w:tcW w:w="840" w:type="dxa"/>
          </w:tcPr>
          <w:p w14:paraId="000003B4"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grade</w:t>
            </w:r>
            <w:proofErr w:type="spellEnd"/>
          </w:p>
        </w:tc>
        <w:tc>
          <w:tcPr>
            <w:tcW w:w="952" w:type="dxa"/>
          </w:tcPr>
          <w:p w14:paraId="000003B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1157.13</w:t>
            </w:r>
          </w:p>
          <w:p w14:paraId="000003B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(656)</w:t>
            </w:r>
          </w:p>
        </w:tc>
        <w:tc>
          <w:tcPr>
            <w:tcW w:w="778" w:type="dxa"/>
          </w:tcPr>
          <w:p w14:paraId="000003B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.077</w:t>
            </w:r>
          </w:p>
        </w:tc>
        <w:tc>
          <w:tcPr>
            <w:tcW w:w="1025" w:type="dxa"/>
          </w:tcPr>
          <w:p w14:paraId="000003B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.100</w:t>
            </w:r>
          </w:p>
          <w:p w14:paraId="000003B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(.091; .110)</w:t>
            </w:r>
          </w:p>
        </w:tc>
        <w:tc>
          <w:tcPr>
            <w:tcW w:w="841" w:type="dxa"/>
          </w:tcPr>
          <w:p w14:paraId="000003B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B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B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B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70" w:type="dxa"/>
          </w:tcPr>
          <w:p w14:paraId="000003B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24E5207D" w14:textId="77777777">
        <w:trPr>
          <w:trHeight w:val="324"/>
        </w:trPr>
        <w:tc>
          <w:tcPr>
            <w:tcW w:w="1747" w:type="dxa"/>
          </w:tcPr>
          <w:p w14:paraId="000003BF"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Metric</w:t>
            </w:r>
          </w:p>
        </w:tc>
        <w:tc>
          <w:tcPr>
            <w:tcW w:w="840" w:type="dxa"/>
          </w:tcPr>
          <w:p w14:paraId="000003C0"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grade</w:t>
            </w:r>
            <w:proofErr w:type="spellEnd"/>
          </w:p>
        </w:tc>
        <w:tc>
          <w:tcPr>
            <w:tcW w:w="952" w:type="dxa"/>
          </w:tcPr>
          <w:p w14:paraId="000003C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1213 .97</w:t>
            </w:r>
          </w:p>
          <w:p w14:paraId="000003C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(704)</w:t>
            </w:r>
          </w:p>
        </w:tc>
        <w:tc>
          <w:tcPr>
            <w:tcW w:w="778" w:type="dxa"/>
          </w:tcPr>
          <w:p w14:paraId="000003C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.093</w:t>
            </w:r>
          </w:p>
        </w:tc>
        <w:tc>
          <w:tcPr>
            <w:tcW w:w="1025" w:type="dxa"/>
          </w:tcPr>
          <w:p w14:paraId="000003C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.097</w:t>
            </w:r>
          </w:p>
          <w:p w14:paraId="000003C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(.088; .106)</w:t>
            </w:r>
          </w:p>
        </w:tc>
        <w:tc>
          <w:tcPr>
            <w:tcW w:w="841" w:type="dxa"/>
          </w:tcPr>
          <w:p w14:paraId="000003C6"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grade</w:t>
            </w:r>
            <w:proofErr w:type="spellEnd"/>
          </w:p>
        </w:tc>
        <w:tc>
          <w:tcPr>
            <w:tcW w:w="1178" w:type="dxa"/>
          </w:tcPr>
          <w:p w14:paraId="000003C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55.44</w:t>
            </w:r>
          </w:p>
          <w:p w14:paraId="000003C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(48)</w:t>
            </w:r>
          </w:p>
        </w:tc>
        <w:tc>
          <w:tcPr>
            <w:tcW w:w="910" w:type="dxa"/>
          </w:tcPr>
          <w:p w14:paraId="000003C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.016</w:t>
            </w:r>
          </w:p>
        </w:tc>
        <w:tc>
          <w:tcPr>
            <w:tcW w:w="910" w:type="dxa"/>
          </w:tcPr>
          <w:p w14:paraId="000003C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.003</w:t>
            </w:r>
          </w:p>
        </w:tc>
        <w:tc>
          <w:tcPr>
            <w:tcW w:w="970" w:type="dxa"/>
          </w:tcPr>
          <w:p w14:paraId="000003C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051C1423" w14:textId="77777777">
        <w:trPr>
          <w:trHeight w:val="324"/>
        </w:trPr>
        <w:tc>
          <w:tcPr>
            <w:tcW w:w="1747" w:type="dxa"/>
          </w:tcPr>
          <w:p w14:paraId="000003CC"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Scalar</w:t>
            </w:r>
          </w:p>
        </w:tc>
        <w:tc>
          <w:tcPr>
            <w:tcW w:w="840" w:type="dxa"/>
          </w:tcPr>
          <w:p w14:paraId="000003CD"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grade</w:t>
            </w:r>
            <w:proofErr w:type="spellEnd"/>
          </w:p>
        </w:tc>
        <w:tc>
          <w:tcPr>
            <w:tcW w:w="952" w:type="dxa"/>
          </w:tcPr>
          <w:p w14:paraId="000003C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1284.50</w:t>
            </w:r>
          </w:p>
          <w:p w14:paraId="000003C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(752)</w:t>
            </w:r>
          </w:p>
        </w:tc>
        <w:tc>
          <w:tcPr>
            <w:tcW w:w="778" w:type="dxa"/>
          </w:tcPr>
          <w:p w14:paraId="000003D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.096</w:t>
            </w:r>
          </w:p>
        </w:tc>
        <w:tc>
          <w:tcPr>
            <w:tcW w:w="1025" w:type="dxa"/>
          </w:tcPr>
          <w:p w14:paraId="000003D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.096</w:t>
            </w:r>
          </w:p>
          <w:p w14:paraId="000003D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(.087; .105)</w:t>
            </w:r>
          </w:p>
        </w:tc>
        <w:tc>
          <w:tcPr>
            <w:tcW w:w="841" w:type="dxa"/>
          </w:tcPr>
          <w:p w14:paraId="000003D3"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grade</w:t>
            </w:r>
            <w:proofErr w:type="spellEnd"/>
          </w:p>
        </w:tc>
        <w:tc>
          <w:tcPr>
            <w:tcW w:w="1178" w:type="dxa"/>
            <w:shd w:val="clear" w:color="auto" w:fill="auto"/>
          </w:tcPr>
          <w:p w14:paraId="000003D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69.91*</w:t>
            </w:r>
          </w:p>
          <w:p w14:paraId="000003D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(48)</w:t>
            </w:r>
          </w:p>
        </w:tc>
        <w:tc>
          <w:tcPr>
            <w:tcW w:w="910" w:type="dxa"/>
          </w:tcPr>
          <w:p w14:paraId="000003D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.003</w:t>
            </w:r>
          </w:p>
        </w:tc>
        <w:tc>
          <w:tcPr>
            <w:tcW w:w="910" w:type="dxa"/>
          </w:tcPr>
          <w:p w14:paraId="000003D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.001</w:t>
            </w:r>
          </w:p>
        </w:tc>
        <w:tc>
          <w:tcPr>
            <w:tcW w:w="970" w:type="dxa"/>
          </w:tcPr>
          <w:p w14:paraId="000003D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213D2316" w14:textId="77777777">
        <w:trPr>
          <w:trHeight w:val="324"/>
        </w:trPr>
        <w:tc>
          <w:tcPr>
            <w:tcW w:w="1747" w:type="dxa"/>
          </w:tcPr>
          <w:p w14:paraId="000003D9"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Strict factorial</w:t>
            </w:r>
          </w:p>
        </w:tc>
        <w:tc>
          <w:tcPr>
            <w:tcW w:w="840" w:type="dxa"/>
          </w:tcPr>
          <w:p w14:paraId="000003DA"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St</w:t>
            </w:r>
            <w:r w:rsidRPr="006801CB">
              <w:rPr>
                <w:rFonts w:asciiTheme="minorHAnsi" w:eastAsia="Roboto" w:hAnsiTheme="minorHAnsi" w:cstheme="minorHAnsi"/>
                <w:sz w:val="14"/>
                <w:szCs w:val="14"/>
                <w:vertAlign w:val="subscript"/>
              </w:rPr>
              <w:t>grade</w:t>
            </w:r>
            <w:proofErr w:type="spellEnd"/>
          </w:p>
        </w:tc>
        <w:tc>
          <w:tcPr>
            <w:tcW w:w="952" w:type="dxa"/>
          </w:tcPr>
          <w:p w14:paraId="000003D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1334.16</w:t>
            </w:r>
          </w:p>
          <w:p w14:paraId="000003D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(812)</w:t>
            </w:r>
          </w:p>
        </w:tc>
        <w:tc>
          <w:tcPr>
            <w:tcW w:w="778" w:type="dxa"/>
          </w:tcPr>
          <w:p w14:paraId="000003D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.097</w:t>
            </w:r>
          </w:p>
        </w:tc>
        <w:tc>
          <w:tcPr>
            <w:tcW w:w="1025" w:type="dxa"/>
          </w:tcPr>
          <w:p w14:paraId="000003D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.090</w:t>
            </w:r>
          </w:p>
          <w:p w14:paraId="000003D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(.083; .100)</w:t>
            </w:r>
          </w:p>
        </w:tc>
        <w:tc>
          <w:tcPr>
            <w:tcW w:w="841" w:type="dxa"/>
          </w:tcPr>
          <w:p w14:paraId="000003E0"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grade</w:t>
            </w:r>
            <w:proofErr w:type="spellEnd"/>
          </w:p>
        </w:tc>
        <w:tc>
          <w:tcPr>
            <w:tcW w:w="1178" w:type="dxa"/>
          </w:tcPr>
          <w:p w14:paraId="000003E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51.38</w:t>
            </w:r>
          </w:p>
        </w:tc>
        <w:tc>
          <w:tcPr>
            <w:tcW w:w="910" w:type="dxa"/>
          </w:tcPr>
          <w:p w14:paraId="000003E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.001</w:t>
            </w:r>
          </w:p>
        </w:tc>
        <w:tc>
          <w:tcPr>
            <w:tcW w:w="910" w:type="dxa"/>
          </w:tcPr>
          <w:p w14:paraId="000003E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.004</w:t>
            </w:r>
          </w:p>
        </w:tc>
        <w:tc>
          <w:tcPr>
            <w:tcW w:w="970" w:type="dxa"/>
          </w:tcPr>
          <w:p w14:paraId="000003E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4177C873" w14:textId="77777777">
        <w:trPr>
          <w:trHeight w:val="324"/>
        </w:trPr>
        <w:tc>
          <w:tcPr>
            <w:tcW w:w="1747" w:type="dxa"/>
          </w:tcPr>
          <w:p w14:paraId="000003E5" w14:textId="77777777" w:rsidR="00421882" w:rsidRPr="006801CB" w:rsidRDefault="00363292">
            <w:pPr>
              <w:rPr>
                <w:rFonts w:asciiTheme="minorHAnsi" w:eastAsia="Roboto" w:hAnsiTheme="minorHAnsi" w:cstheme="minorHAnsi"/>
                <w:b/>
                <w:sz w:val="14"/>
                <w:szCs w:val="14"/>
              </w:rPr>
            </w:pPr>
            <w:r w:rsidRPr="006801CB">
              <w:rPr>
                <w:rFonts w:asciiTheme="minorHAnsi" w:eastAsia="Roboto" w:hAnsiTheme="minorHAnsi" w:cstheme="minorHAnsi"/>
                <w:b/>
                <w:sz w:val="14"/>
                <w:szCs w:val="14"/>
              </w:rPr>
              <w:t>Age</w:t>
            </w:r>
          </w:p>
        </w:tc>
        <w:tc>
          <w:tcPr>
            <w:tcW w:w="840" w:type="dxa"/>
          </w:tcPr>
          <w:p w14:paraId="000003E6" w14:textId="77777777" w:rsidR="00421882" w:rsidRPr="006801CB" w:rsidRDefault="00421882">
            <w:pPr>
              <w:jc w:val="center"/>
              <w:rPr>
                <w:rFonts w:asciiTheme="minorHAnsi" w:eastAsia="Roboto" w:hAnsiTheme="minorHAnsi" w:cstheme="minorHAnsi"/>
                <w:sz w:val="14"/>
                <w:szCs w:val="14"/>
              </w:rPr>
            </w:pPr>
          </w:p>
        </w:tc>
        <w:tc>
          <w:tcPr>
            <w:tcW w:w="952" w:type="dxa"/>
          </w:tcPr>
          <w:p w14:paraId="000003E7" w14:textId="77777777" w:rsidR="00421882" w:rsidRPr="006801CB" w:rsidRDefault="00421882">
            <w:pPr>
              <w:jc w:val="center"/>
              <w:rPr>
                <w:rFonts w:asciiTheme="minorHAnsi" w:eastAsia="Roboto" w:hAnsiTheme="minorHAnsi" w:cstheme="minorHAnsi"/>
                <w:sz w:val="14"/>
                <w:szCs w:val="14"/>
              </w:rPr>
            </w:pPr>
          </w:p>
        </w:tc>
        <w:tc>
          <w:tcPr>
            <w:tcW w:w="778" w:type="dxa"/>
          </w:tcPr>
          <w:p w14:paraId="000003E8" w14:textId="77777777" w:rsidR="00421882" w:rsidRPr="006801CB" w:rsidRDefault="00421882">
            <w:pPr>
              <w:jc w:val="center"/>
              <w:rPr>
                <w:rFonts w:asciiTheme="minorHAnsi" w:eastAsia="Roboto" w:hAnsiTheme="minorHAnsi" w:cstheme="minorHAnsi"/>
                <w:sz w:val="14"/>
                <w:szCs w:val="14"/>
              </w:rPr>
            </w:pPr>
          </w:p>
        </w:tc>
        <w:tc>
          <w:tcPr>
            <w:tcW w:w="1025" w:type="dxa"/>
          </w:tcPr>
          <w:p w14:paraId="000003E9" w14:textId="77777777" w:rsidR="00421882" w:rsidRPr="006801CB" w:rsidRDefault="00421882">
            <w:pPr>
              <w:jc w:val="center"/>
              <w:rPr>
                <w:rFonts w:asciiTheme="minorHAnsi" w:eastAsia="Roboto" w:hAnsiTheme="minorHAnsi" w:cstheme="minorHAnsi"/>
                <w:sz w:val="14"/>
                <w:szCs w:val="14"/>
              </w:rPr>
            </w:pPr>
          </w:p>
        </w:tc>
        <w:tc>
          <w:tcPr>
            <w:tcW w:w="841" w:type="dxa"/>
          </w:tcPr>
          <w:p w14:paraId="000003EA" w14:textId="77777777" w:rsidR="00421882" w:rsidRPr="006801CB" w:rsidRDefault="00421882">
            <w:pPr>
              <w:jc w:val="center"/>
              <w:rPr>
                <w:rFonts w:asciiTheme="minorHAnsi" w:eastAsia="Roboto" w:hAnsiTheme="minorHAnsi" w:cstheme="minorHAnsi"/>
                <w:sz w:val="14"/>
                <w:szCs w:val="14"/>
              </w:rPr>
            </w:pPr>
          </w:p>
        </w:tc>
        <w:tc>
          <w:tcPr>
            <w:tcW w:w="1178" w:type="dxa"/>
          </w:tcPr>
          <w:p w14:paraId="000003EB"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EC"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ED"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EE" w14:textId="77777777" w:rsidR="00421882" w:rsidRPr="006801CB" w:rsidRDefault="00421882">
            <w:pPr>
              <w:jc w:val="center"/>
              <w:rPr>
                <w:rFonts w:asciiTheme="minorHAnsi" w:eastAsia="Roboto" w:hAnsiTheme="minorHAnsi" w:cstheme="minorHAnsi"/>
                <w:sz w:val="14"/>
                <w:szCs w:val="14"/>
              </w:rPr>
            </w:pPr>
          </w:p>
        </w:tc>
      </w:tr>
      <w:tr w:rsidR="00421882" w:rsidRPr="006801CB" w14:paraId="2B51CC3B" w14:textId="77777777">
        <w:trPr>
          <w:trHeight w:val="324"/>
        </w:trPr>
        <w:tc>
          <w:tcPr>
            <w:tcW w:w="1747" w:type="dxa"/>
          </w:tcPr>
          <w:p w14:paraId="000003EF"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11-12 (n = 59) </w:t>
            </w:r>
          </w:p>
        </w:tc>
        <w:tc>
          <w:tcPr>
            <w:tcW w:w="840" w:type="dxa"/>
          </w:tcPr>
          <w:p w14:paraId="000003F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A1</w:t>
            </w:r>
          </w:p>
        </w:tc>
        <w:tc>
          <w:tcPr>
            <w:tcW w:w="952" w:type="dxa"/>
          </w:tcPr>
          <w:p w14:paraId="000003F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253.47</w:t>
            </w:r>
          </w:p>
          <w:p w14:paraId="000003F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F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.098</w:t>
            </w:r>
          </w:p>
        </w:tc>
        <w:tc>
          <w:tcPr>
            <w:tcW w:w="1025" w:type="dxa"/>
          </w:tcPr>
          <w:p w14:paraId="000003F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.095</w:t>
            </w:r>
          </w:p>
          <w:p w14:paraId="000003F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(.071; .118)</w:t>
            </w:r>
          </w:p>
        </w:tc>
        <w:tc>
          <w:tcPr>
            <w:tcW w:w="841" w:type="dxa"/>
          </w:tcPr>
          <w:p w14:paraId="000003F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3F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3F8" w14:textId="77777777" w:rsidR="00421882" w:rsidRPr="006801CB" w:rsidRDefault="00421882">
            <w:pPr>
              <w:jc w:val="center"/>
              <w:rPr>
                <w:rFonts w:asciiTheme="minorHAnsi" w:eastAsia="Roboto" w:hAnsiTheme="minorHAnsi" w:cstheme="minorHAnsi"/>
                <w:sz w:val="14"/>
                <w:szCs w:val="14"/>
              </w:rPr>
            </w:pPr>
          </w:p>
        </w:tc>
        <w:tc>
          <w:tcPr>
            <w:tcW w:w="910" w:type="dxa"/>
          </w:tcPr>
          <w:p w14:paraId="000003F9" w14:textId="77777777" w:rsidR="00421882" w:rsidRPr="006801CB" w:rsidRDefault="00421882">
            <w:pPr>
              <w:jc w:val="center"/>
              <w:rPr>
                <w:rFonts w:asciiTheme="minorHAnsi" w:eastAsia="Roboto" w:hAnsiTheme="minorHAnsi" w:cstheme="minorHAnsi"/>
                <w:sz w:val="14"/>
                <w:szCs w:val="14"/>
              </w:rPr>
            </w:pPr>
          </w:p>
        </w:tc>
        <w:tc>
          <w:tcPr>
            <w:tcW w:w="970" w:type="dxa"/>
          </w:tcPr>
          <w:p w14:paraId="000003F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7C14AED9" w14:textId="77777777">
        <w:trPr>
          <w:trHeight w:val="324"/>
        </w:trPr>
        <w:tc>
          <w:tcPr>
            <w:tcW w:w="1747" w:type="dxa"/>
          </w:tcPr>
          <w:p w14:paraId="000003FB"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13-14 (n = 143)</w:t>
            </w:r>
          </w:p>
        </w:tc>
        <w:tc>
          <w:tcPr>
            <w:tcW w:w="840" w:type="dxa"/>
          </w:tcPr>
          <w:p w14:paraId="000003F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A2</w:t>
            </w:r>
          </w:p>
        </w:tc>
        <w:tc>
          <w:tcPr>
            <w:tcW w:w="952" w:type="dxa"/>
          </w:tcPr>
          <w:p w14:paraId="000003F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289.35</w:t>
            </w:r>
          </w:p>
          <w:p w14:paraId="000003F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3F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.066</w:t>
            </w:r>
          </w:p>
        </w:tc>
        <w:tc>
          <w:tcPr>
            <w:tcW w:w="1025" w:type="dxa"/>
          </w:tcPr>
          <w:p w14:paraId="0000040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.077</w:t>
            </w:r>
          </w:p>
          <w:p w14:paraId="0000040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(.062; .091)</w:t>
            </w:r>
          </w:p>
        </w:tc>
        <w:tc>
          <w:tcPr>
            <w:tcW w:w="841" w:type="dxa"/>
          </w:tcPr>
          <w:p w14:paraId="0000040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40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404" w14:textId="77777777" w:rsidR="00421882" w:rsidRPr="006801CB" w:rsidRDefault="00421882">
            <w:pPr>
              <w:jc w:val="center"/>
              <w:rPr>
                <w:rFonts w:asciiTheme="minorHAnsi" w:eastAsia="Roboto" w:hAnsiTheme="minorHAnsi" w:cstheme="minorHAnsi"/>
                <w:sz w:val="14"/>
                <w:szCs w:val="14"/>
              </w:rPr>
            </w:pPr>
          </w:p>
        </w:tc>
        <w:tc>
          <w:tcPr>
            <w:tcW w:w="910" w:type="dxa"/>
          </w:tcPr>
          <w:p w14:paraId="00000405" w14:textId="77777777" w:rsidR="00421882" w:rsidRPr="006801CB" w:rsidRDefault="00421882">
            <w:pPr>
              <w:jc w:val="center"/>
              <w:rPr>
                <w:rFonts w:asciiTheme="minorHAnsi" w:eastAsia="Roboto" w:hAnsiTheme="minorHAnsi" w:cstheme="minorHAnsi"/>
                <w:sz w:val="14"/>
                <w:szCs w:val="14"/>
              </w:rPr>
            </w:pPr>
          </w:p>
        </w:tc>
        <w:tc>
          <w:tcPr>
            <w:tcW w:w="970" w:type="dxa"/>
          </w:tcPr>
          <w:p w14:paraId="0000040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4084BC9C" w14:textId="77777777">
        <w:trPr>
          <w:trHeight w:val="324"/>
        </w:trPr>
        <w:tc>
          <w:tcPr>
            <w:tcW w:w="1747" w:type="dxa"/>
          </w:tcPr>
          <w:p w14:paraId="00000407"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15-17 (n = 117)</w:t>
            </w:r>
          </w:p>
        </w:tc>
        <w:tc>
          <w:tcPr>
            <w:tcW w:w="840" w:type="dxa"/>
          </w:tcPr>
          <w:p w14:paraId="0000040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A3</w:t>
            </w:r>
          </w:p>
        </w:tc>
        <w:tc>
          <w:tcPr>
            <w:tcW w:w="952" w:type="dxa"/>
          </w:tcPr>
          <w:p w14:paraId="0000040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321.64</w:t>
            </w:r>
          </w:p>
          <w:p w14:paraId="0000040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(164)</w:t>
            </w:r>
          </w:p>
        </w:tc>
        <w:tc>
          <w:tcPr>
            <w:tcW w:w="778" w:type="dxa"/>
          </w:tcPr>
          <w:p w14:paraId="0000040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.072</w:t>
            </w:r>
          </w:p>
        </w:tc>
        <w:tc>
          <w:tcPr>
            <w:tcW w:w="1025" w:type="dxa"/>
          </w:tcPr>
          <w:p w14:paraId="0000040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.096</w:t>
            </w:r>
          </w:p>
          <w:p w14:paraId="0000040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(.080; .112)</w:t>
            </w:r>
          </w:p>
        </w:tc>
        <w:tc>
          <w:tcPr>
            <w:tcW w:w="841" w:type="dxa"/>
          </w:tcPr>
          <w:p w14:paraId="0000040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40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410" w14:textId="77777777" w:rsidR="00421882" w:rsidRPr="006801CB" w:rsidRDefault="00421882">
            <w:pPr>
              <w:jc w:val="center"/>
              <w:rPr>
                <w:rFonts w:asciiTheme="minorHAnsi" w:eastAsia="Roboto" w:hAnsiTheme="minorHAnsi" w:cstheme="minorHAnsi"/>
                <w:sz w:val="14"/>
                <w:szCs w:val="14"/>
              </w:rPr>
            </w:pPr>
          </w:p>
        </w:tc>
        <w:tc>
          <w:tcPr>
            <w:tcW w:w="910" w:type="dxa"/>
          </w:tcPr>
          <w:p w14:paraId="00000411" w14:textId="77777777" w:rsidR="00421882" w:rsidRPr="006801CB" w:rsidRDefault="00421882">
            <w:pPr>
              <w:jc w:val="center"/>
              <w:rPr>
                <w:rFonts w:asciiTheme="minorHAnsi" w:eastAsia="Roboto" w:hAnsiTheme="minorHAnsi" w:cstheme="minorHAnsi"/>
                <w:sz w:val="14"/>
                <w:szCs w:val="14"/>
              </w:rPr>
            </w:pPr>
          </w:p>
        </w:tc>
        <w:tc>
          <w:tcPr>
            <w:tcW w:w="970" w:type="dxa"/>
          </w:tcPr>
          <w:p w14:paraId="0000041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3F44773A" w14:textId="77777777">
        <w:trPr>
          <w:trHeight w:val="324"/>
        </w:trPr>
        <w:tc>
          <w:tcPr>
            <w:tcW w:w="1747" w:type="dxa"/>
          </w:tcPr>
          <w:p w14:paraId="00000413"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Configural </w:t>
            </w:r>
          </w:p>
        </w:tc>
        <w:tc>
          <w:tcPr>
            <w:tcW w:w="840" w:type="dxa"/>
          </w:tcPr>
          <w:p w14:paraId="0000041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age</w:t>
            </w:r>
          </w:p>
        </w:tc>
        <w:tc>
          <w:tcPr>
            <w:tcW w:w="952" w:type="dxa"/>
          </w:tcPr>
          <w:p w14:paraId="0000041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869.02</w:t>
            </w:r>
          </w:p>
          <w:p w14:paraId="0000041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(492)</w:t>
            </w:r>
          </w:p>
        </w:tc>
        <w:tc>
          <w:tcPr>
            <w:tcW w:w="778" w:type="dxa"/>
          </w:tcPr>
          <w:p w14:paraId="0000041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.071</w:t>
            </w:r>
          </w:p>
        </w:tc>
        <w:tc>
          <w:tcPr>
            <w:tcW w:w="1025" w:type="dxa"/>
          </w:tcPr>
          <w:p w14:paraId="0000041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.088</w:t>
            </w:r>
          </w:p>
          <w:p w14:paraId="0000041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(.078; .097)</w:t>
            </w:r>
          </w:p>
        </w:tc>
        <w:tc>
          <w:tcPr>
            <w:tcW w:w="841" w:type="dxa"/>
          </w:tcPr>
          <w:p w14:paraId="0000041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1178" w:type="dxa"/>
          </w:tcPr>
          <w:p w14:paraId="0000041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c>
          <w:tcPr>
            <w:tcW w:w="910" w:type="dxa"/>
          </w:tcPr>
          <w:p w14:paraId="0000041C" w14:textId="77777777" w:rsidR="00421882" w:rsidRPr="006801CB" w:rsidRDefault="00421882">
            <w:pPr>
              <w:jc w:val="center"/>
              <w:rPr>
                <w:rFonts w:asciiTheme="minorHAnsi" w:eastAsia="Roboto" w:hAnsiTheme="minorHAnsi" w:cstheme="minorHAnsi"/>
                <w:sz w:val="14"/>
                <w:szCs w:val="14"/>
              </w:rPr>
            </w:pPr>
          </w:p>
        </w:tc>
        <w:tc>
          <w:tcPr>
            <w:tcW w:w="910" w:type="dxa"/>
          </w:tcPr>
          <w:p w14:paraId="0000041D" w14:textId="77777777" w:rsidR="00421882" w:rsidRPr="006801CB" w:rsidRDefault="00421882">
            <w:pPr>
              <w:jc w:val="center"/>
              <w:rPr>
                <w:rFonts w:asciiTheme="minorHAnsi" w:eastAsia="Roboto" w:hAnsiTheme="minorHAnsi" w:cstheme="minorHAnsi"/>
                <w:sz w:val="14"/>
                <w:szCs w:val="14"/>
              </w:rPr>
            </w:pPr>
          </w:p>
        </w:tc>
        <w:tc>
          <w:tcPr>
            <w:tcW w:w="970" w:type="dxa"/>
          </w:tcPr>
          <w:p w14:paraId="0000041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w:t>
            </w:r>
          </w:p>
        </w:tc>
      </w:tr>
      <w:tr w:rsidR="00421882" w:rsidRPr="006801CB" w14:paraId="409EBBA5" w14:textId="77777777">
        <w:trPr>
          <w:trHeight w:val="324"/>
        </w:trPr>
        <w:tc>
          <w:tcPr>
            <w:tcW w:w="1747" w:type="dxa"/>
          </w:tcPr>
          <w:p w14:paraId="0000041F"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Metric</w:t>
            </w:r>
          </w:p>
        </w:tc>
        <w:tc>
          <w:tcPr>
            <w:tcW w:w="840" w:type="dxa"/>
          </w:tcPr>
          <w:p w14:paraId="00000420"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age</w:t>
            </w:r>
            <w:proofErr w:type="spellEnd"/>
          </w:p>
        </w:tc>
        <w:tc>
          <w:tcPr>
            <w:tcW w:w="952" w:type="dxa"/>
          </w:tcPr>
          <w:p w14:paraId="0000042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904.98</w:t>
            </w:r>
          </w:p>
          <w:p w14:paraId="0000042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(524)</w:t>
            </w:r>
          </w:p>
        </w:tc>
        <w:tc>
          <w:tcPr>
            <w:tcW w:w="778" w:type="dxa"/>
          </w:tcPr>
          <w:p w14:paraId="0000042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.081</w:t>
            </w:r>
          </w:p>
        </w:tc>
        <w:tc>
          <w:tcPr>
            <w:tcW w:w="1025" w:type="dxa"/>
          </w:tcPr>
          <w:p w14:paraId="0000042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.085</w:t>
            </w:r>
          </w:p>
          <w:p w14:paraId="0000042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(.076; .095)</w:t>
            </w:r>
          </w:p>
        </w:tc>
        <w:tc>
          <w:tcPr>
            <w:tcW w:w="841" w:type="dxa"/>
          </w:tcPr>
          <w:p w14:paraId="0000042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C</w:t>
            </w:r>
            <w:r w:rsidRPr="006801CB">
              <w:rPr>
                <w:rFonts w:asciiTheme="minorHAnsi" w:eastAsia="Roboto" w:hAnsiTheme="minorHAnsi" w:cstheme="minorHAnsi"/>
                <w:sz w:val="14"/>
                <w:szCs w:val="14"/>
                <w:vertAlign w:val="subscript"/>
              </w:rPr>
              <w:t>age</w:t>
            </w:r>
          </w:p>
        </w:tc>
        <w:tc>
          <w:tcPr>
            <w:tcW w:w="1178" w:type="dxa"/>
          </w:tcPr>
          <w:p w14:paraId="0000042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34.73</w:t>
            </w:r>
          </w:p>
          <w:p w14:paraId="0000042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(32)</w:t>
            </w:r>
          </w:p>
        </w:tc>
        <w:tc>
          <w:tcPr>
            <w:tcW w:w="910" w:type="dxa"/>
          </w:tcPr>
          <w:p w14:paraId="00000429"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.01</w:t>
            </w:r>
          </w:p>
        </w:tc>
        <w:tc>
          <w:tcPr>
            <w:tcW w:w="910" w:type="dxa"/>
          </w:tcPr>
          <w:p w14:paraId="0000042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.003</w:t>
            </w:r>
          </w:p>
        </w:tc>
        <w:tc>
          <w:tcPr>
            <w:tcW w:w="970" w:type="dxa"/>
          </w:tcPr>
          <w:p w14:paraId="0000042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24917F09" w14:textId="77777777">
        <w:trPr>
          <w:trHeight w:val="324"/>
        </w:trPr>
        <w:tc>
          <w:tcPr>
            <w:tcW w:w="1747" w:type="dxa"/>
          </w:tcPr>
          <w:p w14:paraId="0000042C"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Scalar</w:t>
            </w:r>
          </w:p>
        </w:tc>
        <w:tc>
          <w:tcPr>
            <w:tcW w:w="840" w:type="dxa"/>
          </w:tcPr>
          <w:p w14:paraId="0000042D"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age</w:t>
            </w:r>
            <w:proofErr w:type="spellEnd"/>
          </w:p>
        </w:tc>
        <w:tc>
          <w:tcPr>
            <w:tcW w:w="952" w:type="dxa"/>
          </w:tcPr>
          <w:p w14:paraId="0000042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948.96</w:t>
            </w:r>
          </w:p>
          <w:p w14:paraId="0000042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(556)</w:t>
            </w:r>
          </w:p>
        </w:tc>
        <w:tc>
          <w:tcPr>
            <w:tcW w:w="778" w:type="dxa"/>
          </w:tcPr>
          <w:p w14:paraId="00000430"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.083</w:t>
            </w:r>
          </w:p>
        </w:tc>
        <w:tc>
          <w:tcPr>
            <w:tcW w:w="1025" w:type="dxa"/>
          </w:tcPr>
          <w:p w14:paraId="0000043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.084</w:t>
            </w:r>
          </w:p>
          <w:p w14:paraId="0000043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(.075; .093)</w:t>
            </w:r>
          </w:p>
        </w:tc>
        <w:tc>
          <w:tcPr>
            <w:tcW w:w="841" w:type="dxa"/>
          </w:tcPr>
          <w:p w14:paraId="00000433"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Me</w:t>
            </w:r>
            <w:r w:rsidRPr="006801CB">
              <w:rPr>
                <w:rFonts w:asciiTheme="minorHAnsi" w:eastAsia="Roboto" w:hAnsiTheme="minorHAnsi" w:cstheme="minorHAnsi"/>
                <w:sz w:val="14"/>
                <w:szCs w:val="14"/>
                <w:vertAlign w:val="subscript"/>
              </w:rPr>
              <w:t>age</w:t>
            </w:r>
            <w:proofErr w:type="spellEnd"/>
          </w:p>
        </w:tc>
        <w:tc>
          <w:tcPr>
            <w:tcW w:w="1178" w:type="dxa"/>
          </w:tcPr>
          <w:p w14:paraId="0000043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43.14 </w:t>
            </w:r>
          </w:p>
          <w:p w14:paraId="0000043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(32)</w:t>
            </w:r>
          </w:p>
        </w:tc>
        <w:tc>
          <w:tcPr>
            <w:tcW w:w="910" w:type="dxa"/>
          </w:tcPr>
          <w:p w14:paraId="00000436"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.002</w:t>
            </w:r>
          </w:p>
        </w:tc>
        <w:tc>
          <w:tcPr>
            <w:tcW w:w="910" w:type="dxa"/>
          </w:tcPr>
          <w:p w14:paraId="00000437"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.001</w:t>
            </w:r>
          </w:p>
        </w:tc>
        <w:tc>
          <w:tcPr>
            <w:tcW w:w="970" w:type="dxa"/>
          </w:tcPr>
          <w:p w14:paraId="00000438"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r w:rsidR="00421882" w:rsidRPr="006801CB" w14:paraId="7CC34ACA" w14:textId="77777777" w:rsidTr="00CC2A59">
        <w:trPr>
          <w:trHeight w:val="324"/>
        </w:trPr>
        <w:tc>
          <w:tcPr>
            <w:tcW w:w="1747" w:type="dxa"/>
            <w:tcBorders>
              <w:bottom w:val="single" w:sz="12" w:space="0" w:color="auto"/>
            </w:tcBorders>
          </w:tcPr>
          <w:p w14:paraId="00000439" w14:textId="77777777" w:rsidR="00421882" w:rsidRPr="006801CB" w:rsidRDefault="00363292">
            <w:pPr>
              <w:rPr>
                <w:rFonts w:asciiTheme="minorHAnsi" w:eastAsia="Roboto" w:hAnsiTheme="minorHAnsi" w:cstheme="minorHAnsi"/>
                <w:sz w:val="14"/>
                <w:szCs w:val="14"/>
              </w:rPr>
            </w:pPr>
            <w:r w:rsidRPr="006801CB">
              <w:rPr>
                <w:rFonts w:asciiTheme="minorHAnsi" w:eastAsia="Roboto" w:hAnsiTheme="minorHAnsi" w:cstheme="minorHAnsi"/>
                <w:sz w:val="14"/>
                <w:szCs w:val="14"/>
              </w:rPr>
              <w:t xml:space="preserve">    Strict factorial</w:t>
            </w:r>
          </w:p>
        </w:tc>
        <w:tc>
          <w:tcPr>
            <w:tcW w:w="840" w:type="dxa"/>
            <w:tcBorders>
              <w:bottom w:val="single" w:sz="12" w:space="0" w:color="auto"/>
            </w:tcBorders>
          </w:tcPr>
          <w:p w14:paraId="0000043A"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St</w:t>
            </w:r>
            <w:r w:rsidRPr="006801CB">
              <w:rPr>
                <w:rFonts w:asciiTheme="minorHAnsi" w:eastAsia="Roboto" w:hAnsiTheme="minorHAnsi" w:cstheme="minorHAnsi"/>
                <w:sz w:val="14"/>
                <w:szCs w:val="14"/>
                <w:vertAlign w:val="subscript"/>
              </w:rPr>
              <w:t>age</w:t>
            </w:r>
          </w:p>
        </w:tc>
        <w:tc>
          <w:tcPr>
            <w:tcW w:w="952" w:type="dxa"/>
            <w:tcBorders>
              <w:bottom w:val="single" w:sz="12" w:space="0" w:color="auto"/>
            </w:tcBorders>
          </w:tcPr>
          <w:p w14:paraId="0000043B"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982.74</w:t>
            </w:r>
          </w:p>
          <w:p w14:paraId="0000043C"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(596)</w:t>
            </w:r>
          </w:p>
        </w:tc>
        <w:tc>
          <w:tcPr>
            <w:tcW w:w="778" w:type="dxa"/>
            <w:tcBorders>
              <w:bottom w:val="single" w:sz="12" w:space="0" w:color="auto"/>
            </w:tcBorders>
          </w:tcPr>
          <w:p w14:paraId="0000043D"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.084</w:t>
            </w:r>
          </w:p>
        </w:tc>
        <w:tc>
          <w:tcPr>
            <w:tcW w:w="1025" w:type="dxa"/>
            <w:tcBorders>
              <w:bottom w:val="single" w:sz="12" w:space="0" w:color="auto"/>
            </w:tcBorders>
          </w:tcPr>
          <w:p w14:paraId="0000043E"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.081</w:t>
            </w:r>
          </w:p>
          <w:p w14:paraId="0000043F"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(.072; .089)</w:t>
            </w:r>
          </w:p>
        </w:tc>
        <w:tc>
          <w:tcPr>
            <w:tcW w:w="841" w:type="dxa"/>
            <w:tcBorders>
              <w:bottom w:val="single" w:sz="12" w:space="0" w:color="auto"/>
            </w:tcBorders>
          </w:tcPr>
          <w:p w14:paraId="00000440" w14:textId="77777777" w:rsidR="00421882" w:rsidRPr="006801CB" w:rsidRDefault="00363292">
            <w:pPr>
              <w:jc w:val="center"/>
              <w:rPr>
                <w:rFonts w:asciiTheme="minorHAnsi" w:eastAsia="Roboto" w:hAnsiTheme="minorHAnsi" w:cstheme="minorHAnsi"/>
                <w:sz w:val="14"/>
                <w:szCs w:val="14"/>
              </w:rPr>
            </w:pPr>
            <w:proofErr w:type="spellStart"/>
            <w:r w:rsidRPr="006801CB">
              <w:rPr>
                <w:rFonts w:asciiTheme="minorHAnsi" w:eastAsia="Roboto" w:hAnsiTheme="minorHAnsi" w:cstheme="minorHAnsi"/>
                <w:sz w:val="14"/>
                <w:szCs w:val="14"/>
              </w:rPr>
              <w:t>Sc</w:t>
            </w:r>
            <w:r w:rsidRPr="006801CB">
              <w:rPr>
                <w:rFonts w:asciiTheme="minorHAnsi" w:eastAsia="Roboto" w:hAnsiTheme="minorHAnsi" w:cstheme="minorHAnsi"/>
                <w:sz w:val="14"/>
                <w:szCs w:val="14"/>
                <w:vertAlign w:val="subscript"/>
              </w:rPr>
              <w:t>age</w:t>
            </w:r>
            <w:proofErr w:type="spellEnd"/>
          </w:p>
        </w:tc>
        <w:tc>
          <w:tcPr>
            <w:tcW w:w="1178" w:type="dxa"/>
            <w:tcBorders>
              <w:bottom w:val="single" w:sz="12" w:space="0" w:color="auto"/>
            </w:tcBorders>
          </w:tcPr>
          <w:p w14:paraId="00000441"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34.28</w:t>
            </w:r>
          </w:p>
          <w:p w14:paraId="00000442"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(40)</w:t>
            </w:r>
          </w:p>
        </w:tc>
        <w:tc>
          <w:tcPr>
            <w:tcW w:w="910" w:type="dxa"/>
            <w:tcBorders>
              <w:bottom w:val="single" w:sz="12" w:space="0" w:color="auto"/>
            </w:tcBorders>
          </w:tcPr>
          <w:p w14:paraId="00000443"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.001</w:t>
            </w:r>
          </w:p>
        </w:tc>
        <w:tc>
          <w:tcPr>
            <w:tcW w:w="910" w:type="dxa"/>
            <w:tcBorders>
              <w:bottom w:val="single" w:sz="12" w:space="0" w:color="auto"/>
            </w:tcBorders>
          </w:tcPr>
          <w:p w14:paraId="00000444"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.003</w:t>
            </w:r>
          </w:p>
        </w:tc>
        <w:tc>
          <w:tcPr>
            <w:tcW w:w="970" w:type="dxa"/>
            <w:tcBorders>
              <w:bottom w:val="single" w:sz="12" w:space="0" w:color="auto"/>
            </w:tcBorders>
          </w:tcPr>
          <w:p w14:paraId="00000445" w14:textId="77777777" w:rsidR="00421882" w:rsidRPr="006801CB" w:rsidRDefault="00363292">
            <w:pPr>
              <w:jc w:val="center"/>
              <w:rPr>
                <w:rFonts w:asciiTheme="minorHAnsi" w:eastAsia="Roboto" w:hAnsiTheme="minorHAnsi" w:cstheme="minorHAnsi"/>
                <w:sz w:val="14"/>
                <w:szCs w:val="14"/>
              </w:rPr>
            </w:pPr>
            <w:r w:rsidRPr="006801CB">
              <w:rPr>
                <w:rFonts w:asciiTheme="minorHAnsi" w:eastAsia="Roboto" w:hAnsiTheme="minorHAnsi" w:cstheme="minorHAnsi"/>
                <w:sz w:val="14"/>
                <w:szCs w:val="14"/>
              </w:rPr>
              <w:t>Accept</w:t>
            </w:r>
          </w:p>
        </w:tc>
      </w:tr>
    </w:tbl>
    <w:p w14:paraId="00000446" w14:textId="77777777" w:rsidR="00421882" w:rsidRDefault="00363292">
      <w:pPr>
        <w:spacing w:after="0" w:line="240" w:lineRule="auto"/>
        <w:rPr>
          <w:sz w:val="14"/>
          <w:szCs w:val="14"/>
        </w:rPr>
      </w:pPr>
      <w:r>
        <w:rPr>
          <w:i/>
          <w:sz w:val="14"/>
          <w:szCs w:val="14"/>
        </w:rPr>
        <w:t xml:space="preserve">Note: </w:t>
      </w:r>
      <w:r>
        <w:rPr>
          <w:sz w:val="14"/>
          <w:szCs w:val="14"/>
        </w:rPr>
        <w:t>*p &lt; .05 **p &lt; .01 ***p &lt; .001; CFI = Comparative Fit Index; SRMR = Standardized Root Mean Square Residual; RMSEA = Root Mean Square Error of Approximation; CI = Confidence Interval; Model comp. = Model comparison; decision = accept or reject measurement invariance</w:t>
      </w:r>
    </w:p>
    <w:p w14:paraId="00000447" w14:textId="77777777" w:rsidR="00421882" w:rsidRPr="00CC2A59" w:rsidRDefault="00421882">
      <w:pPr>
        <w:pBdr>
          <w:top w:val="nil"/>
          <w:left w:val="nil"/>
          <w:bottom w:val="nil"/>
          <w:right w:val="nil"/>
          <w:between w:val="nil"/>
        </w:pBdr>
        <w:spacing w:after="0" w:line="240" w:lineRule="auto"/>
        <w:rPr>
          <w:b/>
          <w:color w:val="0033CC"/>
          <w:sz w:val="10"/>
          <w:szCs w:val="10"/>
        </w:rPr>
      </w:pPr>
    </w:p>
    <w:p w14:paraId="00000448" w14:textId="77777777" w:rsidR="00421882" w:rsidRDefault="00363292">
      <w:pPr>
        <w:pBdr>
          <w:top w:val="nil"/>
          <w:left w:val="nil"/>
          <w:bottom w:val="nil"/>
          <w:right w:val="nil"/>
          <w:between w:val="nil"/>
        </w:pBdr>
        <w:spacing w:after="0" w:line="240" w:lineRule="auto"/>
        <w:rPr>
          <w:b/>
          <w:color w:val="0033CC"/>
        </w:rPr>
      </w:pPr>
      <w:r>
        <w:rPr>
          <w:b/>
          <w:color w:val="0000FF"/>
        </w:rPr>
        <w:t>G. Differences in stress levels between male and female, grade levels, and age brackets</w:t>
      </w:r>
    </w:p>
    <w:p w14:paraId="00000449" w14:textId="77777777" w:rsidR="00421882" w:rsidRDefault="00363292">
      <w:pPr>
        <w:pBdr>
          <w:top w:val="nil"/>
          <w:left w:val="nil"/>
          <w:bottom w:val="nil"/>
          <w:right w:val="nil"/>
          <w:between w:val="nil"/>
        </w:pBdr>
        <w:spacing w:after="0" w:line="240" w:lineRule="auto"/>
        <w:jc w:val="both"/>
        <w:rPr>
          <w:color w:val="000000"/>
        </w:rPr>
      </w:pPr>
      <w:r>
        <w:t>The conducted measurement invariance tests indicate that the scale measures the same underlying constructs across sex, grade level, and age groups. This finding allowed the researchers to also identify if there are significant differences between the stress levels of certain groups. Independent-samples t-test was conducted to compare the stress levels between junior high school male and female students in the context of online learning, as shown in Table 9. It was found out that with enough evidence (at α = 0.05) there is no significant difference in the stress level index between males (M=2.6182, SD= 0.74939) and females [M=2.9640, SD=0.80971; t(317)=0.757, p=0.385].</w:t>
      </w:r>
    </w:p>
    <w:p w14:paraId="0000044A" w14:textId="77777777" w:rsidR="00421882" w:rsidRDefault="00421882">
      <w:pPr>
        <w:pBdr>
          <w:top w:val="nil"/>
          <w:left w:val="nil"/>
          <w:bottom w:val="nil"/>
          <w:right w:val="nil"/>
          <w:between w:val="nil"/>
        </w:pBdr>
        <w:spacing w:after="0" w:line="240" w:lineRule="auto"/>
        <w:jc w:val="both"/>
        <w:rPr>
          <w:color w:val="000000"/>
        </w:rPr>
      </w:pPr>
    </w:p>
    <w:p w14:paraId="0000044B" w14:textId="1224AA55" w:rsidR="00421882" w:rsidRDefault="00421882">
      <w:pPr>
        <w:pBdr>
          <w:top w:val="nil"/>
          <w:left w:val="nil"/>
          <w:bottom w:val="nil"/>
          <w:right w:val="nil"/>
          <w:between w:val="nil"/>
        </w:pBdr>
        <w:spacing w:after="0" w:line="240" w:lineRule="auto"/>
        <w:jc w:val="both"/>
        <w:rPr>
          <w:color w:val="000000"/>
        </w:rPr>
      </w:pPr>
    </w:p>
    <w:p w14:paraId="23A74AC9" w14:textId="77777777" w:rsidR="00CC2A59" w:rsidRDefault="00CC2A59">
      <w:pPr>
        <w:pBdr>
          <w:top w:val="nil"/>
          <w:left w:val="nil"/>
          <w:bottom w:val="nil"/>
          <w:right w:val="nil"/>
          <w:between w:val="nil"/>
        </w:pBdr>
        <w:spacing w:after="0" w:line="240" w:lineRule="auto"/>
        <w:jc w:val="both"/>
        <w:rPr>
          <w:color w:val="000000"/>
        </w:rPr>
      </w:pPr>
    </w:p>
    <w:p w14:paraId="5034BB09" w14:textId="77777777" w:rsidR="00E663B2" w:rsidRDefault="00E663B2">
      <w:pPr>
        <w:pBdr>
          <w:top w:val="nil"/>
          <w:left w:val="nil"/>
          <w:bottom w:val="nil"/>
          <w:right w:val="nil"/>
          <w:between w:val="nil"/>
        </w:pBdr>
        <w:spacing w:after="0" w:line="240" w:lineRule="auto"/>
        <w:jc w:val="both"/>
        <w:rPr>
          <w:b/>
          <w:color w:val="000000"/>
        </w:rPr>
      </w:pPr>
    </w:p>
    <w:p w14:paraId="0000044C" w14:textId="1FA67720" w:rsidR="00421882" w:rsidRDefault="00363292">
      <w:pPr>
        <w:pBdr>
          <w:top w:val="nil"/>
          <w:left w:val="nil"/>
          <w:bottom w:val="nil"/>
          <w:right w:val="nil"/>
          <w:between w:val="nil"/>
        </w:pBdr>
        <w:spacing w:after="0" w:line="240" w:lineRule="auto"/>
        <w:jc w:val="both"/>
      </w:pPr>
      <w:r>
        <w:rPr>
          <w:b/>
          <w:color w:val="000000"/>
        </w:rPr>
        <w:t xml:space="preserve">Table </w:t>
      </w:r>
      <w:r>
        <w:rPr>
          <w:b/>
        </w:rPr>
        <w:t>9</w:t>
      </w:r>
      <w:r>
        <w:rPr>
          <w:b/>
          <w:color w:val="000000"/>
        </w:rPr>
        <w:t>.</w:t>
      </w:r>
      <w:r>
        <w:rPr>
          <w:color w:val="000000"/>
        </w:rPr>
        <w:t xml:space="preserve"> Stress levels between male and female students in the context of online learning</w:t>
      </w:r>
    </w:p>
    <w:tbl>
      <w:tblPr>
        <w:tblStyle w:val="a7"/>
        <w:tblW w:w="10018" w:type="dxa"/>
        <w:tblBorders>
          <w:top w:val="nil"/>
          <w:left w:val="nil"/>
          <w:bottom w:val="nil"/>
          <w:right w:val="nil"/>
          <w:insideH w:val="nil"/>
          <w:insideV w:val="nil"/>
        </w:tblBorders>
        <w:tblLayout w:type="fixed"/>
        <w:tblLook w:val="0400" w:firstRow="0" w:lastRow="0" w:firstColumn="0" w:lastColumn="0" w:noHBand="0" w:noVBand="1"/>
      </w:tblPr>
      <w:tblGrid>
        <w:gridCol w:w="1415"/>
        <w:gridCol w:w="889"/>
        <w:gridCol w:w="941"/>
        <w:gridCol w:w="825"/>
        <w:gridCol w:w="482"/>
        <w:gridCol w:w="910"/>
        <w:gridCol w:w="911"/>
        <w:gridCol w:w="810"/>
        <w:gridCol w:w="897"/>
        <w:gridCol w:w="994"/>
        <w:gridCol w:w="944"/>
      </w:tblGrid>
      <w:tr w:rsidR="00421882" w14:paraId="6B19355F" w14:textId="77777777">
        <w:trPr>
          <w:trHeight w:val="247"/>
        </w:trPr>
        <w:tc>
          <w:tcPr>
            <w:tcW w:w="1415" w:type="dxa"/>
            <w:tcBorders>
              <w:top w:val="single" w:sz="12" w:space="0" w:color="000000"/>
              <w:bottom w:val="single" w:sz="4" w:space="0" w:color="000000"/>
            </w:tcBorders>
            <w:vAlign w:val="center"/>
          </w:tcPr>
          <w:p w14:paraId="0000044D" w14:textId="77777777" w:rsidR="00421882" w:rsidRDefault="00421882">
            <w:pPr>
              <w:spacing w:after="0" w:line="240" w:lineRule="auto"/>
              <w:jc w:val="center"/>
              <w:rPr>
                <w:b/>
                <w:sz w:val="20"/>
                <w:szCs w:val="20"/>
              </w:rPr>
            </w:pPr>
          </w:p>
          <w:p w14:paraId="0000044E" w14:textId="77777777" w:rsidR="00421882" w:rsidRDefault="00421882">
            <w:pPr>
              <w:spacing w:after="0" w:line="240" w:lineRule="auto"/>
              <w:jc w:val="center"/>
              <w:rPr>
                <w:b/>
                <w:sz w:val="20"/>
                <w:szCs w:val="20"/>
              </w:rPr>
            </w:pPr>
          </w:p>
        </w:tc>
        <w:tc>
          <w:tcPr>
            <w:tcW w:w="2655" w:type="dxa"/>
            <w:gridSpan w:val="3"/>
            <w:tcBorders>
              <w:top w:val="single" w:sz="12" w:space="0" w:color="000000"/>
              <w:bottom w:val="single" w:sz="4" w:space="0" w:color="000000"/>
            </w:tcBorders>
            <w:vAlign w:val="center"/>
          </w:tcPr>
          <w:p w14:paraId="0000044F" w14:textId="77777777" w:rsidR="00421882" w:rsidRDefault="00363292">
            <w:pPr>
              <w:spacing w:after="0" w:line="240" w:lineRule="auto"/>
              <w:jc w:val="center"/>
              <w:rPr>
                <w:b/>
                <w:sz w:val="20"/>
                <w:szCs w:val="20"/>
              </w:rPr>
            </w:pPr>
            <w:r>
              <w:rPr>
                <w:b/>
                <w:sz w:val="20"/>
                <w:szCs w:val="20"/>
              </w:rPr>
              <w:t>Descriptive Statistics</w:t>
            </w:r>
          </w:p>
        </w:tc>
        <w:tc>
          <w:tcPr>
            <w:tcW w:w="482" w:type="dxa"/>
            <w:tcBorders>
              <w:top w:val="single" w:sz="12" w:space="0" w:color="000000"/>
              <w:bottom w:val="single" w:sz="4" w:space="0" w:color="000000"/>
            </w:tcBorders>
            <w:vAlign w:val="center"/>
          </w:tcPr>
          <w:p w14:paraId="00000452" w14:textId="77777777" w:rsidR="00421882" w:rsidRDefault="00421882">
            <w:pPr>
              <w:spacing w:after="0" w:line="240" w:lineRule="auto"/>
              <w:jc w:val="center"/>
              <w:rPr>
                <w:b/>
                <w:sz w:val="20"/>
                <w:szCs w:val="20"/>
              </w:rPr>
            </w:pPr>
          </w:p>
        </w:tc>
        <w:tc>
          <w:tcPr>
            <w:tcW w:w="5466" w:type="dxa"/>
            <w:gridSpan w:val="6"/>
            <w:tcBorders>
              <w:top w:val="single" w:sz="12" w:space="0" w:color="000000"/>
              <w:bottom w:val="single" w:sz="4" w:space="0" w:color="000000"/>
              <w:right w:val="single" w:sz="12" w:space="0" w:color="FFFFFF"/>
            </w:tcBorders>
            <w:vAlign w:val="center"/>
          </w:tcPr>
          <w:p w14:paraId="00000453" w14:textId="77777777" w:rsidR="00421882" w:rsidRDefault="00363292">
            <w:pPr>
              <w:spacing w:after="0" w:line="240" w:lineRule="auto"/>
              <w:jc w:val="center"/>
              <w:rPr>
                <w:b/>
                <w:sz w:val="20"/>
                <w:szCs w:val="20"/>
              </w:rPr>
            </w:pPr>
            <w:r>
              <w:rPr>
                <w:b/>
                <w:sz w:val="20"/>
                <w:szCs w:val="20"/>
              </w:rPr>
              <w:t>t-Test Results</w:t>
            </w:r>
          </w:p>
        </w:tc>
      </w:tr>
      <w:tr w:rsidR="00421882" w14:paraId="41215F71" w14:textId="77777777">
        <w:trPr>
          <w:trHeight w:val="495"/>
        </w:trPr>
        <w:tc>
          <w:tcPr>
            <w:tcW w:w="1415" w:type="dxa"/>
            <w:tcBorders>
              <w:top w:val="single" w:sz="4" w:space="0" w:color="000000"/>
              <w:bottom w:val="single" w:sz="4" w:space="0" w:color="000000"/>
            </w:tcBorders>
            <w:vAlign w:val="center"/>
          </w:tcPr>
          <w:p w14:paraId="00000459" w14:textId="77777777" w:rsidR="00421882" w:rsidRDefault="00363292">
            <w:pPr>
              <w:spacing w:after="0" w:line="240" w:lineRule="auto"/>
              <w:rPr>
                <w:sz w:val="20"/>
                <w:szCs w:val="20"/>
              </w:rPr>
            </w:pPr>
            <w:r>
              <w:rPr>
                <w:sz w:val="20"/>
                <w:szCs w:val="20"/>
              </w:rPr>
              <w:t>Sex</w:t>
            </w:r>
          </w:p>
        </w:tc>
        <w:tc>
          <w:tcPr>
            <w:tcW w:w="889" w:type="dxa"/>
            <w:tcBorders>
              <w:top w:val="single" w:sz="4" w:space="0" w:color="000000"/>
              <w:bottom w:val="single" w:sz="4" w:space="0" w:color="000000"/>
            </w:tcBorders>
            <w:vAlign w:val="center"/>
          </w:tcPr>
          <w:p w14:paraId="0000045A" w14:textId="77777777" w:rsidR="00421882" w:rsidRDefault="00363292">
            <w:pPr>
              <w:spacing w:after="0" w:line="240" w:lineRule="auto"/>
              <w:rPr>
                <w:sz w:val="20"/>
                <w:szCs w:val="20"/>
              </w:rPr>
            </w:pPr>
            <w:r>
              <w:rPr>
                <w:sz w:val="20"/>
                <w:szCs w:val="20"/>
              </w:rPr>
              <w:t>Mean</w:t>
            </w:r>
          </w:p>
        </w:tc>
        <w:tc>
          <w:tcPr>
            <w:tcW w:w="941" w:type="dxa"/>
            <w:tcBorders>
              <w:top w:val="single" w:sz="4" w:space="0" w:color="000000"/>
              <w:bottom w:val="single" w:sz="4" w:space="0" w:color="000000"/>
            </w:tcBorders>
            <w:vAlign w:val="center"/>
          </w:tcPr>
          <w:p w14:paraId="0000045B" w14:textId="77777777" w:rsidR="00421882" w:rsidRDefault="00363292">
            <w:pPr>
              <w:spacing w:after="0" w:line="240" w:lineRule="auto"/>
              <w:rPr>
                <w:sz w:val="20"/>
                <w:szCs w:val="20"/>
              </w:rPr>
            </w:pPr>
            <w:r>
              <w:rPr>
                <w:sz w:val="20"/>
                <w:szCs w:val="20"/>
              </w:rPr>
              <w:t>SD</w:t>
            </w:r>
          </w:p>
        </w:tc>
        <w:tc>
          <w:tcPr>
            <w:tcW w:w="825" w:type="dxa"/>
            <w:tcBorders>
              <w:top w:val="single" w:sz="4" w:space="0" w:color="000000"/>
              <w:bottom w:val="single" w:sz="4" w:space="0" w:color="000000"/>
            </w:tcBorders>
            <w:vAlign w:val="center"/>
          </w:tcPr>
          <w:p w14:paraId="0000045C" w14:textId="77777777" w:rsidR="00421882" w:rsidRDefault="00363292">
            <w:pPr>
              <w:spacing w:after="0" w:line="240" w:lineRule="auto"/>
              <w:rPr>
                <w:sz w:val="20"/>
                <w:szCs w:val="20"/>
              </w:rPr>
            </w:pPr>
            <w:r>
              <w:rPr>
                <w:sz w:val="20"/>
                <w:szCs w:val="20"/>
              </w:rPr>
              <w:t>N</w:t>
            </w:r>
          </w:p>
        </w:tc>
        <w:tc>
          <w:tcPr>
            <w:tcW w:w="482" w:type="dxa"/>
            <w:tcBorders>
              <w:top w:val="single" w:sz="4" w:space="0" w:color="000000"/>
              <w:bottom w:val="single" w:sz="4" w:space="0" w:color="000000"/>
            </w:tcBorders>
            <w:vAlign w:val="center"/>
          </w:tcPr>
          <w:p w14:paraId="0000045D" w14:textId="77777777" w:rsidR="00421882" w:rsidRDefault="00421882">
            <w:pPr>
              <w:spacing w:after="0" w:line="240" w:lineRule="auto"/>
              <w:rPr>
                <w:sz w:val="20"/>
                <w:szCs w:val="20"/>
              </w:rPr>
            </w:pPr>
          </w:p>
        </w:tc>
        <w:tc>
          <w:tcPr>
            <w:tcW w:w="910" w:type="dxa"/>
            <w:tcBorders>
              <w:top w:val="single" w:sz="4" w:space="0" w:color="000000"/>
              <w:bottom w:val="single" w:sz="4" w:space="0" w:color="000000"/>
            </w:tcBorders>
            <w:vAlign w:val="center"/>
          </w:tcPr>
          <w:p w14:paraId="0000045E" w14:textId="77777777" w:rsidR="00421882" w:rsidRDefault="00363292">
            <w:pPr>
              <w:spacing w:after="0" w:line="240" w:lineRule="auto"/>
              <w:rPr>
                <w:sz w:val="20"/>
                <w:szCs w:val="20"/>
              </w:rPr>
            </w:pPr>
            <w:r>
              <w:rPr>
                <w:sz w:val="20"/>
                <w:szCs w:val="20"/>
              </w:rPr>
              <w:t>t</w:t>
            </w:r>
          </w:p>
        </w:tc>
        <w:tc>
          <w:tcPr>
            <w:tcW w:w="911" w:type="dxa"/>
            <w:tcBorders>
              <w:top w:val="single" w:sz="4" w:space="0" w:color="000000"/>
              <w:bottom w:val="single" w:sz="4" w:space="0" w:color="000000"/>
            </w:tcBorders>
            <w:vAlign w:val="center"/>
          </w:tcPr>
          <w:p w14:paraId="0000045F" w14:textId="77777777" w:rsidR="00421882" w:rsidRDefault="00363292">
            <w:pPr>
              <w:spacing w:after="0" w:line="240" w:lineRule="auto"/>
              <w:rPr>
                <w:sz w:val="20"/>
                <w:szCs w:val="20"/>
              </w:rPr>
            </w:pPr>
            <w:r>
              <w:rPr>
                <w:sz w:val="20"/>
                <w:szCs w:val="20"/>
              </w:rPr>
              <w:t>df</w:t>
            </w:r>
          </w:p>
        </w:tc>
        <w:tc>
          <w:tcPr>
            <w:tcW w:w="810" w:type="dxa"/>
            <w:tcBorders>
              <w:top w:val="single" w:sz="4" w:space="0" w:color="000000"/>
              <w:bottom w:val="single" w:sz="4" w:space="0" w:color="000000"/>
            </w:tcBorders>
            <w:vAlign w:val="center"/>
          </w:tcPr>
          <w:p w14:paraId="00000460" w14:textId="77777777" w:rsidR="00421882" w:rsidRDefault="00363292">
            <w:pPr>
              <w:spacing w:after="0" w:line="240" w:lineRule="auto"/>
              <w:rPr>
                <w:sz w:val="20"/>
                <w:szCs w:val="20"/>
              </w:rPr>
            </w:pPr>
            <w:r>
              <w:rPr>
                <w:sz w:val="20"/>
                <w:szCs w:val="20"/>
              </w:rPr>
              <w:t>p</w:t>
            </w:r>
          </w:p>
        </w:tc>
        <w:tc>
          <w:tcPr>
            <w:tcW w:w="897" w:type="dxa"/>
            <w:tcBorders>
              <w:top w:val="single" w:sz="4" w:space="0" w:color="000000"/>
              <w:bottom w:val="single" w:sz="4" w:space="0" w:color="000000"/>
            </w:tcBorders>
            <w:vAlign w:val="center"/>
          </w:tcPr>
          <w:p w14:paraId="00000461" w14:textId="77777777" w:rsidR="00421882" w:rsidRDefault="00363292">
            <w:pPr>
              <w:spacing w:after="0" w:line="240" w:lineRule="auto"/>
              <w:rPr>
                <w:sz w:val="20"/>
                <w:szCs w:val="20"/>
              </w:rPr>
            </w:pPr>
            <w:r>
              <w:rPr>
                <w:sz w:val="20"/>
                <w:szCs w:val="20"/>
              </w:rPr>
              <w:t>Mean Diff</w:t>
            </w:r>
          </w:p>
        </w:tc>
        <w:tc>
          <w:tcPr>
            <w:tcW w:w="1938" w:type="dxa"/>
            <w:gridSpan w:val="2"/>
            <w:tcBorders>
              <w:top w:val="single" w:sz="4" w:space="0" w:color="000000"/>
              <w:bottom w:val="single" w:sz="4" w:space="0" w:color="000000"/>
            </w:tcBorders>
            <w:vAlign w:val="center"/>
          </w:tcPr>
          <w:p w14:paraId="00000462" w14:textId="77777777" w:rsidR="00421882" w:rsidRDefault="00363292">
            <w:pPr>
              <w:spacing w:after="0" w:line="240" w:lineRule="auto"/>
              <w:rPr>
                <w:sz w:val="20"/>
                <w:szCs w:val="20"/>
              </w:rPr>
            </w:pPr>
            <w:r>
              <w:rPr>
                <w:sz w:val="20"/>
                <w:szCs w:val="20"/>
              </w:rPr>
              <w:t>95% of CI of the Mean Difference</w:t>
            </w:r>
          </w:p>
        </w:tc>
      </w:tr>
      <w:tr w:rsidR="00421882" w14:paraId="38575B7A" w14:textId="77777777">
        <w:trPr>
          <w:trHeight w:val="247"/>
        </w:trPr>
        <w:tc>
          <w:tcPr>
            <w:tcW w:w="1415" w:type="dxa"/>
            <w:tcBorders>
              <w:top w:val="single" w:sz="4" w:space="0" w:color="000000"/>
            </w:tcBorders>
          </w:tcPr>
          <w:p w14:paraId="00000464" w14:textId="77777777" w:rsidR="00421882" w:rsidRDefault="00421882">
            <w:pPr>
              <w:spacing w:after="0" w:line="240" w:lineRule="auto"/>
              <w:rPr>
                <w:sz w:val="20"/>
                <w:szCs w:val="20"/>
              </w:rPr>
            </w:pPr>
          </w:p>
        </w:tc>
        <w:tc>
          <w:tcPr>
            <w:tcW w:w="889" w:type="dxa"/>
            <w:tcBorders>
              <w:top w:val="single" w:sz="4" w:space="0" w:color="000000"/>
            </w:tcBorders>
          </w:tcPr>
          <w:p w14:paraId="00000465" w14:textId="77777777" w:rsidR="00421882" w:rsidRDefault="00421882">
            <w:pPr>
              <w:spacing w:after="0" w:line="240" w:lineRule="auto"/>
              <w:rPr>
                <w:sz w:val="20"/>
                <w:szCs w:val="20"/>
              </w:rPr>
            </w:pPr>
          </w:p>
        </w:tc>
        <w:tc>
          <w:tcPr>
            <w:tcW w:w="941" w:type="dxa"/>
            <w:tcBorders>
              <w:top w:val="single" w:sz="4" w:space="0" w:color="000000"/>
            </w:tcBorders>
          </w:tcPr>
          <w:p w14:paraId="00000466" w14:textId="77777777" w:rsidR="00421882" w:rsidRDefault="00421882">
            <w:pPr>
              <w:spacing w:after="0" w:line="240" w:lineRule="auto"/>
              <w:rPr>
                <w:sz w:val="20"/>
                <w:szCs w:val="20"/>
              </w:rPr>
            </w:pPr>
          </w:p>
        </w:tc>
        <w:tc>
          <w:tcPr>
            <w:tcW w:w="825" w:type="dxa"/>
            <w:tcBorders>
              <w:top w:val="single" w:sz="4" w:space="0" w:color="000000"/>
            </w:tcBorders>
          </w:tcPr>
          <w:p w14:paraId="00000467" w14:textId="77777777" w:rsidR="00421882" w:rsidRDefault="00421882">
            <w:pPr>
              <w:spacing w:after="0" w:line="240" w:lineRule="auto"/>
              <w:rPr>
                <w:sz w:val="20"/>
                <w:szCs w:val="20"/>
              </w:rPr>
            </w:pPr>
          </w:p>
        </w:tc>
        <w:tc>
          <w:tcPr>
            <w:tcW w:w="482" w:type="dxa"/>
            <w:tcBorders>
              <w:top w:val="single" w:sz="4" w:space="0" w:color="000000"/>
            </w:tcBorders>
          </w:tcPr>
          <w:p w14:paraId="00000468" w14:textId="77777777" w:rsidR="00421882" w:rsidRDefault="00421882">
            <w:pPr>
              <w:spacing w:after="0" w:line="240" w:lineRule="auto"/>
              <w:rPr>
                <w:sz w:val="20"/>
                <w:szCs w:val="20"/>
              </w:rPr>
            </w:pPr>
          </w:p>
        </w:tc>
        <w:tc>
          <w:tcPr>
            <w:tcW w:w="910" w:type="dxa"/>
            <w:tcBorders>
              <w:top w:val="single" w:sz="4" w:space="0" w:color="000000"/>
            </w:tcBorders>
          </w:tcPr>
          <w:p w14:paraId="00000469" w14:textId="77777777" w:rsidR="00421882" w:rsidRDefault="00421882">
            <w:pPr>
              <w:spacing w:after="0" w:line="240" w:lineRule="auto"/>
              <w:rPr>
                <w:sz w:val="20"/>
                <w:szCs w:val="20"/>
              </w:rPr>
            </w:pPr>
          </w:p>
        </w:tc>
        <w:tc>
          <w:tcPr>
            <w:tcW w:w="911" w:type="dxa"/>
            <w:tcBorders>
              <w:top w:val="single" w:sz="4" w:space="0" w:color="000000"/>
            </w:tcBorders>
          </w:tcPr>
          <w:p w14:paraId="0000046A" w14:textId="77777777" w:rsidR="00421882" w:rsidRDefault="00421882">
            <w:pPr>
              <w:spacing w:after="0" w:line="240" w:lineRule="auto"/>
              <w:rPr>
                <w:sz w:val="20"/>
                <w:szCs w:val="20"/>
              </w:rPr>
            </w:pPr>
          </w:p>
        </w:tc>
        <w:tc>
          <w:tcPr>
            <w:tcW w:w="810" w:type="dxa"/>
            <w:tcBorders>
              <w:top w:val="single" w:sz="4" w:space="0" w:color="000000"/>
            </w:tcBorders>
          </w:tcPr>
          <w:p w14:paraId="0000046B" w14:textId="77777777" w:rsidR="00421882" w:rsidRDefault="00421882">
            <w:pPr>
              <w:spacing w:after="0" w:line="240" w:lineRule="auto"/>
              <w:rPr>
                <w:sz w:val="20"/>
                <w:szCs w:val="20"/>
              </w:rPr>
            </w:pPr>
          </w:p>
        </w:tc>
        <w:tc>
          <w:tcPr>
            <w:tcW w:w="897" w:type="dxa"/>
            <w:tcBorders>
              <w:top w:val="single" w:sz="4" w:space="0" w:color="000000"/>
            </w:tcBorders>
          </w:tcPr>
          <w:p w14:paraId="0000046C" w14:textId="77777777" w:rsidR="00421882" w:rsidRDefault="00421882">
            <w:pPr>
              <w:spacing w:after="0" w:line="240" w:lineRule="auto"/>
              <w:rPr>
                <w:sz w:val="20"/>
                <w:szCs w:val="20"/>
              </w:rPr>
            </w:pPr>
          </w:p>
        </w:tc>
        <w:tc>
          <w:tcPr>
            <w:tcW w:w="994" w:type="dxa"/>
            <w:tcBorders>
              <w:top w:val="single" w:sz="4" w:space="0" w:color="000000"/>
            </w:tcBorders>
          </w:tcPr>
          <w:p w14:paraId="0000046D" w14:textId="77777777" w:rsidR="00421882" w:rsidRDefault="00363292">
            <w:pPr>
              <w:spacing w:after="0" w:line="240" w:lineRule="auto"/>
              <w:rPr>
                <w:sz w:val="20"/>
                <w:szCs w:val="20"/>
              </w:rPr>
            </w:pPr>
            <w:r>
              <w:rPr>
                <w:sz w:val="20"/>
                <w:szCs w:val="20"/>
              </w:rPr>
              <w:t>Lower</w:t>
            </w:r>
          </w:p>
        </w:tc>
        <w:tc>
          <w:tcPr>
            <w:tcW w:w="944" w:type="dxa"/>
            <w:tcBorders>
              <w:top w:val="single" w:sz="4" w:space="0" w:color="000000"/>
            </w:tcBorders>
          </w:tcPr>
          <w:p w14:paraId="0000046E" w14:textId="77777777" w:rsidR="00421882" w:rsidRDefault="00363292">
            <w:pPr>
              <w:spacing w:after="0" w:line="240" w:lineRule="auto"/>
              <w:rPr>
                <w:sz w:val="20"/>
                <w:szCs w:val="20"/>
              </w:rPr>
            </w:pPr>
            <w:r>
              <w:rPr>
                <w:sz w:val="20"/>
                <w:szCs w:val="20"/>
              </w:rPr>
              <w:t>Upper</w:t>
            </w:r>
          </w:p>
        </w:tc>
      </w:tr>
      <w:tr w:rsidR="00421882" w14:paraId="0A5D209B" w14:textId="77777777">
        <w:trPr>
          <w:trHeight w:val="374"/>
        </w:trPr>
        <w:tc>
          <w:tcPr>
            <w:tcW w:w="1415" w:type="dxa"/>
            <w:vAlign w:val="center"/>
          </w:tcPr>
          <w:p w14:paraId="0000046F" w14:textId="77777777" w:rsidR="00421882" w:rsidRDefault="00363292">
            <w:pPr>
              <w:spacing w:after="0" w:line="240" w:lineRule="auto"/>
              <w:rPr>
                <w:sz w:val="20"/>
                <w:szCs w:val="20"/>
              </w:rPr>
            </w:pPr>
            <w:r>
              <w:rPr>
                <w:sz w:val="20"/>
                <w:szCs w:val="20"/>
              </w:rPr>
              <w:t>Male</w:t>
            </w:r>
          </w:p>
        </w:tc>
        <w:tc>
          <w:tcPr>
            <w:tcW w:w="889" w:type="dxa"/>
            <w:vAlign w:val="center"/>
          </w:tcPr>
          <w:p w14:paraId="00000470" w14:textId="77777777" w:rsidR="00421882" w:rsidRDefault="00363292">
            <w:pPr>
              <w:spacing w:after="0" w:line="240" w:lineRule="auto"/>
              <w:rPr>
                <w:sz w:val="20"/>
                <w:szCs w:val="20"/>
              </w:rPr>
            </w:pPr>
            <w:r>
              <w:rPr>
                <w:sz w:val="20"/>
                <w:szCs w:val="20"/>
              </w:rPr>
              <w:t>2.6182</w:t>
            </w:r>
          </w:p>
        </w:tc>
        <w:tc>
          <w:tcPr>
            <w:tcW w:w="941" w:type="dxa"/>
            <w:vAlign w:val="center"/>
          </w:tcPr>
          <w:p w14:paraId="00000471" w14:textId="77777777" w:rsidR="00421882" w:rsidRDefault="00363292">
            <w:pPr>
              <w:spacing w:after="0" w:line="240" w:lineRule="auto"/>
              <w:rPr>
                <w:sz w:val="20"/>
                <w:szCs w:val="20"/>
              </w:rPr>
            </w:pPr>
            <w:r>
              <w:rPr>
                <w:sz w:val="20"/>
                <w:szCs w:val="20"/>
              </w:rPr>
              <w:t>0.74939</w:t>
            </w:r>
          </w:p>
        </w:tc>
        <w:tc>
          <w:tcPr>
            <w:tcW w:w="825" w:type="dxa"/>
            <w:vAlign w:val="center"/>
          </w:tcPr>
          <w:p w14:paraId="00000472" w14:textId="77777777" w:rsidR="00421882" w:rsidRDefault="00363292">
            <w:pPr>
              <w:spacing w:after="0" w:line="240" w:lineRule="auto"/>
              <w:rPr>
                <w:sz w:val="20"/>
                <w:szCs w:val="20"/>
              </w:rPr>
            </w:pPr>
            <w:r>
              <w:rPr>
                <w:sz w:val="20"/>
                <w:szCs w:val="20"/>
              </w:rPr>
              <w:t>151</w:t>
            </w:r>
          </w:p>
        </w:tc>
        <w:tc>
          <w:tcPr>
            <w:tcW w:w="482" w:type="dxa"/>
            <w:vAlign w:val="center"/>
          </w:tcPr>
          <w:p w14:paraId="00000473" w14:textId="77777777" w:rsidR="00421882" w:rsidRDefault="00421882">
            <w:pPr>
              <w:spacing w:after="0" w:line="240" w:lineRule="auto"/>
              <w:rPr>
                <w:sz w:val="20"/>
                <w:szCs w:val="20"/>
              </w:rPr>
            </w:pPr>
          </w:p>
        </w:tc>
        <w:tc>
          <w:tcPr>
            <w:tcW w:w="910" w:type="dxa"/>
            <w:vAlign w:val="center"/>
          </w:tcPr>
          <w:p w14:paraId="00000474" w14:textId="77777777" w:rsidR="00421882" w:rsidRDefault="00363292">
            <w:pPr>
              <w:spacing w:after="0" w:line="240" w:lineRule="auto"/>
              <w:rPr>
                <w:sz w:val="20"/>
                <w:szCs w:val="20"/>
              </w:rPr>
            </w:pPr>
            <w:r>
              <w:rPr>
                <w:sz w:val="20"/>
                <w:szCs w:val="20"/>
              </w:rPr>
              <w:t>0.757</w:t>
            </w:r>
          </w:p>
        </w:tc>
        <w:tc>
          <w:tcPr>
            <w:tcW w:w="911" w:type="dxa"/>
            <w:vAlign w:val="center"/>
          </w:tcPr>
          <w:p w14:paraId="00000475" w14:textId="77777777" w:rsidR="00421882" w:rsidRDefault="00363292">
            <w:pPr>
              <w:spacing w:after="0" w:line="240" w:lineRule="auto"/>
              <w:rPr>
                <w:sz w:val="20"/>
                <w:szCs w:val="20"/>
              </w:rPr>
            </w:pPr>
            <w:r>
              <w:rPr>
                <w:sz w:val="20"/>
                <w:szCs w:val="20"/>
              </w:rPr>
              <w:t>317</w:t>
            </w:r>
          </w:p>
        </w:tc>
        <w:tc>
          <w:tcPr>
            <w:tcW w:w="810" w:type="dxa"/>
            <w:vAlign w:val="center"/>
          </w:tcPr>
          <w:p w14:paraId="00000476" w14:textId="77777777" w:rsidR="00421882" w:rsidRDefault="00363292">
            <w:pPr>
              <w:spacing w:after="0" w:line="240" w:lineRule="auto"/>
              <w:rPr>
                <w:sz w:val="20"/>
                <w:szCs w:val="20"/>
              </w:rPr>
            </w:pPr>
            <w:r>
              <w:rPr>
                <w:sz w:val="20"/>
                <w:szCs w:val="20"/>
              </w:rPr>
              <w:t>0.385</w:t>
            </w:r>
          </w:p>
        </w:tc>
        <w:tc>
          <w:tcPr>
            <w:tcW w:w="897" w:type="dxa"/>
            <w:vAlign w:val="center"/>
          </w:tcPr>
          <w:p w14:paraId="00000477" w14:textId="77777777" w:rsidR="00421882" w:rsidRDefault="00363292">
            <w:pPr>
              <w:spacing w:after="0" w:line="240" w:lineRule="auto"/>
              <w:rPr>
                <w:sz w:val="20"/>
                <w:szCs w:val="20"/>
              </w:rPr>
            </w:pPr>
            <w:r>
              <w:rPr>
                <w:sz w:val="20"/>
                <w:szCs w:val="20"/>
              </w:rPr>
              <w:t>0.0542</w:t>
            </w:r>
          </w:p>
        </w:tc>
        <w:tc>
          <w:tcPr>
            <w:tcW w:w="994" w:type="dxa"/>
            <w:vAlign w:val="center"/>
          </w:tcPr>
          <w:p w14:paraId="00000478" w14:textId="77777777" w:rsidR="00421882" w:rsidRDefault="00363292">
            <w:pPr>
              <w:spacing w:after="0" w:line="240" w:lineRule="auto"/>
              <w:rPr>
                <w:sz w:val="20"/>
                <w:szCs w:val="20"/>
              </w:rPr>
            </w:pPr>
            <w:r>
              <w:rPr>
                <w:sz w:val="20"/>
                <w:szCs w:val="20"/>
              </w:rPr>
              <w:t>-0.5182</w:t>
            </w:r>
          </w:p>
        </w:tc>
        <w:tc>
          <w:tcPr>
            <w:tcW w:w="944" w:type="dxa"/>
            <w:vAlign w:val="center"/>
          </w:tcPr>
          <w:p w14:paraId="00000479" w14:textId="77777777" w:rsidR="00421882" w:rsidRDefault="00363292">
            <w:pPr>
              <w:spacing w:after="0" w:line="240" w:lineRule="auto"/>
              <w:rPr>
                <w:sz w:val="20"/>
                <w:szCs w:val="20"/>
              </w:rPr>
            </w:pPr>
            <w:r>
              <w:rPr>
                <w:sz w:val="20"/>
                <w:szCs w:val="20"/>
              </w:rPr>
              <w:t>-0.1733</w:t>
            </w:r>
          </w:p>
        </w:tc>
      </w:tr>
      <w:tr w:rsidR="00421882" w14:paraId="31B88026" w14:textId="77777777" w:rsidTr="00CC2A59">
        <w:trPr>
          <w:trHeight w:val="247"/>
        </w:trPr>
        <w:tc>
          <w:tcPr>
            <w:tcW w:w="1415" w:type="dxa"/>
            <w:tcBorders>
              <w:bottom w:val="single" w:sz="12" w:space="0" w:color="auto"/>
            </w:tcBorders>
            <w:vAlign w:val="center"/>
          </w:tcPr>
          <w:p w14:paraId="0000047A" w14:textId="77777777" w:rsidR="00421882" w:rsidRDefault="00363292">
            <w:pPr>
              <w:spacing w:after="0" w:line="240" w:lineRule="auto"/>
              <w:rPr>
                <w:sz w:val="20"/>
                <w:szCs w:val="20"/>
              </w:rPr>
            </w:pPr>
            <w:r>
              <w:rPr>
                <w:sz w:val="20"/>
                <w:szCs w:val="20"/>
              </w:rPr>
              <w:t>Female</w:t>
            </w:r>
          </w:p>
        </w:tc>
        <w:tc>
          <w:tcPr>
            <w:tcW w:w="889" w:type="dxa"/>
            <w:tcBorders>
              <w:bottom w:val="single" w:sz="12" w:space="0" w:color="auto"/>
            </w:tcBorders>
            <w:vAlign w:val="center"/>
          </w:tcPr>
          <w:p w14:paraId="0000047B" w14:textId="77777777" w:rsidR="00421882" w:rsidRDefault="00363292">
            <w:pPr>
              <w:spacing w:after="0" w:line="240" w:lineRule="auto"/>
              <w:rPr>
                <w:sz w:val="20"/>
                <w:szCs w:val="20"/>
              </w:rPr>
            </w:pPr>
            <w:r>
              <w:rPr>
                <w:sz w:val="20"/>
                <w:szCs w:val="20"/>
              </w:rPr>
              <w:t>2.9640</w:t>
            </w:r>
          </w:p>
        </w:tc>
        <w:tc>
          <w:tcPr>
            <w:tcW w:w="941" w:type="dxa"/>
            <w:tcBorders>
              <w:bottom w:val="single" w:sz="12" w:space="0" w:color="auto"/>
            </w:tcBorders>
            <w:vAlign w:val="center"/>
          </w:tcPr>
          <w:p w14:paraId="0000047C" w14:textId="77777777" w:rsidR="00421882" w:rsidRDefault="00363292">
            <w:pPr>
              <w:spacing w:after="0" w:line="240" w:lineRule="auto"/>
              <w:rPr>
                <w:sz w:val="20"/>
                <w:szCs w:val="20"/>
              </w:rPr>
            </w:pPr>
            <w:r>
              <w:rPr>
                <w:sz w:val="20"/>
                <w:szCs w:val="20"/>
              </w:rPr>
              <w:t>0.80971</w:t>
            </w:r>
          </w:p>
        </w:tc>
        <w:tc>
          <w:tcPr>
            <w:tcW w:w="825" w:type="dxa"/>
            <w:tcBorders>
              <w:bottom w:val="single" w:sz="12" w:space="0" w:color="auto"/>
            </w:tcBorders>
            <w:vAlign w:val="center"/>
          </w:tcPr>
          <w:p w14:paraId="0000047D" w14:textId="77777777" w:rsidR="00421882" w:rsidRDefault="00363292">
            <w:pPr>
              <w:spacing w:after="0" w:line="240" w:lineRule="auto"/>
              <w:rPr>
                <w:sz w:val="20"/>
                <w:szCs w:val="20"/>
              </w:rPr>
            </w:pPr>
            <w:r>
              <w:rPr>
                <w:sz w:val="20"/>
                <w:szCs w:val="20"/>
              </w:rPr>
              <w:t>168</w:t>
            </w:r>
          </w:p>
        </w:tc>
        <w:tc>
          <w:tcPr>
            <w:tcW w:w="482" w:type="dxa"/>
            <w:tcBorders>
              <w:bottom w:val="single" w:sz="12" w:space="0" w:color="auto"/>
            </w:tcBorders>
            <w:vAlign w:val="center"/>
          </w:tcPr>
          <w:p w14:paraId="0000047E" w14:textId="77777777" w:rsidR="00421882" w:rsidRDefault="00421882">
            <w:pPr>
              <w:spacing w:after="0" w:line="240" w:lineRule="auto"/>
              <w:rPr>
                <w:sz w:val="20"/>
                <w:szCs w:val="20"/>
              </w:rPr>
            </w:pPr>
          </w:p>
        </w:tc>
        <w:tc>
          <w:tcPr>
            <w:tcW w:w="910" w:type="dxa"/>
            <w:tcBorders>
              <w:bottom w:val="single" w:sz="12" w:space="0" w:color="auto"/>
            </w:tcBorders>
            <w:vAlign w:val="center"/>
          </w:tcPr>
          <w:p w14:paraId="0000047F" w14:textId="77777777" w:rsidR="00421882" w:rsidRDefault="00421882">
            <w:pPr>
              <w:spacing w:after="0" w:line="240" w:lineRule="auto"/>
              <w:rPr>
                <w:sz w:val="20"/>
                <w:szCs w:val="20"/>
              </w:rPr>
            </w:pPr>
          </w:p>
        </w:tc>
        <w:tc>
          <w:tcPr>
            <w:tcW w:w="911" w:type="dxa"/>
            <w:tcBorders>
              <w:bottom w:val="single" w:sz="12" w:space="0" w:color="auto"/>
            </w:tcBorders>
            <w:vAlign w:val="center"/>
          </w:tcPr>
          <w:p w14:paraId="00000480" w14:textId="77777777" w:rsidR="00421882" w:rsidRDefault="00421882">
            <w:pPr>
              <w:spacing w:after="0" w:line="240" w:lineRule="auto"/>
              <w:rPr>
                <w:sz w:val="20"/>
                <w:szCs w:val="20"/>
              </w:rPr>
            </w:pPr>
          </w:p>
        </w:tc>
        <w:tc>
          <w:tcPr>
            <w:tcW w:w="810" w:type="dxa"/>
            <w:tcBorders>
              <w:bottom w:val="single" w:sz="12" w:space="0" w:color="auto"/>
            </w:tcBorders>
            <w:vAlign w:val="center"/>
          </w:tcPr>
          <w:p w14:paraId="00000481" w14:textId="77777777" w:rsidR="00421882" w:rsidRDefault="00421882">
            <w:pPr>
              <w:spacing w:after="0" w:line="240" w:lineRule="auto"/>
              <w:rPr>
                <w:sz w:val="20"/>
                <w:szCs w:val="20"/>
              </w:rPr>
            </w:pPr>
          </w:p>
        </w:tc>
        <w:tc>
          <w:tcPr>
            <w:tcW w:w="897" w:type="dxa"/>
            <w:tcBorders>
              <w:bottom w:val="single" w:sz="12" w:space="0" w:color="auto"/>
            </w:tcBorders>
            <w:vAlign w:val="center"/>
          </w:tcPr>
          <w:p w14:paraId="00000482" w14:textId="77777777" w:rsidR="00421882" w:rsidRDefault="00421882">
            <w:pPr>
              <w:spacing w:after="0" w:line="240" w:lineRule="auto"/>
              <w:rPr>
                <w:sz w:val="20"/>
                <w:szCs w:val="20"/>
              </w:rPr>
            </w:pPr>
          </w:p>
        </w:tc>
        <w:tc>
          <w:tcPr>
            <w:tcW w:w="994" w:type="dxa"/>
            <w:tcBorders>
              <w:bottom w:val="single" w:sz="12" w:space="0" w:color="auto"/>
            </w:tcBorders>
            <w:vAlign w:val="center"/>
          </w:tcPr>
          <w:p w14:paraId="00000483" w14:textId="77777777" w:rsidR="00421882" w:rsidRDefault="00421882">
            <w:pPr>
              <w:spacing w:after="0" w:line="240" w:lineRule="auto"/>
              <w:rPr>
                <w:sz w:val="20"/>
                <w:szCs w:val="20"/>
              </w:rPr>
            </w:pPr>
          </w:p>
        </w:tc>
        <w:tc>
          <w:tcPr>
            <w:tcW w:w="944" w:type="dxa"/>
            <w:tcBorders>
              <w:bottom w:val="single" w:sz="12" w:space="0" w:color="auto"/>
            </w:tcBorders>
            <w:vAlign w:val="center"/>
          </w:tcPr>
          <w:p w14:paraId="00000484" w14:textId="77777777" w:rsidR="00421882" w:rsidRDefault="00421882">
            <w:pPr>
              <w:spacing w:after="0" w:line="240" w:lineRule="auto"/>
              <w:rPr>
                <w:sz w:val="20"/>
                <w:szCs w:val="20"/>
              </w:rPr>
            </w:pPr>
          </w:p>
        </w:tc>
      </w:tr>
    </w:tbl>
    <w:p w14:paraId="00000485" w14:textId="77777777" w:rsidR="00421882" w:rsidRDefault="00421882">
      <w:pPr>
        <w:pBdr>
          <w:top w:val="nil"/>
          <w:left w:val="nil"/>
          <w:bottom w:val="nil"/>
          <w:right w:val="nil"/>
          <w:between w:val="nil"/>
        </w:pBdr>
        <w:spacing w:after="0" w:line="240" w:lineRule="auto"/>
        <w:jc w:val="both"/>
        <w:rPr>
          <w:color w:val="000000"/>
          <w:sz w:val="10"/>
          <w:szCs w:val="10"/>
        </w:rPr>
      </w:pPr>
    </w:p>
    <w:p w14:paraId="00000486" w14:textId="77777777" w:rsidR="00421882" w:rsidRDefault="00363292">
      <w:pPr>
        <w:pBdr>
          <w:top w:val="nil"/>
          <w:left w:val="nil"/>
          <w:bottom w:val="nil"/>
          <w:right w:val="nil"/>
          <w:between w:val="nil"/>
        </w:pBdr>
        <w:spacing w:after="0" w:line="240" w:lineRule="auto"/>
        <w:jc w:val="both"/>
        <w:rPr>
          <w:color w:val="000000"/>
        </w:rPr>
      </w:pPr>
      <w:r>
        <w:rPr>
          <w:color w:val="000000"/>
        </w:rPr>
        <w:t xml:space="preserve">One-way Analysis of Variance (ANOVA) was conducted to compare the stress levels between junior high school Grades 7, 8, 9, and 10, as shown in Table </w:t>
      </w:r>
      <w:r>
        <w:t>10</w:t>
      </w:r>
      <w:r>
        <w:rPr>
          <w:color w:val="000000"/>
        </w:rPr>
        <w:t>. It was found out that with enough evidence (at α = 0.05) there are no significant differences in the stress levels among students in Grade 7 (M=2.7301, SD=0.77364), Grade 8 (M=2.7826, SD=0.84365), Grade 9 (M=2.7898, SD=0.74013), and Grade 10 (M=2.8981, SD=0.83974); F(3, 315)=0.588, p=0.623].</w:t>
      </w:r>
    </w:p>
    <w:p w14:paraId="00000487" w14:textId="77777777" w:rsidR="00421882" w:rsidRDefault="00421882">
      <w:pPr>
        <w:pBdr>
          <w:top w:val="nil"/>
          <w:left w:val="nil"/>
          <w:bottom w:val="nil"/>
          <w:right w:val="nil"/>
          <w:between w:val="nil"/>
        </w:pBdr>
        <w:spacing w:after="0" w:line="240" w:lineRule="auto"/>
        <w:jc w:val="both"/>
        <w:rPr>
          <w:color w:val="000000"/>
          <w:sz w:val="10"/>
          <w:szCs w:val="10"/>
        </w:rPr>
      </w:pPr>
    </w:p>
    <w:p w14:paraId="00000488" w14:textId="77777777" w:rsidR="00421882" w:rsidRDefault="00363292">
      <w:pPr>
        <w:pBdr>
          <w:top w:val="nil"/>
          <w:left w:val="nil"/>
          <w:bottom w:val="nil"/>
          <w:right w:val="nil"/>
          <w:between w:val="nil"/>
        </w:pBdr>
        <w:spacing w:after="0" w:line="240" w:lineRule="auto"/>
        <w:jc w:val="both"/>
      </w:pPr>
      <w:r>
        <w:rPr>
          <w:b/>
          <w:color w:val="000000"/>
        </w:rPr>
        <w:t>Table 1</w:t>
      </w:r>
      <w:r>
        <w:rPr>
          <w:b/>
        </w:rPr>
        <w:t>0</w:t>
      </w:r>
      <w:r>
        <w:rPr>
          <w:b/>
          <w:color w:val="000000"/>
        </w:rPr>
        <w:t>.</w:t>
      </w:r>
      <w:r>
        <w:rPr>
          <w:color w:val="000000"/>
        </w:rPr>
        <w:t xml:space="preserve"> Stress levels among Grades 7-10 students in the context of online learning</w:t>
      </w:r>
    </w:p>
    <w:tbl>
      <w:tblPr>
        <w:tblStyle w:val="a8"/>
        <w:tblW w:w="10064" w:type="dxa"/>
        <w:tblBorders>
          <w:top w:val="nil"/>
          <w:left w:val="nil"/>
          <w:bottom w:val="nil"/>
          <w:right w:val="nil"/>
          <w:insideH w:val="nil"/>
          <w:insideV w:val="nil"/>
        </w:tblBorders>
        <w:tblLayout w:type="fixed"/>
        <w:tblLook w:val="0400" w:firstRow="0" w:lastRow="0" w:firstColumn="0" w:lastColumn="0" w:noHBand="0" w:noVBand="1"/>
      </w:tblPr>
      <w:tblGrid>
        <w:gridCol w:w="980"/>
        <w:gridCol w:w="1056"/>
        <w:gridCol w:w="1115"/>
        <w:gridCol w:w="980"/>
        <w:gridCol w:w="263"/>
        <w:gridCol w:w="1593"/>
        <w:gridCol w:w="1951"/>
        <w:gridCol w:w="992"/>
        <w:gridCol w:w="1134"/>
      </w:tblGrid>
      <w:tr w:rsidR="00421882" w14:paraId="0E19013B" w14:textId="77777777">
        <w:trPr>
          <w:trHeight w:val="793"/>
        </w:trPr>
        <w:tc>
          <w:tcPr>
            <w:tcW w:w="980" w:type="dxa"/>
            <w:tcBorders>
              <w:top w:val="single" w:sz="12" w:space="0" w:color="000000"/>
              <w:bottom w:val="single" w:sz="4" w:space="0" w:color="000000"/>
            </w:tcBorders>
            <w:vAlign w:val="center"/>
          </w:tcPr>
          <w:p w14:paraId="00000489" w14:textId="77777777" w:rsidR="00421882" w:rsidRDefault="00363292">
            <w:pPr>
              <w:spacing w:after="0" w:line="240" w:lineRule="auto"/>
              <w:rPr>
                <w:b/>
                <w:sz w:val="20"/>
                <w:szCs w:val="20"/>
              </w:rPr>
            </w:pPr>
            <w:r>
              <w:rPr>
                <w:b/>
                <w:sz w:val="20"/>
                <w:szCs w:val="20"/>
              </w:rPr>
              <w:t>Grade Level</w:t>
            </w:r>
          </w:p>
        </w:tc>
        <w:tc>
          <w:tcPr>
            <w:tcW w:w="1056" w:type="dxa"/>
            <w:tcBorders>
              <w:top w:val="single" w:sz="12" w:space="0" w:color="000000"/>
              <w:bottom w:val="single" w:sz="4" w:space="0" w:color="000000"/>
            </w:tcBorders>
            <w:vAlign w:val="center"/>
          </w:tcPr>
          <w:p w14:paraId="0000048A" w14:textId="77777777" w:rsidR="00421882" w:rsidRDefault="00363292">
            <w:pPr>
              <w:spacing w:after="0" w:line="240" w:lineRule="auto"/>
              <w:rPr>
                <w:b/>
                <w:sz w:val="20"/>
                <w:szCs w:val="20"/>
              </w:rPr>
            </w:pPr>
            <w:r>
              <w:rPr>
                <w:b/>
                <w:sz w:val="20"/>
                <w:szCs w:val="20"/>
              </w:rPr>
              <w:t>Mean</w:t>
            </w:r>
          </w:p>
        </w:tc>
        <w:tc>
          <w:tcPr>
            <w:tcW w:w="1115" w:type="dxa"/>
            <w:tcBorders>
              <w:top w:val="single" w:sz="12" w:space="0" w:color="000000"/>
              <w:bottom w:val="single" w:sz="4" w:space="0" w:color="000000"/>
            </w:tcBorders>
            <w:vAlign w:val="center"/>
          </w:tcPr>
          <w:p w14:paraId="0000048B" w14:textId="77777777" w:rsidR="00421882" w:rsidRDefault="00363292">
            <w:pPr>
              <w:spacing w:after="0" w:line="240" w:lineRule="auto"/>
              <w:rPr>
                <w:b/>
                <w:sz w:val="20"/>
                <w:szCs w:val="20"/>
              </w:rPr>
            </w:pPr>
            <w:r>
              <w:rPr>
                <w:b/>
                <w:sz w:val="20"/>
                <w:szCs w:val="20"/>
              </w:rPr>
              <w:t>SD</w:t>
            </w:r>
          </w:p>
        </w:tc>
        <w:tc>
          <w:tcPr>
            <w:tcW w:w="980" w:type="dxa"/>
            <w:tcBorders>
              <w:top w:val="single" w:sz="12" w:space="0" w:color="000000"/>
              <w:bottom w:val="single" w:sz="4" w:space="0" w:color="000000"/>
            </w:tcBorders>
            <w:vAlign w:val="center"/>
          </w:tcPr>
          <w:p w14:paraId="0000048C" w14:textId="77777777" w:rsidR="00421882" w:rsidRDefault="00363292">
            <w:pPr>
              <w:spacing w:after="0" w:line="240" w:lineRule="auto"/>
              <w:rPr>
                <w:b/>
                <w:sz w:val="20"/>
                <w:szCs w:val="20"/>
              </w:rPr>
            </w:pPr>
            <w:r>
              <w:rPr>
                <w:b/>
                <w:sz w:val="20"/>
                <w:szCs w:val="20"/>
              </w:rPr>
              <w:t>N</w:t>
            </w:r>
          </w:p>
        </w:tc>
        <w:tc>
          <w:tcPr>
            <w:tcW w:w="263" w:type="dxa"/>
            <w:tcBorders>
              <w:top w:val="single" w:sz="12" w:space="0" w:color="000000"/>
              <w:bottom w:val="single" w:sz="4" w:space="0" w:color="000000"/>
            </w:tcBorders>
            <w:vAlign w:val="center"/>
          </w:tcPr>
          <w:p w14:paraId="0000048D" w14:textId="77777777" w:rsidR="00421882" w:rsidRDefault="00421882">
            <w:pPr>
              <w:spacing w:after="0" w:line="240" w:lineRule="auto"/>
              <w:rPr>
                <w:b/>
                <w:sz w:val="20"/>
                <w:szCs w:val="20"/>
              </w:rPr>
            </w:pPr>
          </w:p>
        </w:tc>
        <w:tc>
          <w:tcPr>
            <w:tcW w:w="1593" w:type="dxa"/>
            <w:tcBorders>
              <w:top w:val="single" w:sz="12" w:space="0" w:color="000000"/>
              <w:bottom w:val="single" w:sz="4" w:space="0" w:color="000000"/>
            </w:tcBorders>
            <w:vAlign w:val="center"/>
          </w:tcPr>
          <w:p w14:paraId="0000048E" w14:textId="77777777" w:rsidR="00421882" w:rsidRDefault="00363292">
            <w:pPr>
              <w:spacing w:after="0" w:line="240" w:lineRule="auto"/>
              <w:jc w:val="center"/>
              <w:rPr>
                <w:b/>
                <w:sz w:val="20"/>
                <w:szCs w:val="20"/>
              </w:rPr>
            </w:pPr>
            <w:r>
              <w:rPr>
                <w:b/>
                <w:sz w:val="20"/>
                <w:szCs w:val="20"/>
              </w:rPr>
              <w:t>df between</w:t>
            </w:r>
          </w:p>
          <w:p w14:paraId="0000048F" w14:textId="77777777" w:rsidR="00421882" w:rsidRDefault="00363292">
            <w:pPr>
              <w:spacing w:after="0" w:line="240" w:lineRule="auto"/>
              <w:jc w:val="center"/>
              <w:rPr>
                <w:b/>
                <w:sz w:val="20"/>
                <w:szCs w:val="20"/>
              </w:rPr>
            </w:pPr>
            <w:r>
              <w:rPr>
                <w:b/>
                <w:sz w:val="20"/>
                <w:szCs w:val="20"/>
              </w:rPr>
              <w:t>group</w:t>
            </w:r>
          </w:p>
        </w:tc>
        <w:tc>
          <w:tcPr>
            <w:tcW w:w="1951" w:type="dxa"/>
            <w:tcBorders>
              <w:top w:val="single" w:sz="12" w:space="0" w:color="000000"/>
              <w:bottom w:val="single" w:sz="4" w:space="0" w:color="000000"/>
            </w:tcBorders>
            <w:vAlign w:val="center"/>
          </w:tcPr>
          <w:p w14:paraId="00000490" w14:textId="77777777" w:rsidR="00421882" w:rsidRDefault="00363292">
            <w:pPr>
              <w:spacing w:after="0" w:line="240" w:lineRule="auto"/>
              <w:rPr>
                <w:b/>
                <w:sz w:val="20"/>
                <w:szCs w:val="20"/>
              </w:rPr>
            </w:pPr>
            <w:r>
              <w:rPr>
                <w:b/>
                <w:sz w:val="20"/>
                <w:szCs w:val="20"/>
              </w:rPr>
              <w:t>df</w:t>
            </w:r>
          </w:p>
          <w:p w14:paraId="00000491" w14:textId="77777777" w:rsidR="00421882" w:rsidRDefault="00363292">
            <w:pPr>
              <w:spacing w:after="0" w:line="240" w:lineRule="auto"/>
              <w:rPr>
                <w:b/>
                <w:sz w:val="20"/>
                <w:szCs w:val="20"/>
              </w:rPr>
            </w:pPr>
            <w:r>
              <w:rPr>
                <w:b/>
                <w:sz w:val="20"/>
                <w:szCs w:val="20"/>
              </w:rPr>
              <w:t>within group</w:t>
            </w:r>
          </w:p>
        </w:tc>
        <w:tc>
          <w:tcPr>
            <w:tcW w:w="992" w:type="dxa"/>
            <w:tcBorders>
              <w:top w:val="single" w:sz="12" w:space="0" w:color="000000"/>
              <w:bottom w:val="single" w:sz="4" w:space="0" w:color="000000"/>
            </w:tcBorders>
            <w:vAlign w:val="center"/>
          </w:tcPr>
          <w:p w14:paraId="00000492" w14:textId="77777777" w:rsidR="00421882" w:rsidRDefault="00363292">
            <w:pPr>
              <w:spacing w:after="0" w:line="240" w:lineRule="auto"/>
              <w:jc w:val="center"/>
              <w:rPr>
                <w:b/>
                <w:sz w:val="20"/>
                <w:szCs w:val="20"/>
              </w:rPr>
            </w:pPr>
            <w:r>
              <w:rPr>
                <w:b/>
                <w:sz w:val="20"/>
                <w:szCs w:val="20"/>
              </w:rPr>
              <w:t>F</w:t>
            </w:r>
          </w:p>
        </w:tc>
        <w:tc>
          <w:tcPr>
            <w:tcW w:w="1134" w:type="dxa"/>
            <w:tcBorders>
              <w:top w:val="single" w:sz="12" w:space="0" w:color="000000"/>
              <w:bottom w:val="single" w:sz="4" w:space="0" w:color="000000"/>
            </w:tcBorders>
            <w:vAlign w:val="center"/>
          </w:tcPr>
          <w:p w14:paraId="00000493" w14:textId="77777777" w:rsidR="00421882" w:rsidRDefault="00363292">
            <w:pPr>
              <w:spacing w:after="0" w:line="240" w:lineRule="auto"/>
              <w:rPr>
                <w:b/>
                <w:sz w:val="20"/>
                <w:szCs w:val="20"/>
              </w:rPr>
            </w:pPr>
            <w:r>
              <w:rPr>
                <w:b/>
                <w:sz w:val="20"/>
                <w:szCs w:val="20"/>
              </w:rPr>
              <w:t>p</w:t>
            </w:r>
          </w:p>
        </w:tc>
      </w:tr>
      <w:tr w:rsidR="00421882" w14:paraId="7050FC96" w14:textId="77777777">
        <w:trPr>
          <w:trHeight w:val="264"/>
        </w:trPr>
        <w:tc>
          <w:tcPr>
            <w:tcW w:w="980" w:type="dxa"/>
            <w:tcBorders>
              <w:top w:val="single" w:sz="4" w:space="0" w:color="000000"/>
            </w:tcBorders>
          </w:tcPr>
          <w:p w14:paraId="00000494" w14:textId="77777777" w:rsidR="00421882" w:rsidRDefault="00421882">
            <w:pPr>
              <w:spacing w:after="0" w:line="240" w:lineRule="auto"/>
              <w:rPr>
                <w:sz w:val="20"/>
                <w:szCs w:val="20"/>
              </w:rPr>
            </w:pPr>
          </w:p>
        </w:tc>
        <w:tc>
          <w:tcPr>
            <w:tcW w:w="1056" w:type="dxa"/>
            <w:tcBorders>
              <w:top w:val="single" w:sz="4" w:space="0" w:color="000000"/>
            </w:tcBorders>
          </w:tcPr>
          <w:p w14:paraId="00000495" w14:textId="77777777" w:rsidR="00421882" w:rsidRDefault="00421882">
            <w:pPr>
              <w:spacing w:after="0" w:line="240" w:lineRule="auto"/>
              <w:rPr>
                <w:sz w:val="20"/>
                <w:szCs w:val="20"/>
              </w:rPr>
            </w:pPr>
          </w:p>
        </w:tc>
        <w:tc>
          <w:tcPr>
            <w:tcW w:w="1115" w:type="dxa"/>
            <w:tcBorders>
              <w:top w:val="single" w:sz="4" w:space="0" w:color="000000"/>
            </w:tcBorders>
          </w:tcPr>
          <w:p w14:paraId="00000496" w14:textId="77777777" w:rsidR="00421882" w:rsidRDefault="00421882">
            <w:pPr>
              <w:spacing w:after="0" w:line="240" w:lineRule="auto"/>
              <w:rPr>
                <w:sz w:val="20"/>
                <w:szCs w:val="20"/>
              </w:rPr>
            </w:pPr>
          </w:p>
        </w:tc>
        <w:tc>
          <w:tcPr>
            <w:tcW w:w="980" w:type="dxa"/>
            <w:tcBorders>
              <w:top w:val="single" w:sz="4" w:space="0" w:color="000000"/>
            </w:tcBorders>
          </w:tcPr>
          <w:p w14:paraId="00000497" w14:textId="77777777" w:rsidR="00421882" w:rsidRDefault="00421882">
            <w:pPr>
              <w:spacing w:after="0" w:line="240" w:lineRule="auto"/>
              <w:rPr>
                <w:sz w:val="20"/>
                <w:szCs w:val="20"/>
              </w:rPr>
            </w:pPr>
          </w:p>
        </w:tc>
        <w:tc>
          <w:tcPr>
            <w:tcW w:w="263" w:type="dxa"/>
            <w:tcBorders>
              <w:top w:val="single" w:sz="4" w:space="0" w:color="000000"/>
            </w:tcBorders>
          </w:tcPr>
          <w:p w14:paraId="00000498" w14:textId="77777777" w:rsidR="00421882" w:rsidRDefault="00421882">
            <w:pPr>
              <w:spacing w:after="0" w:line="240" w:lineRule="auto"/>
              <w:rPr>
                <w:sz w:val="20"/>
                <w:szCs w:val="20"/>
              </w:rPr>
            </w:pPr>
          </w:p>
        </w:tc>
        <w:tc>
          <w:tcPr>
            <w:tcW w:w="1593" w:type="dxa"/>
            <w:tcBorders>
              <w:top w:val="single" w:sz="4" w:space="0" w:color="000000"/>
            </w:tcBorders>
          </w:tcPr>
          <w:p w14:paraId="00000499" w14:textId="77777777" w:rsidR="00421882" w:rsidRDefault="00421882">
            <w:pPr>
              <w:spacing w:after="0" w:line="240" w:lineRule="auto"/>
              <w:rPr>
                <w:sz w:val="20"/>
                <w:szCs w:val="20"/>
              </w:rPr>
            </w:pPr>
          </w:p>
        </w:tc>
        <w:tc>
          <w:tcPr>
            <w:tcW w:w="1951" w:type="dxa"/>
            <w:tcBorders>
              <w:top w:val="single" w:sz="4" w:space="0" w:color="000000"/>
            </w:tcBorders>
          </w:tcPr>
          <w:p w14:paraId="0000049A" w14:textId="77777777" w:rsidR="00421882" w:rsidRDefault="00421882">
            <w:pPr>
              <w:spacing w:after="0" w:line="240" w:lineRule="auto"/>
              <w:rPr>
                <w:sz w:val="20"/>
                <w:szCs w:val="20"/>
              </w:rPr>
            </w:pPr>
          </w:p>
        </w:tc>
        <w:tc>
          <w:tcPr>
            <w:tcW w:w="992" w:type="dxa"/>
            <w:tcBorders>
              <w:top w:val="single" w:sz="4" w:space="0" w:color="000000"/>
            </w:tcBorders>
          </w:tcPr>
          <w:p w14:paraId="0000049B" w14:textId="77777777" w:rsidR="00421882" w:rsidRDefault="00421882">
            <w:pPr>
              <w:spacing w:after="0" w:line="240" w:lineRule="auto"/>
              <w:rPr>
                <w:sz w:val="20"/>
                <w:szCs w:val="20"/>
              </w:rPr>
            </w:pPr>
          </w:p>
        </w:tc>
        <w:tc>
          <w:tcPr>
            <w:tcW w:w="1134" w:type="dxa"/>
            <w:tcBorders>
              <w:top w:val="single" w:sz="4" w:space="0" w:color="000000"/>
            </w:tcBorders>
          </w:tcPr>
          <w:p w14:paraId="0000049C" w14:textId="77777777" w:rsidR="00421882" w:rsidRDefault="00421882">
            <w:pPr>
              <w:spacing w:after="0" w:line="240" w:lineRule="auto"/>
              <w:rPr>
                <w:sz w:val="20"/>
                <w:szCs w:val="20"/>
              </w:rPr>
            </w:pPr>
          </w:p>
        </w:tc>
      </w:tr>
      <w:tr w:rsidR="00421882" w14:paraId="6DF7039F" w14:textId="77777777">
        <w:trPr>
          <w:trHeight w:val="302"/>
        </w:trPr>
        <w:tc>
          <w:tcPr>
            <w:tcW w:w="980" w:type="dxa"/>
            <w:vAlign w:val="center"/>
          </w:tcPr>
          <w:p w14:paraId="0000049D" w14:textId="77777777" w:rsidR="00421882" w:rsidRDefault="00363292">
            <w:pPr>
              <w:spacing w:after="0" w:line="240" w:lineRule="auto"/>
              <w:rPr>
                <w:sz w:val="20"/>
                <w:szCs w:val="20"/>
              </w:rPr>
            </w:pPr>
            <w:r>
              <w:rPr>
                <w:sz w:val="20"/>
                <w:szCs w:val="20"/>
              </w:rPr>
              <w:t>7</w:t>
            </w:r>
          </w:p>
        </w:tc>
        <w:tc>
          <w:tcPr>
            <w:tcW w:w="1056" w:type="dxa"/>
            <w:vAlign w:val="center"/>
          </w:tcPr>
          <w:p w14:paraId="0000049E" w14:textId="77777777" w:rsidR="00421882" w:rsidRDefault="00363292">
            <w:pPr>
              <w:spacing w:after="0" w:line="240" w:lineRule="auto"/>
              <w:rPr>
                <w:sz w:val="20"/>
                <w:szCs w:val="20"/>
              </w:rPr>
            </w:pPr>
            <w:r>
              <w:rPr>
                <w:sz w:val="20"/>
                <w:szCs w:val="20"/>
              </w:rPr>
              <w:t>2.7301</w:t>
            </w:r>
          </w:p>
        </w:tc>
        <w:tc>
          <w:tcPr>
            <w:tcW w:w="1115" w:type="dxa"/>
          </w:tcPr>
          <w:p w14:paraId="0000049F" w14:textId="77777777" w:rsidR="00421882" w:rsidRDefault="00363292">
            <w:pPr>
              <w:spacing w:after="0" w:line="240" w:lineRule="auto"/>
              <w:rPr>
                <w:sz w:val="20"/>
                <w:szCs w:val="20"/>
              </w:rPr>
            </w:pPr>
            <w:r>
              <w:rPr>
                <w:sz w:val="20"/>
                <w:szCs w:val="20"/>
              </w:rPr>
              <w:t>0.77364</w:t>
            </w:r>
          </w:p>
        </w:tc>
        <w:tc>
          <w:tcPr>
            <w:tcW w:w="980" w:type="dxa"/>
          </w:tcPr>
          <w:p w14:paraId="000004A0" w14:textId="77777777" w:rsidR="00421882" w:rsidRDefault="00363292">
            <w:pPr>
              <w:spacing w:after="0" w:line="240" w:lineRule="auto"/>
              <w:rPr>
                <w:sz w:val="20"/>
                <w:szCs w:val="20"/>
              </w:rPr>
            </w:pPr>
            <w:r>
              <w:rPr>
                <w:sz w:val="20"/>
                <w:szCs w:val="20"/>
              </w:rPr>
              <w:t>73</w:t>
            </w:r>
          </w:p>
        </w:tc>
        <w:tc>
          <w:tcPr>
            <w:tcW w:w="263" w:type="dxa"/>
            <w:vAlign w:val="center"/>
          </w:tcPr>
          <w:p w14:paraId="000004A1" w14:textId="77777777" w:rsidR="00421882" w:rsidRDefault="00421882">
            <w:pPr>
              <w:spacing w:after="0" w:line="240" w:lineRule="auto"/>
              <w:rPr>
                <w:sz w:val="20"/>
                <w:szCs w:val="20"/>
              </w:rPr>
            </w:pPr>
          </w:p>
        </w:tc>
        <w:tc>
          <w:tcPr>
            <w:tcW w:w="1593" w:type="dxa"/>
            <w:vAlign w:val="center"/>
          </w:tcPr>
          <w:p w14:paraId="000004A2" w14:textId="77777777" w:rsidR="00421882" w:rsidRDefault="00363292">
            <w:pPr>
              <w:spacing w:after="0" w:line="240" w:lineRule="auto"/>
              <w:jc w:val="center"/>
              <w:rPr>
                <w:sz w:val="20"/>
                <w:szCs w:val="20"/>
              </w:rPr>
            </w:pPr>
            <w:r>
              <w:rPr>
                <w:sz w:val="20"/>
                <w:szCs w:val="20"/>
              </w:rPr>
              <w:t>3</w:t>
            </w:r>
          </w:p>
        </w:tc>
        <w:tc>
          <w:tcPr>
            <w:tcW w:w="1951" w:type="dxa"/>
            <w:vAlign w:val="center"/>
          </w:tcPr>
          <w:p w14:paraId="000004A3" w14:textId="77777777" w:rsidR="00421882" w:rsidRDefault="00363292">
            <w:pPr>
              <w:spacing w:after="0" w:line="240" w:lineRule="auto"/>
              <w:rPr>
                <w:sz w:val="20"/>
                <w:szCs w:val="20"/>
              </w:rPr>
            </w:pPr>
            <w:r>
              <w:rPr>
                <w:sz w:val="20"/>
                <w:szCs w:val="20"/>
              </w:rPr>
              <w:t>315</w:t>
            </w:r>
          </w:p>
        </w:tc>
        <w:tc>
          <w:tcPr>
            <w:tcW w:w="992" w:type="dxa"/>
            <w:vAlign w:val="center"/>
          </w:tcPr>
          <w:p w14:paraId="000004A4" w14:textId="77777777" w:rsidR="00421882" w:rsidRDefault="00363292">
            <w:pPr>
              <w:spacing w:after="0" w:line="240" w:lineRule="auto"/>
              <w:rPr>
                <w:sz w:val="20"/>
                <w:szCs w:val="20"/>
              </w:rPr>
            </w:pPr>
            <w:r>
              <w:rPr>
                <w:rFonts w:ascii="Arial" w:eastAsia="Arial" w:hAnsi="Arial" w:cs="Arial"/>
                <w:sz w:val="16"/>
                <w:szCs w:val="16"/>
              </w:rPr>
              <w:t>0.588</w:t>
            </w:r>
          </w:p>
        </w:tc>
        <w:tc>
          <w:tcPr>
            <w:tcW w:w="1134" w:type="dxa"/>
            <w:vAlign w:val="center"/>
          </w:tcPr>
          <w:p w14:paraId="000004A5" w14:textId="77777777" w:rsidR="00421882" w:rsidRDefault="00363292">
            <w:pPr>
              <w:spacing w:after="0" w:line="240" w:lineRule="auto"/>
              <w:rPr>
                <w:sz w:val="20"/>
                <w:szCs w:val="20"/>
              </w:rPr>
            </w:pPr>
            <w:r>
              <w:rPr>
                <w:rFonts w:ascii="Arial" w:eastAsia="Arial" w:hAnsi="Arial" w:cs="Arial"/>
                <w:sz w:val="16"/>
                <w:szCs w:val="16"/>
              </w:rPr>
              <w:t>0.623</w:t>
            </w:r>
          </w:p>
        </w:tc>
      </w:tr>
      <w:tr w:rsidR="00421882" w14:paraId="3852D1CA" w14:textId="77777777">
        <w:trPr>
          <w:trHeight w:val="264"/>
        </w:trPr>
        <w:tc>
          <w:tcPr>
            <w:tcW w:w="980" w:type="dxa"/>
            <w:vAlign w:val="center"/>
          </w:tcPr>
          <w:p w14:paraId="000004A6" w14:textId="77777777" w:rsidR="00421882" w:rsidRDefault="00363292">
            <w:pPr>
              <w:spacing w:after="0" w:line="240" w:lineRule="auto"/>
              <w:rPr>
                <w:sz w:val="20"/>
                <w:szCs w:val="20"/>
              </w:rPr>
            </w:pPr>
            <w:r>
              <w:rPr>
                <w:sz w:val="20"/>
                <w:szCs w:val="20"/>
              </w:rPr>
              <w:t>8</w:t>
            </w:r>
          </w:p>
        </w:tc>
        <w:tc>
          <w:tcPr>
            <w:tcW w:w="1056" w:type="dxa"/>
            <w:vAlign w:val="center"/>
          </w:tcPr>
          <w:p w14:paraId="000004A7" w14:textId="77777777" w:rsidR="00421882" w:rsidRDefault="00363292">
            <w:pPr>
              <w:spacing w:after="0" w:line="240" w:lineRule="auto"/>
              <w:rPr>
                <w:sz w:val="20"/>
                <w:szCs w:val="20"/>
              </w:rPr>
            </w:pPr>
            <w:r>
              <w:rPr>
                <w:sz w:val="20"/>
                <w:szCs w:val="20"/>
              </w:rPr>
              <w:t>2.7826</w:t>
            </w:r>
          </w:p>
        </w:tc>
        <w:tc>
          <w:tcPr>
            <w:tcW w:w="1115" w:type="dxa"/>
          </w:tcPr>
          <w:p w14:paraId="000004A8" w14:textId="77777777" w:rsidR="00421882" w:rsidRDefault="00363292">
            <w:pPr>
              <w:spacing w:after="0" w:line="240" w:lineRule="auto"/>
              <w:rPr>
                <w:sz w:val="20"/>
                <w:szCs w:val="20"/>
              </w:rPr>
            </w:pPr>
            <w:r>
              <w:rPr>
                <w:sz w:val="20"/>
                <w:szCs w:val="20"/>
              </w:rPr>
              <w:t>0.84365</w:t>
            </w:r>
          </w:p>
        </w:tc>
        <w:tc>
          <w:tcPr>
            <w:tcW w:w="980" w:type="dxa"/>
          </w:tcPr>
          <w:p w14:paraId="000004A9" w14:textId="77777777" w:rsidR="00421882" w:rsidRDefault="00363292">
            <w:pPr>
              <w:spacing w:after="0" w:line="240" w:lineRule="auto"/>
              <w:rPr>
                <w:sz w:val="20"/>
                <w:szCs w:val="20"/>
              </w:rPr>
            </w:pPr>
            <w:r>
              <w:rPr>
                <w:sz w:val="20"/>
                <w:szCs w:val="20"/>
              </w:rPr>
              <w:t>86</w:t>
            </w:r>
          </w:p>
        </w:tc>
        <w:tc>
          <w:tcPr>
            <w:tcW w:w="263" w:type="dxa"/>
            <w:vAlign w:val="center"/>
          </w:tcPr>
          <w:p w14:paraId="000004AA" w14:textId="77777777" w:rsidR="00421882" w:rsidRDefault="00421882">
            <w:pPr>
              <w:spacing w:after="0" w:line="240" w:lineRule="auto"/>
              <w:rPr>
                <w:sz w:val="20"/>
                <w:szCs w:val="20"/>
              </w:rPr>
            </w:pPr>
          </w:p>
        </w:tc>
        <w:tc>
          <w:tcPr>
            <w:tcW w:w="1593" w:type="dxa"/>
            <w:vAlign w:val="center"/>
          </w:tcPr>
          <w:p w14:paraId="000004AB" w14:textId="77777777" w:rsidR="00421882" w:rsidRDefault="00421882">
            <w:pPr>
              <w:spacing w:after="0" w:line="240" w:lineRule="auto"/>
              <w:rPr>
                <w:sz w:val="20"/>
                <w:szCs w:val="20"/>
              </w:rPr>
            </w:pPr>
          </w:p>
        </w:tc>
        <w:tc>
          <w:tcPr>
            <w:tcW w:w="1951" w:type="dxa"/>
            <w:vAlign w:val="center"/>
          </w:tcPr>
          <w:p w14:paraId="000004AC" w14:textId="77777777" w:rsidR="00421882" w:rsidRDefault="00421882">
            <w:pPr>
              <w:spacing w:after="0" w:line="240" w:lineRule="auto"/>
              <w:rPr>
                <w:sz w:val="20"/>
                <w:szCs w:val="20"/>
              </w:rPr>
            </w:pPr>
          </w:p>
        </w:tc>
        <w:tc>
          <w:tcPr>
            <w:tcW w:w="992" w:type="dxa"/>
            <w:vAlign w:val="center"/>
          </w:tcPr>
          <w:p w14:paraId="000004AD" w14:textId="77777777" w:rsidR="00421882" w:rsidRDefault="00421882">
            <w:pPr>
              <w:spacing w:after="0" w:line="240" w:lineRule="auto"/>
              <w:rPr>
                <w:sz w:val="20"/>
                <w:szCs w:val="20"/>
              </w:rPr>
            </w:pPr>
          </w:p>
        </w:tc>
        <w:tc>
          <w:tcPr>
            <w:tcW w:w="1134" w:type="dxa"/>
            <w:vAlign w:val="center"/>
          </w:tcPr>
          <w:p w14:paraId="000004AE" w14:textId="77777777" w:rsidR="00421882" w:rsidRDefault="00421882">
            <w:pPr>
              <w:spacing w:after="0" w:line="240" w:lineRule="auto"/>
              <w:rPr>
                <w:sz w:val="20"/>
                <w:szCs w:val="20"/>
              </w:rPr>
            </w:pPr>
          </w:p>
        </w:tc>
      </w:tr>
      <w:tr w:rsidR="00421882" w14:paraId="5C4702EE" w14:textId="77777777">
        <w:trPr>
          <w:trHeight w:val="264"/>
        </w:trPr>
        <w:tc>
          <w:tcPr>
            <w:tcW w:w="980" w:type="dxa"/>
            <w:vAlign w:val="center"/>
          </w:tcPr>
          <w:p w14:paraId="000004AF" w14:textId="77777777" w:rsidR="00421882" w:rsidRDefault="00363292">
            <w:pPr>
              <w:spacing w:after="0" w:line="240" w:lineRule="auto"/>
              <w:rPr>
                <w:sz w:val="20"/>
                <w:szCs w:val="20"/>
              </w:rPr>
            </w:pPr>
            <w:r>
              <w:rPr>
                <w:sz w:val="20"/>
                <w:szCs w:val="20"/>
              </w:rPr>
              <w:t>9</w:t>
            </w:r>
          </w:p>
        </w:tc>
        <w:tc>
          <w:tcPr>
            <w:tcW w:w="1056" w:type="dxa"/>
            <w:vAlign w:val="center"/>
          </w:tcPr>
          <w:p w14:paraId="000004B0" w14:textId="77777777" w:rsidR="00421882" w:rsidRDefault="00363292">
            <w:pPr>
              <w:spacing w:after="0" w:line="240" w:lineRule="auto"/>
              <w:rPr>
                <w:sz w:val="20"/>
                <w:szCs w:val="20"/>
              </w:rPr>
            </w:pPr>
            <w:r>
              <w:rPr>
                <w:sz w:val="20"/>
                <w:szCs w:val="20"/>
              </w:rPr>
              <w:t>2.7898</w:t>
            </w:r>
          </w:p>
        </w:tc>
        <w:tc>
          <w:tcPr>
            <w:tcW w:w="1115" w:type="dxa"/>
          </w:tcPr>
          <w:p w14:paraId="000004B1" w14:textId="77777777" w:rsidR="00421882" w:rsidRDefault="00363292">
            <w:pPr>
              <w:spacing w:after="0" w:line="240" w:lineRule="auto"/>
              <w:rPr>
                <w:sz w:val="20"/>
                <w:szCs w:val="20"/>
              </w:rPr>
            </w:pPr>
            <w:r>
              <w:rPr>
                <w:sz w:val="20"/>
                <w:szCs w:val="20"/>
              </w:rPr>
              <w:t>0.74013</w:t>
            </w:r>
          </w:p>
        </w:tc>
        <w:tc>
          <w:tcPr>
            <w:tcW w:w="980" w:type="dxa"/>
          </w:tcPr>
          <w:p w14:paraId="000004B2" w14:textId="77777777" w:rsidR="00421882" w:rsidRDefault="00363292">
            <w:pPr>
              <w:spacing w:after="0" w:line="240" w:lineRule="auto"/>
              <w:rPr>
                <w:sz w:val="20"/>
                <w:szCs w:val="20"/>
              </w:rPr>
            </w:pPr>
            <w:r>
              <w:rPr>
                <w:sz w:val="20"/>
                <w:szCs w:val="20"/>
              </w:rPr>
              <w:t>83</w:t>
            </w:r>
          </w:p>
        </w:tc>
        <w:tc>
          <w:tcPr>
            <w:tcW w:w="263" w:type="dxa"/>
            <w:vAlign w:val="center"/>
          </w:tcPr>
          <w:p w14:paraId="000004B3" w14:textId="77777777" w:rsidR="00421882" w:rsidRDefault="00421882">
            <w:pPr>
              <w:spacing w:after="0" w:line="240" w:lineRule="auto"/>
              <w:rPr>
                <w:sz w:val="20"/>
                <w:szCs w:val="20"/>
              </w:rPr>
            </w:pPr>
          </w:p>
        </w:tc>
        <w:tc>
          <w:tcPr>
            <w:tcW w:w="1593" w:type="dxa"/>
            <w:vAlign w:val="center"/>
          </w:tcPr>
          <w:p w14:paraId="000004B4" w14:textId="77777777" w:rsidR="00421882" w:rsidRDefault="00421882">
            <w:pPr>
              <w:spacing w:after="0" w:line="240" w:lineRule="auto"/>
              <w:rPr>
                <w:sz w:val="20"/>
                <w:szCs w:val="20"/>
              </w:rPr>
            </w:pPr>
          </w:p>
        </w:tc>
        <w:tc>
          <w:tcPr>
            <w:tcW w:w="1951" w:type="dxa"/>
            <w:vAlign w:val="center"/>
          </w:tcPr>
          <w:p w14:paraId="000004B5" w14:textId="77777777" w:rsidR="00421882" w:rsidRDefault="00421882">
            <w:pPr>
              <w:spacing w:after="0" w:line="240" w:lineRule="auto"/>
              <w:rPr>
                <w:sz w:val="20"/>
                <w:szCs w:val="20"/>
              </w:rPr>
            </w:pPr>
          </w:p>
        </w:tc>
        <w:tc>
          <w:tcPr>
            <w:tcW w:w="992" w:type="dxa"/>
            <w:vAlign w:val="center"/>
          </w:tcPr>
          <w:p w14:paraId="000004B6" w14:textId="77777777" w:rsidR="00421882" w:rsidRDefault="00421882">
            <w:pPr>
              <w:spacing w:after="0" w:line="240" w:lineRule="auto"/>
              <w:rPr>
                <w:sz w:val="20"/>
                <w:szCs w:val="20"/>
              </w:rPr>
            </w:pPr>
          </w:p>
        </w:tc>
        <w:tc>
          <w:tcPr>
            <w:tcW w:w="1134" w:type="dxa"/>
            <w:vAlign w:val="center"/>
          </w:tcPr>
          <w:p w14:paraId="000004B7" w14:textId="77777777" w:rsidR="00421882" w:rsidRDefault="00421882">
            <w:pPr>
              <w:spacing w:after="0" w:line="240" w:lineRule="auto"/>
              <w:rPr>
                <w:sz w:val="20"/>
                <w:szCs w:val="20"/>
              </w:rPr>
            </w:pPr>
          </w:p>
        </w:tc>
      </w:tr>
      <w:tr w:rsidR="00421882" w14:paraId="2B48486B" w14:textId="77777777">
        <w:trPr>
          <w:trHeight w:val="274"/>
        </w:trPr>
        <w:tc>
          <w:tcPr>
            <w:tcW w:w="980" w:type="dxa"/>
            <w:tcBorders>
              <w:bottom w:val="single" w:sz="4" w:space="0" w:color="000000"/>
            </w:tcBorders>
            <w:vAlign w:val="center"/>
          </w:tcPr>
          <w:p w14:paraId="000004B8" w14:textId="77777777" w:rsidR="00421882" w:rsidRDefault="00363292">
            <w:pPr>
              <w:spacing w:after="0" w:line="240" w:lineRule="auto"/>
              <w:rPr>
                <w:sz w:val="20"/>
                <w:szCs w:val="20"/>
              </w:rPr>
            </w:pPr>
            <w:r>
              <w:rPr>
                <w:sz w:val="20"/>
                <w:szCs w:val="20"/>
              </w:rPr>
              <w:t>10</w:t>
            </w:r>
          </w:p>
        </w:tc>
        <w:tc>
          <w:tcPr>
            <w:tcW w:w="1056" w:type="dxa"/>
            <w:tcBorders>
              <w:bottom w:val="single" w:sz="4" w:space="0" w:color="000000"/>
            </w:tcBorders>
            <w:vAlign w:val="center"/>
          </w:tcPr>
          <w:p w14:paraId="000004B9" w14:textId="77777777" w:rsidR="00421882" w:rsidRDefault="00363292">
            <w:pPr>
              <w:spacing w:after="0" w:line="240" w:lineRule="auto"/>
              <w:rPr>
                <w:sz w:val="20"/>
                <w:szCs w:val="20"/>
              </w:rPr>
            </w:pPr>
            <w:r>
              <w:rPr>
                <w:sz w:val="20"/>
                <w:szCs w:val="20"/>
              </w:rPr>
              <w:t>2.8981</w:t>
            </w:r>
          </w:p>
        </w:tc>
        <w:tc>
          <w:tcPr>
            <w:tcW w:w="1115" w:type="dxa"/>
            <w:tcBorders>
              <w:bottom w:val="single" w:sz="4" w:space="0" w:color="000000"/>
            </w:tcBorders>
          </w:tcPr>
          <w:p w14:paraId="000004BA" w14:textId="77777777" w:rsidR="00421882" w:rsidRDefault="00363292">
            <w:pPr>
              <w:spacing w:after="0" w:line="240" w:lineRule="auto"/>
              <w:rPr>
                <w:sz w:val="20"/>
                <w:szCs w:val="20"/>
              </w:rPr>
            </w:pPr>
            <w:r>
              <w:rPr>
                <w:sz w:val="20"/>
                <w:szCs w:val="20"/>
              </w:rPr>
              <w:t>0.83974</w:t>
            </w:r>
          </w:p>
        </w:tc>
        <w:tc>
          <w:tcPr>
            <w:tcW w:w="980" w:type="dxa"/>
            <w:tcBorders>
              <w:bottom w:val="single" w:sz="4" w:space="0" w:color="000000"/>
            </w:tcBorders>
          </w:tcPr>
          <w:p w14:paraId="000004BB" w14:textId="77777777" w:rsidR="00421882" w:rsidRDefault="00363292">
            <w:pPr>
              <w:spacing w:after="0" w:line="240" w:lineRule="auto"/>
              <w:rPr>
                <w:sz w:val="20"/>
                <w:szCs w:val="20"/>
              </w:rPr>
            </w:pPr>
            <w:r>
              <w:rPr>
                <w:sz w:val="20"/>
                <w:szCs w:val="20"/>
              </w:rPr>
              <w:t>77</w:t>
            </w:r>
          </w:p>
        </w:tc>
        <w:tc>
          <w:tcPr>
            <w:tcW w:w="263" w:type="dxa"/>
            <w:tcBorders>
              <w:bottom w:val="single" w:sz="4" w:space="0" w:color="000000"/>
            </w:tcBorders>
            <w:vAlign w:val="center"/>
          </w:tcPr>
          <w:p w14:paraId="000004BC" w14:textId="77777777" w:rsidR="00421882" w:rsidRDefault="00421882">
            <w:pPr>
              <w:spacing w:after="0" w:line="240" w:lineRule="auto"/>
              <w:rPr>
                <w:sz w:val="20"/>
                <w:szCs w:val="20"/>
              </w:rPr>
            </w:pPr>
          </w:p>
        </w:tc>
        <w:tc>
          <w:tcPr>
            <w:tcW w:w="1593" w:type="dxa"/>
            <w:tcBorders>
              <w:bottom w:val="single" w:sz="4" w:space="0" w:color="000000"/>
            </w:tcBorders>
            <w:vAlign w:val="center"/>
          </w:tcPr>
          <w:p w14:paraId="000004BD" w14:textId="77777777" w:rsidR="00421882" w:rsidRDefault="00421882">
            <w:pPr>
              <w:spacing w:after="0" w:line="240" w:lineRule="auto"/>
              <w:rPr>
                <w:sz w:val="20"/>
                <w:szCs w:val="20"/>
              </w:rPr>
            </w:pPr>
          </w:p>
        </w:tc>
        <w:tc>
          <w:tcPr>
            <w:tcW w:w="1951" w:type="dxa"/>
            <w:tcBorders>
              <w:bottom w:val="single" w:sz="4" w:space="0" w:color="000000"/>
            </w:tcBorders>
            <w:vAlign w:val="center"/>
          </w:tcPr>
          <w:p w14:paraId="000004BE" w14:textId="77777777" w:rsidR="00421882" w:rsidRDefault="00421882">
            <w:pPr>
              <w:spacing w:after="0" w:line="240" w:lineRule="auto"/>
              <w:rPr>
                <w:sz w:val="20"/>
                <w:szCs w:val="20"/>
              </w:rPr>
            </w:pPr>
          </w:p>
        </w:tc>
        <w:tc>
          <w:tcPr>
            <w:tcW w:w="992" w:type="dxa"/>
            <w:tcBorders>
              <w:bottom w:val="single" w:sz="4" w:space="0" w:color="000000"/>
            </w:tcBorders>
            <w:vAlign w:val="center"/>
          </w:tcPr>
          <w:p w14:paraId="000004BF" w14:textId="77777777" w:rsidR="00421882" w:rsidRDefault="00421882">
            <w:pPr>
              <w:spacing w:after="0" w:line="240" w:lineRule="auto"/>
              <w:rPr>
                <w:sz w:val="20"/>
                <w:szCs w:val="20"/>
              </w:rPr>
            </w:pPr>
          </w:p>
        </w:tc>
        <w:tc>
          <w:tcPr>
            <w:tcW w:w="1134" w:type="dxa"/>
            <w:tcBorders>
              <w:bottom w:val="single" w:sz="4" w:space="0" w:color="000000"/>
            </w:tcBorders>
            <w:vAlign w:val="center"/>
          </w:tcPr>
          <w:p w14:paraId="000004C0" w14:textId="77777777" w:rsidR="00421882" w:rsidRDefault="00421882">
            <w:pPr>
              <w:spacing w:after="0" w:line="240" w:lineRule="auto"/>
              <w:rPr>
                <w:sz w:val="20"/>
                <w:szCs w:val="20"/>
              </w:rPr>
            </w:pPr>
          </w:p>
        </w:tc>
      </w:tr>
      <w:tr w:rsidR="00421882" w14:paraId="0F0EF030" w14:textId="77777777">
        <w:trPr>
          <w:trHeight w:val="264"/>
        </w:trPr>
        <w:tc>
          <w:tcPr>
            <w:tcW w:w="980" w:type="dxa"/>
            <w:tcBorders>
              <w:top w:val="single" w:sz="4" w:space="0" w:color="000000"/>
              <w:bottom w:val="single" w:sz="12" w:space="0" w:color="000000"/>
            </w:tcBorders>
          </w:tcPr>
          <w:p w14:paraId="000004C1" w14:textId="77777777" w:rsidR="00421882" w:rsidRDefault="00363292">
            <w:pPr>
              <w:spacing w:after="0" w:line="240" w:lineRule="auto"/>
              <w:rPr>
                <w:sz w:val="20"/>
                <w:szCs w:val="20"/>
              </w:rPr>
            </w:pPr>
            <w:r>
              <w:rPr>
                <w:sz w:val="20"/>
                <w:szCs w:val="20"/>
              </w:rPr>
              <w:t>Total</w:t>
            </w:r>
          </w:p>
        </w:tc>
        <w:tc>
          <w:tcPr>
            <w:tcW w:w="1056" w:type="dxa"/>
            <w:tcBorders>
              <w:top w:val="single" w:sz="4" w:space="0" w:color="000000"/>
              <w:bottom w:val="single" w:sz="12" w:space="0" w:color="000000"/>
            </w:tcBorders>
          </w:tcPr>
          <w:p w14:paraId="000004C2" w14:textId="77777777" w:rsidR="00421882" w:rsidRDefault="00363292">
            <w:pPr>
              <w:spacing w:after="0" w:line="240" w:lineRule="auto"/>
              <w:rPr>
                <w:sz w:val="20"/>
                <w:szCs w:val="20"/>
              </w:rPr>
            </w:pPr>
            <w:r>
              <w:rPr>
                <w:sz w:val="20"/>
                <w:szCs w:val="20"/>
              </w:rPr>
              <w:t>2.8003</w:t>
            </w:r>
          </w:p>
        </w:tc>
        <w:tc>
          <w:tcPr>
            <w:tcW w:w="1115" w:type="dxa"/>
            <w:tcBorders>
              <w:top w:val="single" w:sz="4" w:space="0" w:color="000000"/>
              <w:bottom w:val="single" w:sz="12" w:space="0" w:color="000000"/>
            </w:tcBorders>
          </w:tcPr>
          <w:p w14:paraId="000004C3" w14:textId="77777777" w:rsidR="00421882" w:rsidRDefault="00363292">
            <w:pPr>
              <w:spacing w:after="0" w:line="240" w:lineRule="auto"/>
              <w:rPr>
                <w:sz w:val="20"/>
                <w:szCs w:val="20"/>
              </w:rPr>
            </w:pPr>
            <w:r>
              <w:rPr>
                <w:sz w:val="20"/>
                <w:szCs w:val="20"/>
              </w:rPr>
              <w:t>0.79944</w:t>
            </w:r>
          </w:p>
        </w:tc>
        <w:tc>
          <w:tcPr>
            <w:tcW w:w="980" w:type="dxa"/>
            <w:tcBorders>
              <w:top w:val="single" w:sz="4" w:space="0" w:color="000000"/>
              <w:bottom w:val="single" w:sz="12" w:space="0" w:color="000000"/>
            </w:tcBorders>
          </w:tcPr>
          <w:p w14:paraId="000004C4" w14:textId="77777777" w:rsidR="00421882" w:rsidRDefault="00363292">
            <w:pPr>
              <w:spacing w:after="0" w:line="240" w:lineRule="auto"/>
              <w:rPr>
                <w:sz w:val="20"/>
                <w:szCs w:val="20"/>
              </w:rPr>
            </w:pPr>
            <w:r>
              <w:rPr>
                <w:sz w:val="20"/>
                <w:szCs w:val="20"/>
              </w:rPr>
              <w:t>319</w:t>
            </w:r>
          </w:p>
        </w:tc>
        <w:tc>
          <w:tcPr>
            <w:tcW w:w="263" w:type="dxa"/>
            <w:tcBorders>
              <w:top w:val="single" w:sz="4" w:space="0" w:color="000000"/>
              <w:bottom w:val="single" w:sz="12" w:space="0" w:color="000000"/>
            </w:tcBorders>
          </w:tcPr>
          <w:p w14:paraId="000004C5" w14:textId="77777777" w:rsidR="00421882" w:rsidRDefault="00421882">
            <w:pPr>
              <w:spacing w:after="0" w:line="240" w:lineRule="auto"/>
              <w:rPr>
                <w:sz w:val="20"/>
                <w:szCs w:val="20"/>
              </w:rPr>
            </w:pPr>
          </w:p>
        </w:tc>
        <w:tc>
          <w:tcPr>
            <w:tcW w:w="1593" w:type="dxa"/>
            <w:tcBorders>
              <w:top w:val="single" w:sz="4" w:space="0" w:color="000000"/>
              <w:bottom w:val="single" w:sz="12" w:space="0" w:color="000000"/>
            </w:tcBorders>
          </w:tcPr>
          <w:p w14:paraId="000004C6" w14:textId="77777777" w:rsidR="00421882" w:rsidRDefault="00421882">
            <w:pPr>
              <w:spacing w:after="0" w:line="240" w:lineRule="auto"/>
              <w:rPr>
                <w:sz w:val="20"/>
                <w:szCs w:val="20"/>
              </w:rPr>
            </w:pPr>
          </w:p>
        </w:tc>
        <w:tc>
          <w:tcPr>
            <w:tcW w:w="1951" w:type="dxa"/>
            <w:tcBorders>
              <w:top w:val="single" w:sz="4" w:space="0" w:color="000000"/>
              <w:bottom w:val="single" w:sz="12" w:space="0" w:color="000000"/>
            </w:tcBorders>
          </w:tcPr>
          <w:p w14:paraId="000004C7" w14:textId="77777777" w:rsidR="00421882" w:rsidRDefault="00421882">
            <w:pPr>
              <w:spacing w:after="0" w:line="240" w:lineRule="auto"/>
              <w:rPr>
                <w:sz w:val="20"/>
                <w:szCs w:val="20"/>
              </w:rPr>
            </w:pPr>
          </w:p>
        </w:tc>
        <w:tc>
          <w:tcPr>
            <w:tcW w:w="992" w:type="dxa"/>
            <w:tcBorders>
              <w:top w:val="single" w:sz="4" w:space="0" w:color="000000"/>
              <w:bottom w:val="single" w:sz="12" w:space="0" w:color="000000"/>
            </w:tcBorders>
          </w:tcPr>
          <w:p w14:paraId="000004C8" w14:textId="77777777" w:rsidR="00421882" w:rsidRDefault="00421882">
            <w:pPr>
              <w:spacing w:after="0" w:line="240" w:lineRule="auto"/>
              <w:rPr>
                <w:sz w:val="20"/>
                <w:szCs w:val="20"/>
              </w:rPr>
            </w:pPr>
          </w:p>
        </w:tc>
        <w:tc>
          <w:tcPr>
            <w:tcW w:w="1134" w:type="dxa"/>
            <w:tcBorders>
              <w:top w:val="single" w:sz="4" w:space="0" w:color="000000"/>
              <w:bottom w:val="single" w:sz="12" w:space="0" w:color="000000"/>
            </w:tcBorders>
          </w:tcPr>
          <w:p w14:paraId="000004C9" w14:textId="77777777" w:rsidR="00421882" w:rsidRDefault="00421882">
            <w:pPr>
              <w:spacing w:after="0" w:line="240" w:lineRule="auto"/>
              <w:rPr>
                <w:sz w:val="20"/>
                <w:szCs w:val="20"/>
              </w:rPr>
            </w:pPr>
          </w:p>
        </w:tc>
      </w:tr>
    </w:tbl>
    <w:p w14:paraId="000004CA" w14:textId="77777777" w:rsidR="00421882" w:rsidRDefault="00421882">
      <w:pPr>
        <w:spacing w:after="0" w:line="240" w:lineRule="auto"/>
        <w:rPr>
          <w:sz w:val="10"/>
          <w:szCs w:val="10"/>
        </w:rPr>
      </w:pPr>
    </w:p>
    <w:p w14:paraId="000004CB" w14:textId="77777777" w:rsidR="00421882" w:rsidRDefault="00363292">
      <w:pPr>
        <w:pBdr>
          <w:top w:val="nil"/>
          <w:left w:val="nil"/>
          <w:bottom w:val="nil"/>
          <w:right w:val="nil"/>
          <w:between w:val="nil"/>
        </w:pBdr>
        <w:spacing w:after="0" w:line="240" w:lineRule="auto"/>
        <w:jc w:val="both"/>
        <w:rPr>
          <w:color w:val="000000"/>
        </w:rPr>
      </w:pPr>
      <w:r>
        <w:rPr>
          <w:color w:val="000000"/>
        </w:rPr>
        <w:t>Also, a one-way Analysis of Variance (ANOVA) was conducted to compare the stress levels among junior high school students by age brackets (11-12, 13-14, and 15-17), as shown in Table 1</w:t>
      </w:r>
      <w:r>
        <w:t>1</w:t>
      </w:r>
      <w:r>
        <w:rPr>
          <w:color w:val="000000"/>
        </w:rPr>
        <w:t>. It was found out that with enough evidence (at α = 0.05) there are no significant differences in the stress level index among ages 11–12 (M=2.7288, SD=.75614), ages 13–14 (M=2.7514, SD=.83183), and ages 15–17 (M=2.8962, SD=.77738); F(2, 316)= 1.347, p=0.261].</w:t>
      </w:r>
    </w:p>
    <w:p w14:paraId="000004CC" w14:textId="77777777" w:rsidR="00421882" w:rsidRDefault="00421882">
      <w:pPr>
        <w:pBdr>
          <w:top w:val="nil"/>
          <w:left w:val="nil"/>
          <w:bottom w:val="nil"/>
          <w:right w:val="nil"/>
          <w:between w:val="nil"/>
        </w:pBdr>
        <w:spacing w:after="0" w:line="240" w:lineRule="auto"/>
        <w:jc w:val="both"/>
        <w:rPr>
          <w:b/>
          <w:color w:val="000000"/>
          <w:sz w:val="10"/>
          <w:szCs w:val="10"/>
        </w:rPr>
      </w:pPr>
    </w:p>
    <w:p w14:paraId="000004CD" w14:textId="77777777" w:rsidR="00421882" w:rsidRDefault="00363292">
      <w:pPr>
        <w:pBdr>
          <w:top w:val="nil"/>
          <w:left w:val="nil"/>
          <w:bottom w:val="nil"/>
          <w:right w:val="nil"/>
          <w:between w:val="nil"/>
        </w:pBdr>
        <w:spacing w:after="0" w:line="240" w:lineRule="auto"/>
        <w:jc w:val="both"/>
      </w:pPr>
      <w:r>
        <w:rPr>
          <w:b/>
          <w:color w:val="000000"/>
        </w:rPr>
        <w:t>Table 1</w:t>
      </w:r>
      <w:r>
        <w:rPr>
          <w:b/>
        </w:rPr>
        <w:t>1</w:t>
      </w:r>
      <w:r>
        <w:rPr>
          <w:b/>
          <w:color w:val="000000"/>
        </w:rPr>
        <w:t>.</w:t>
      </w:r>
      <w:r>
        <w:rPr>
          <w:color w:val="000000"/>
        </w:rPr>
        <w:t xml:space="preserve"> Stress levels of students in age brackets 11–12, 13–14, and 15–17 </w:t>
      </w:r>
    </w:p>
    <w:tbl>
      <w:tblPr>
        <w:tblStyle w:val="a9"/>
        <w:tblW w:w="10064" w:type="dxa"/>
        <w:tblBorders>
          <w:top w:val="nil"/>
          <w:left w:val="nil"/>
          <w:bottom w:val="nil"/>
          <w:right w:val="nil"/>
          <w:insideH w:val="nil"/>
          <w:insideV w:val="nil"/>
        </w:tblBorders>
        <w:tblLayout w:type="fixed"/>
        <w:tblLook w:val="0400" w:firstRow="0" w:lastRow="0" w:firstColumn="0" w:lastColumn="0" w:noHBand="0" w:noVBand="1"/>
      </w:tblPr>
      <w:tblGrid>
        <w:gridCol w:w="998"/>
        <w:gridCol w:w="1055"/>
        <w:gridCol w:w="1113"/>
        <w:gridCol w:w="978"/>
        <w:gridCol w:w="250"/>
        <w:gridCol w:w="1701"/>
        <w:gridCol w:w="1418"/>
        <w:gridCol w:w="1417"/>
        <w:gridCol w:w="1134"/>
      </w:tblGrid>
      <w:tr w:rsidR="00421882" w14:paraId="4B212792" w14:textId="77777777">
        <w:trPr>
          <w:trHeight w:val="793"/>
        </w:trPr>
        <w:tc>
          <w:tcPr>
            <w:tcW w:w="999" w:type="dxa"/>
            <w:tcBorders>
              <w:top w:val="single" w:sz="12" w:space="0" w:color="000000"/>
              <w:bottom w:val="single" w:sz="4" w:space="0" w:color="000000"/>
            </w:tcBorders>
            <w:vAlign w:val="center"/>
          </w:tcPr>
          <w:p w14:paraId="000004CE" w14:textId="77777777" w:rsidR="00421882" w:rsidRDefault="00363292">
            <w:pPr>
              <w:spacing w:after="0" w:line="240" w:lineRule="auto"/>
              <w:jc w:val="center"/>
              <w:rPr>
                <w:b/>
                <w:sz w:val="20"/>
                <w:szCs w:val="20"/>
              </w:rPr>
            </w:pPr>
            <w:r>
              <w:rPr>
                <w:b/>
                <w:sz w:val="20"/>
                <w:szCs w:val="20"/>
              </w:rPr>
              <w:t>Age Brackets</w:t>
            </w:r>
          </w:p>
        </w:tc>
        <w:tc>
          <w:tcPr>
            <w:tcW w:w="1055" w:type="dxa"/>
            <w:tcBorders>
              <w:top w:val="single" w:sz="12" w:space="0" w:color="000000"/>
              <w:bottom w:val="single" w:sz="4" w:space="0" w:color="000000"/>
            </w:tcBorders>
            <w:vAlign w:val="center"/>
          </w:tcPr>
          <w:p w14:paraId="000004CF" w14:textId="77777777" w:rsidR="00421882" w:rsidRDefault="00363292">
            <w:pPr>
              <w:spacing w:after="0" w:line="240" w:lineRule="auto"/>
              <w:rPr>
                <w:b/>
                <w:sz w:val="20"/>
                <w:szCs w:val="20"/>
              </w:rPr>
            </w:pPr>
            <w:r>
              <w:rPr>
                <w:b/>
                <w:sz w:val="20"/>
                <w:szCs w:val="20"/>
              </w:rPr>
              <w:t>Mean</w:t>
            </w:r>
          </w:p>
        </w:tc>
        <w:tc>
          <w:tcPr>
            <w:tcW w:w="1113" w:type="dxa"/>
            <w:tcBorders>
              <w:top w:val="single" w:sz="12" w:space="0" w:color="000000"/>
              <w:bottom w:val="single" w:sz="4" w:space="0" w:color="000000"/>
            </w:tcBorders>
            <w:vAlign w:val="center"/>
          </w:tcPr>
          <w:p w14:paraId="000004D0" w14:textId="77777777" w:rsidR="00421882" w:rsidRDefault="00363292">
            <w:pPr>
              <w:spacing w:after="0" w:line="240" w:lineRule="auto"/>
              <w:rPr>
                <w:b/>
                <w:sz w:val="20"/>
                <w:szCs w:val="20"/>
              </w:rPr>
            </w:pPr>
            <w:r>
              <w:rPr>
                <w:b/>
                <w:sz w:val="20"/>
                <w:szCs w:val="20"/>
              </w:rPr>
              <w:t>SD</w:t>
            </w:r>
          </w:p>
        </w:tc>
        <w:tc>
          <w:tcPr>
            <w:tcW w:w="978" w:type="dxa"/>
            <w:tcBorders>
              <w:top w:val="single" w:sz="12" w:space="0" w:color="000000"/>
              <w:bottom w:val="single" w:sz="4" w:space="0" w:color="000000"/>
            </w:tcBorders>
            <w:vAlign w:val="center"/>
          </w:tcPr>
          <w:p w14:paraId="000004D1" w14:textId="77777777" w:rsidR="00421882" w:rsidRDefault="00363292">
            <w:pPr>
              <w:spacing w:after="0" w:line="240" w:lineRule="auto"/>
              <w:rPr>
                <w:b/>
                <w:sz w:val="20"/>
                <w:szCs w:val="20"/>
              </w:rPr>
            </w:pPr>
            <w:r>
              <w:rPr>
                <w:b/>
                <w:sz w:val="20"/>
                <w:szCs w:val="20"/>
              </w:rPr>
              <w:t>N</w:t>
            </w:r>
          </w:p>
        </w:tc>
        <w:tc>
          <w:tcPr>
            <w:tcW w:w="249" w:type="dxa"/>
            <w:tcBorders>
              <w:top w:val="single" w:sz="12" w:space="0" w:color="000000"/>
              <w:bottom w:val="single" w:sz="4" w:space="0" w:color="000000"/>
            </w:tcBorders>
            <w:vAlign w:val="center"/>
          </w:tcPr>
          <w:p w14:paraId="000004D2" w14:textId="77777777" w:rsidR="00421882" w:rsidRDefault="00421882">
            <w:pPr>
              <w:spacing w:after="0" w:line="240" w:lineRule="auto"/>
              <w:rPr>
                <w:b/>
                <w:sz w:val="20"/>
                <w:szCs w:val="20"/>
              </w:rPr>
            </w:pPr>
          </w:p>
        </w:tc>
        <w:tc>
          <w:tcPr>
            <w:tcW w:w="1701" w:type="dxa"/>
            <w:tcBorders>
              <w:top w:val="single" w:sz="12" w:space="0" w:color="000000"/>
              <w:bottom w:val="single" w:sz="4" w:space="0" w:color="000000"/>
            </w:tcBorders>
            <w:vAlign w:val="center"/>
          </w:tcPr>
          <w:p w14:paraId="000004D3" w14:textId="77777777" w:rsidR="00421882" w:rsidRDefault="00363292">
            <w:pPr>
              <w:spacing w:after="0" w:line="240" w:lineRule="auto"/>
              <w:jc w:val="center"/>
              <w:rPr>
                <w:b/>
                <w:sz w:val="20"/>
                <w:szCs w:val="20"/>
              </w:rPr>
            </w:pPr>
            <w:r>
              <w:rPr>
                <w:b/>
                <w:sz w:val="20"/>
                <w:szCs w:val="20"/>
              </w:rPr>
              <w:t xml:space="preserve">df </w:t>
            </w:r>
          </w:p>
          <w:p w14:paraId="000004D4" w14:textId="77777777" w:rsidR="00421882" w:rsidRDefault="00363292">
            <w:pPr>
              <w:spacing w:after="0" w:line="240" w:lineRule="auto"/>
              <w:jc w:val="center"/>
              <w:rPr>
                <w:b/>
                <w:sz w:val="20"/>
                <w:szCs w:val="20"/>
              </w:rPr>
            </w:pPr>
            <w:r>
              <w:rPr>
                <w:b/>
                <w:sz w:val="20"/>
                <w:szCs w:val="20"/>
              </w:rPr>
              <w:t>between group</w:t>
            </w:r>
          </w:p>
        </w:tc>
        <w:tc>
          <w:tcPr>
            <w:tcW w:w="1418" w:type="dxa"/>
            <w:tcBorders>
              <w:top w:val="single" w:sz="12" w:space="0" w:color="000000"/>
              <w:bottom w:val="single" w:sz="4" w:space="0" w:color="000000"/>
            </w:tcBorders>
            <w:vAlign w:val="center"/>
          </w:tcPr>
          <w:p w14:paraId="000004D5" w14:textId="77777777" w:rsidR="00421882" w:rsidRDefault="00363292">
            <w:pPr>
              <w:spacing w:after="0" w:line="240" w:lineRule="auto"/>
              <w:jc w:val="center"/>
              <w:rPr>
                <w:b/>
                <w:sz w:val="20"/>
                <w:szCs w:val="20"/>
              </w:rPr>
            </w:pPr>
            <w:r>
              <w:rPr>
                <w:b/>
                <w:sz w:val="20"/>
                <w:szCs w:val="20"/>
              </w:rPr>
              <w:t>df</w:t>
            </w:r>
          </w:p>
          <w:p w14:paraId="000004D6" w14:textId="77777777" w:rsidR="00421882" w:rsidRDefault="00363292">
            <w:pPr>
              <w:spacing w:after="0" w:line="240" w:lineRule="auto"/>
              <w:jc w:val="center"/>
              <w:rPr>
                <w:b/>
                <w:sz w:val="20"/>
                <w:szCs w:val="20"/>
              </w:rPr>
            </w:pPr>
            <w:r>
              <w:rPr>
                <w:b/>
                <w:sz w:val="20"/>
                <w:szCs w:val="20"/>
              </w:rPr>
              <w:t>within group</w:t>
            </w:r>
          </w:p>
        </w:tc>
        <w:tc>
          <w:tcPr>
            <w:tcW w:w="1417" w:type="dxa"/>
            <w:tcBorders>
              <w:top w:val="single" w:sz="12" w:space="0" w:color="000000"/>
              <w:bottom w:val="single" w:sz="4" w:space="0" w:color="000000"/>
            </w:tcBorders>
            <w:vAlign w:val="center"/>
          </w:tcPr>
          <w:p w14:paraId="000004D7" w14:textId="77777777" w:rsidR="00421882" w:rsidRDefault="00363292">
            <w:pPr>
              <w:spacing w:after="0" w:line="240" w:lineRule="auto"/>
              <w:jc w:val="center"/>
              <w:rPr>
                <w:b/>
                <w:sz w:val="20"/>
                <w:szCs w:val="20"/>
              </w:rPr>
            </w:pPr>
            <w:r>
              <w:rPr>
                <w:b/>
                <w:sz w:val="20"/>
                <w:szCs w:val="20"/>
              </w:rPr>
              <w:t>F</w:t>
            </w:r>
          </w:p>
        </w:tc>
        <w:tc>
          <w:tcPr>
            <w:tcW w:w="1134" w:type="dxa"/>
            <w:tcBorders>
              <w:top w:val="single" w:sz="12" w:space="0" w:color="000000"/>
              <w:bottom w:val="single" w:sz="4" w:space="0" w:color="000000"/>
            </w:tcBorders>
            <w:vAlign w:val="center"/>
          </w:tcPr>
          <w:p w14:paraId="000004D8" w14:textId="77777777" w:rsidR="00421882" w:rsidRDefault="00363292">
            <w:pPr>
              <w:spacing w:after="0" w:line="240" w:lineRule="auto"/>
              <w:rPr>
                <w:b/>
                <w:sz w:val="20"/>
                <w:szCs w:val="20"/>
              </w:rPr>
            </w:pPr>
            <w:r>
              <w:rPr>
                <w:b/>
                <w:sz w:val="20"/>
                <w:szCs w:val="20"/>
              </w:rPr>
              <w:t>p</w:t>
            </w:r>
          </w:p>
        </w:tc>
      </w:tr>
      <w:tr w:rsidR="00421882" w14:paraId="51F7E67A" w14:textId="77777777">
        <w:trPr>
          <w:trHeight w:val="264"/>
        </w:trPr>
        <w:tc>
          <w:tcPr>
            <w:tcW w:w="999" w:type="dxa"/>
            <w:tcBorders>
              <w:top w:val="single" w:sz="4" w:space="0" w:color="000000"/>
            </w:tcBorders>
          </w:tcPr>
          <w:p w14:paraId="000004D9" w14:textId="77777777" w:rsidR="00421882" w:rsidRDefault="00421882">
            <w:pPr>
              <w:spacing w:after="0" w:line="240" w:lineRule="auto"/>
              <w:rPr>
                <w:sz w:val="20"/>
                <w:szCs w:val="20"/>
              </w:rPr>
            </w:pPr>
          </w:p>
        </w:tc>
        <w:tc>
          <w:tcPr>
            <w:tcW w:w="1055" w:type="dxa"/>
            <w:tcBorders>
              <w:top w:val="single" w:sz="4" w:space="0" w:color="000000"/>
            </w:tcBorders>
          </w:tcPr>
          <w:p w14:paraId="000004DA" w14:textId="77777777" w:rsidR="00421882" w:rsidRDefault="00421882">
            <w:pPr>
              <w:spacing w:after="0" w:line="240" w:lineRule="auto"/>
              <w:rPr>
                <w:sz w:val="20"/>
                <w:szCs w:val="20"/>
              </w:rPr>
            </w:pPr>
          </w:p>
        </w:tc>
        <w:tc>
          <w:tcPr>
            <w:tcW w:w="1113" w:type="dxa"/>
            <w:tcBorders>
              <w:top w:val="single" w:sz="4" w:space="0" w:color="000000"/>
            </w:tcBorders>
          </w:tcPr>
          <w:p w14:paraId="000004DB" w14:textId="77777777" w:rsidR="00421882" w:rsidRDefault="00421882">
            <w:pPr>
              <w:spacing w:after="0" w:line="240" w:lineRule="auto"/>
              <w:rPr>
                <w:sz w:val="20"/>
                <w:szCs w:val="20"/>
              </w:rPr>
            </w:pPr>
          </w:p>
        </w:tc>
        <w:tc>
          <w:tcPr>
            <w:tcW w:w="978" w:type="dxa"/>
            <w:tcBorders>
              <w:top w:val="single" w:sz="4" w:space="0" w:color="000000"/>
            </w:tcBorders>
          </w:tcPr>
          <w:p w14:paraId="000004DC" w14:textId="77777777" w:rsidR="00421882" w:rsidRDefault="00421882">
            <w:pPr>
              <w:spacing w:after="0" w:line="240" w:lineRule="auto"/>
              <w:rPr>
                <w:sz w:val="20"/>
                <w:szCs w:val="20"/>
              </w:rPr>
            </w:pPr>
          </w:p>
        </w:tc>
        <w:tc>
          <w:tcPr>
            <w:tcW w:w="249" w:type="dxa"/>
            <w:tcBorders>
              <w:top w:val="single" w:sz="4" w:space="0" w:color="000000"/>
            </w:tcBorders>
          </w:tcPr>
          <w:p w14:paraId="000004DD" w14:textId="77777777" w:rsidR="00421882" w:rsidRDefault="00421882">
            <w:pPr>
              <w:spacing w:after="0" w:line="240" w:lineRule="auto"/>
              <w:rPr>
                <w:sz w:val="20"/>
                <w:szCs w:val="20"/>
              </w:rPr>
            </w:pPr>
          </w:p>
        </w:tc>
        <w:tc>
          <w:tcPr>
            <w:tcW w:w="1701" w:type="dxa"/>
            <w:tcBorders>
              <w:top w:val="single" w:sz="4" w:space="0" w:color="000000"/>
            </w:tcBorders>
          </w:tcPr>
          <w:p w14:paraId="000004DE" w14:textId="77777777" w:rsidR="00421882" w:rsidRDefault="00421882">
            <w:pPr>
              <w:spacing w:after="0" w:line="240" w:lineRule="auto"/>
              <w:rPr>
                <w:sz w:val="20"/>
                <w:szCs w:val="20"/>
              </w:rPr>
            </w:pPr>
          </w:p>
        </w:tc>
        <w:tc>
          <w:tcPr>
            <w:tcW w:w="1418" w:type="dxa"/>
            <w:tcBorders>
              <w:top w:val="single" w:sz="4" w:space="0" w:color="000000"/>
            </w:tcBorders>
          </w:tcPr>
          <w:p w14:paraId="000004DF" w14:textId="77777777" w:rsidR="00421882" w:rsidRDefault="00421882">
            <w:pPr>
              <w:spacing w:after="0" w:line="240" w:lineRule="auto"/>
              <w:rPr>
                <w:sz w:val="20"/>
                <w:szCs w:val="20"/>
              </w:rPr>
            </w:pPr>
          </w:p>
        </w:tc>
        <w:tc>
          <w:tcPr>
            <w:tcW w:w="1417" w:type="dxa"/>
            <w:tcBorders>
              <w:top w:val="single" w:sz="4" w:space="0" w:color="000000"/>
            </w:tcBorders>
          </w:tcPr>
          <w:p w14:paraId="000004E0" w14:textId="77777777" w:rsidR="00421882" w:rsidRDefault="00421882">
            <w:pPr>
              <w:spacing w:after="0" w:line="240" w:lineRule="auto"/>
              <w:rPr>
                <w:sz w:val="20"/>
                <w:szCs w:val="20"/>
              </w:rPr>
            </w:pPr>
          </w:p>
        </w:tc>
        <w:tc>
          <w:tcPr>
            <w:tcW w:w="1134" w:type="dxa"/>
            <w:tcBorders>
              <w:top w:val="single" w:sz="4" w:space="0" w:color="000000"/>
            </w:tcBorders>
          </w:tcPr>
          <w:p w14:paraId="000004E1" w14:textId="77777777" w:rsidR="00421882" w:rsidRDefault="00421882">
            <w:pPr>
              <w:spacing w:after="0" w:line="240" w:lineRule="auto"/>
              <w:rPr>
                <w:sz w:val="20"/>
                <w:szCs w:val="20"/>
              </w:rPr>
            </w:pPr>
          </w:p>
        </w:tc>
      </w:tr>
      <w:tr w:rsidR="00421882" w14:paraId="2E51B960" w14:textId="77777777">
        <w:trPr>
          <w:trHeight w:val="302"/>
        </w:trPr>
        <w:tc>
          <w:tcPr>
            <w:tcW w:w="999" w:type="dxa"/>
            <w:vAlign w:val="center"/>
          </w:tcPr>
          <w:p w14:paraId="000004E2" w14:textId="77777777" w:rsidR="00421882" w:rsidRDefault="00363292">
            <w:pPr>
              <w:spacing w:after="0" w:line="240" w:lineRule="auto"/>
              <w:rPr>
                <w:sz w:val="20"/>
                <w:szCs w:val="20"/>
              </w:rPr>
            </w:pPr>
            <w:r>
              <w:rPr>
                <w:sz w:val="20"/>
                <w:szCs w:val="20"/>
              </w:rPr>
              <w:t>11-12</w:t>
            </w:r>
          </w:p>
        </w:tc>
        <w:tc>
          <w:tcPr>
            <w:tcW w:w="1055" w:type="dxa"/>
          </w:tcPr>
          <w:p w14:paraId="000004E3" w14:textId="77777777" w:rsidR="00421882" w:rsidRDefault="00363292">
            <w:pPr>
              <w:spacing w:after="0" w:line="240" w:lineRule="auto"/>
              <w:rPr>
                <w:sz w:val="20"/>
                <w:szCs w:val="20"/>
              </w:rPr>
            </w:pPr>
            <w:r>
              <w:rPr>
                <w:sz w:val="20"/>
                <w:szCs w:val="20"/>
              </w:rPr>
              <w:t>2.7288</w:t>
            </w:r>
          </w:p>
        </w:tc>
        <w:tc>
          <w:tcPr>
            <w:tcW w:w="1113" w:type="dxa"/>
          </w:tcPr>
          <w:p w14:paraId="000004E4" w14:textId="77777777" w:rsidR="00421882" w:rsidRDefault="00363292">
            <w:pPr>
              <w:spacing w:after="0" w:line="240" w:lineRule="auto"/>
              <w:rPr>
                <w:sz w:val="20"/>
                <w:szCs w:val="20"/>
              </w:rPr>
            </w:pPr>
            <w:r>
              <w:rPr>
                <w:sz w:val="20"/>
                <w:szCs w:val="20"/>
              </w:rPr>
              <w:t>0.75614</w:t>
            </w:r>
          </w:p>
        </w:tc>
        <w:tc>
          <w:tcPr>
            <w:tcW w:w="978" w:type="dxa"/>
          </w:tcPr>
          <w:p w14:paraId="000004E5" w14:textId="77777777" w:rsidR="00421882" w:rsidRDefault="00363292">
            <w:pPr>
              <w:spacing w:after="0" w:line="240" w:lineRule="auto"/>
              <w:rPr>
                <w:sz w:val="20"/>
                <w:szCs w:val="20"/>
              </w:rPr>
            </w:pPr>
            <w:r>
              <w:rPr>
                <w:sz w:val="20"/>
                <w:szCs w:val="20"/>
              </w:rPr>
              <w:t>59</w:t>
            </w:r>
          </w:p>
        </w:tc>
        <w:tc>
          <w:tcPr>
            <w:tcW w:w="249" w:type="dxa"/>
            <w:vAlign w:val="center"/>
          </w:tcPr>
          <w:p w14:paraId="000004E6" w14:textId="77777777" w:rsidR="00421882" w:rsidRDefault="00421882">
            <w:pPr>
              <w:spacing w:after="0" w:line="240" w:lineRule="auto"/>
              <w:rPr>
                <w:sz w:val="20"/>
                <w:szCs w:val="20"/>
              </w:rPr>
            </w:pPr>
          </w:p>
        </w:tc>
        <w:tc>
          <w:tcPr>
            <w:tcW w:w="1701" w:type="dxa"/>
            <w:vAlign w:val="center"/>
          </w:tcPr>
          <w:p w14:paraId="000004E7" w14:textId="77777777" w:rsidR="00421882" w:rsidRDefault="00363292">
            <w:pPr>
              <w:spacing w:after="0" w:line="240" w:lineRule="auto"/>
              <w:jc w:val="center"/>
              <w:rPr>
                <w:sz w:val="20"/>
                <w:szCs w:val="20"/>
              </w:rPr>
            </w:pPr>
            <w:r>
              <w:rPr>
                <w:sz w:val="20"/>
                <w:szCs w:val="20"/>
              </w:rPr>
              <w:t>2</w:t>
            </w:r>
          </w:p>
        </w:tc>
        <w:tc>
          <w:tcPr>
            <w:tcW w:w="1418" w:type="dxa"/>
            <w:vAlign w:val="center"/>
          </w:tcPr>
          <w:p w14:paraId="000004E8" w14:textId="77777777" w:rsidR="00421882" w:rsidRDefault="00363292">
            <w:pPr>
              <w:spacing w:after="0" w:line="240" w:lineRule="auto"/>
              <w:jc w:val="center"/>
              <w:rPr>
                <w:sz w:val="20"/>
                <w:szCs w:val="20"/>
              </w:rPr>
            </w:pPr>
            <w:r>
              <w:rPr>
                <w:sz w:val="20"/>
                <w:szCs w:val="20"/>
              </w:rPr>
              <w:t>316</w:t>
            </w:r>
          </w:p>
        </w:tc>
        <w:tc>
          <w:tcPr>
            <w:tcW w:w="1417" w:type="dxa"/>
            <w:vAlign w:val="center"/>
          </w:tcPr>
          <w:p w14:paraId="000004E9" w14:textId="77777777" w:rsidR="00421882" w:rsidRDefault="00363292">
            <w:pPr>
              <w:spacing w:after="0" w:line="240" w:lineRule="auto"/>
              <w:jc w:val="center"/>
              <w:rPr>
                <w:sz w:val="20"/>
                <w:szCs w:val="20"/>
              </w:rPr>
            </w:pPr>
            <w:r>
              <w:rPr>
                <w:sz w:val="20"/>
                <w:szCs w:val="20"/>
              </w:rPr>
              <w:t>1.347</w:t>
            </w:r>
          </w:p>
        </w:tc>
        <w:tc>
          <w:tcPr>
            <w:tcW w:w="1134" w:type="dxa"/>
            <w:vAlign w:val="center"/>
          </w:tcPr>
          <w:p w14:paraId="000004EA" w14:textId="77777777" w:rsidR="00421882" w:rsidRDefault="00363292">
            <w:pPr>
              <w:spacing w:after="0" w:line="240" w:lineRule="auto"/>
              <w:rPr>
                <w:sz w:val="20"/>
                <w:szCs w:val="20"/>
              </w:rPr>
            </w:pPr>
            <w:r>
              <w:rPr>
                <w:sz w:val="20"/>
                <w:szCs w:val="20"/>
              </w:rPr>
              <w:t>0.261</w:t>
            </w:r>
          </w:p>
        </w:tc>
      </w:tr>
      <w:tr w:rsidR="00421882" w14:paraId="104176AA" w14:textId="77777777">
        <w:trPr>
          <w:trHeight w:val="264"/>
        </w:trPr>
        <w:tc>
          <w:tcPr>
            <w:tcW w:w="999" w:type="dxa"/>
            <w:vAlign w:val="center"/>
          </w:tcPr>
          <w:p w14:paraId="000004EB" w14:textId="77777777" w:rsidR="00421882" w:rsidRDefault="00363292">
            <w:pPr>
              <w:spacing w:after="0" w:line="240" w:lineRule="auto"/>
              <w:rPr>
                <w:sz w:val="20"/>
                <w:szCs w:val="20"/>
              </w:rPr>
            </w:pPr>
            <w:r>
              <w:rPr>
                <w:sz w:val="20"/>
                <w:szCs w:val="20"/>
              </w:rPr>
              <w:t>13-14</w:t>
            </w:r>
          </w:p>
        </w:tc>
        <w:tc>
          <w:tcPr>
            <w:tcW w:w="1055" w:type="dxa"/>
          </w:tcPr>
          <w:p w14:paraId="000004EC" w14:textId="77777777" w:rsidR="00421882" w:rsidRDefault="00363292">
            <w:pPr>
              <w:spacing w:after="0" w:line="240" w:lineRule="auto"/>
              <w:rPr>
                <w:sz w:val="20"/>
                <w:szCs w:val="20"/>
              </w:rPr>
            </w:pPr>
            <w:r>
              <w:rPr>
                <w:sz w:val="20"/>
                <w:szCs w:val="20"/>
              </w:rPr>
              <w:t>2.7514</w:t>
            </w:r>
          </w:p>
        </w:tc>
        <w:tc>
          <w:tcPr>
            <w:tcW w:w="1113" w:type="dxa"/>
          </w:tcPr>
          <w:p w14:paraId="000004ED" w14:textId="77777777" w:rsidR="00421882" w:rsidRDefault="00363292">
            <w:pPr>
              <w:spacing w:after="0" w:line="240" w:lineRule="auto"/>
              <w:rPr>
                <w:sz w:val="20"/>
                <w:szCs w:val="20"/>
              </w:rPr>
            </w:pPr>
            <w:r>
              <w:rPr>
                <w:sz w:val="20"/>
                <w:szCs w:val="20"/>
              </w:rPr>
              <w:t>0.83183</w:t>
            </w:r>
          </w:p>
        </w:tc>
        <w:tc>
          <w:tcPr>
            <w:tcW w:w="978" w:type="dxa"/>
          </w:tcPr>
          <w:p w14:paraId="000004EE" w14:textId="77777777" w:rsidR="00421882" w:rsidRDefault="00363292">
            <w:pPr>
              <w:spacing w:after="0" w:line="240" w:lineRule="auto"/>
              <w:rPr>
                <w:sz w:val="20"/>
                <w:szCs w:val="20"/>
              </w:rPr>
            </w:pPr>
            <w:r>
              <w:rPr>
                <w:sz w:val="20"/>
                <w:szCs w:val="20"/>
              </w:rPr>
              <w:t>143</w:t>
            </w:r>
          </w:p>
        </w:tc>
        <w:tc>
          <w:tcPr>
            <w:tcW w:w="249" w:type="dxa"/>
            <w:vAlign w:val="center"/>
          </w:tcPr>
          <w:p w14:paraId="000004EF" w14:textId="77777777" w:rsidR="00421882" w:rsidRDefault="00421882">
            <w:pPr>
              <w:spacing w:after="0" w:line="240" w:lineRule="auto"/>
              <w:rPr>
                <w:sz w:val="20"/>
                <w:szCs w:val="20"/>
              </w:rPr>
            </w:pPr>
          </w:p>
        </w:tc>
        <w:tc>
          <w:tcPr>
            <w:tcW w:w="1701" w:type="dxa"/>
            <w:vAlign w:val="center"/>
          </w:tcPr>
          <w:p w14:paraId="000004F0" w14:textId="77777777" w:rsidR="00421882" w:rsidRDefault="00421882">
            <w:pPr>
              <w:spacing w:after="0" w:line="240" w:lineRule="auto"/>
              <w:rPr>
                <w:sz w:val="20"/>
                <w:szCs w:val="20"/>
              </w:rPr>
            </w:pPr>
          </w:p>
        </w:tc>
        <w:tc>
          <w:tcPr>
            <w:tcW w:w="1418" w:type="dxa"/>
            <w:vAlign w:val="center"/>
          </w:tcPr>
          <w:p w14:paraId="000004F1" w14:textId="77777777" w:rsidR="00421882" w:rsidRDefault="00421882">
            <w:pPr>
              <w:spacing w:after="0" w:line="240" w:lineRule="auto"/>
              <w:rPr>
                <w:sz w:val="20"/>
                <w:szCs w:val="20"/>
              </w:rPr>
            </w:pPr>
          </w:p>
        </w:tc>
        <w:tc>
          <w:tcPr>
            <w:tcW w:w="1417" w:type="dxa"/>
            <w:vAlign w:val="center"/>
          </w:tcPr>
          <w:p w14:paraId="000004F2" w14:textId="77777777" w:rsidR="00421882" w:rsidRDefault="00421882">
            <w:pPr>
              <w:spacing w:after="0" w:line="240" w:lineRule="auto"/>
              <w:rPr>
                <w:sz w:val="20"/>
                <w:szCs w:val="20"/>
              </w:rPr>
            </w:pPr>
          </w:p>
        </w:tc>
        <w:tc>
          <w:tcPr>
            <w:tcW w:w="1134" w:type="dxa"/>
            <w:vAlign w:val="center"/>
          </w:tcPr>
          <w:p w14:paraId="000004F3" w14:textId="77777777" w:rsidR="00421882" w:rsidRDefault="00421882">
            <w:pPr>
              <w:spacing w:after="0" w:line="240" w:lineRule="auto"/>
              <w:rPr>
                <w:sz w:val="20"/>
                <w:szCs w:val="20"/>
              </w:rPr>
            </w:pPr>
          </w:p>
        </w:tc>
      </w:tr>
      <w:tr w:rsidR="00421882" w14:paraId="3A72029E" w14:textId="77777777">
        <w:trPr>
          <w:trHeight w:val="264"/>
        </w:trPr>
        <w:tc>
          <w:tcPr>
            <w:tcW w:w="999" w:type="dxa"/>
            <w:vAlign w:val="center"/>
          </w:tcPr>
          <w:p w14:paraId="000004F4" w14:textId="77777777" w:rsidR="00421882" w:rsidRDefault="00363292">
            <w:pPr>
              <w:spacing w:after="0" w:line="240" w:lineRule="auto"/>
              <w:rPr>
                <w:sz w:val="20"/>
                <w:szCs w:val="20"/>
              </w:rPr>
            </w:pPr>
            <w:r>
              <w:rPr>
                <w:sz w:val="20"/>
                <w:szCs w:val="20"/>
              </w:rPr>
              <w:t>15-17</w:t>
            </w:r>
          </w:p>
        </w:tc>
        <w:tc>
          <w:tcPr>
            <w:tcW w:w="1055" w:type="dxa"/>
          </w:tcPr>
          <w:p w14:paraId="000004F5" w14:textId="77777777" w:rsidR="00421882" w:rsidRDefault="00363292">
            <w:pPr>
              <w:spacing w:after="0" w:line="240" w:lineRule="auto"/>
              <w:rPr>
                <w:sz w:val="20"/>
                <w:szCs w:val="20"/>
              </w:rPr>
            </w:pPr>
            <w:r>
              <w:rPr>
                <w:sz w:val="20"/>
                <w:szCs w:val="20"/>
              </w:rPr>
              <w:t>2.8962</w:t>
            </w:r>
          </w:p>
        </w:tc>
        <w:tc>
          <w:tcPr>
            <w:tcW w:w="1113" w:type="dxa"/>
          </w:tcPr>
          <w:p w14:paraId="000004F6" w14:textId="77777777" w:rsidR="00421882" w:rsidRDefault="00363292">
            <w:pPr>
              <w:spacing w:after="0" w:line="240" w:lineRule="auto"/>
              <w:rPr>
                <w:sz w:val="20"/>
                <w:szCs w:val="20"/>
              </w:rPr>
            </w:pPr>
            <w:r>
              <w:rPr>
                <w:sz w:val="20"/>
                <w:szCs w:val="20"/>
              </w:rPr>
              <w:t>0.77738</w:t>
            </w:r>
          </w:p>
        </w:tc>
        <w:tc>
          <w:tcPr>
            <w:tcW w:w="978" w:type="dxa"/>
          </w:tcPr>
          <w:p w14:paraId="000004F7" w14:textId="77777777" w:rsidR="00421882" w:rsidRDefault="00363292">
            <w:pPr>
              <w:spacing w:after="0" w:line="240" w:lineRule="auto"/>
              <w:rPr>
                <w:sz w:val="20"/>
                <w:szCs w:val="20"/>
              </w:rPr>
            </w:pPr>
            <w:r>
              <w:rPr>
                <w:sz w:val="20"/>
                <w:szCs w:val="20"/>
              </w:rPr>
              <w:t>117</w:t>
            </w:r>
          </w:p>
        </w:tc>
        <w:tc>
          <w:tcPr>
            <w:tcW w:w="249" w:type="dxa"/>
            <w:vAlign w:val="center"/>
          </w:tcPr>
          <w:p w14:paraId="000004F8" w14:textId="77777777" w:rsidR="00421882" w:rsidRDefault="00421882">
            <w:pPr>
              <w:spacing w:after="0" w:line="240" w:lineRule="auto"/>
              <w:rPr>
                <w:sz w:val="20"/>
                <w:szCs w:val="20"/>
              </w:rPr>
            </w:pPr>
          </w:p>
        </w:tc>
        <w:tc>
          <w:tcPr>
            <w:tcW w:w="1701" w:type="dxa"/>
            <w:vAlign w:val="center"/>
          </w:tcPr>
          <w:p w14:paraId="000004F9" w14:textId="77777777" w:rsidR="00421882" w:rsidRDefault="00421882">
            <w:pPr>
              <w:spacing w:after="0" w:line="240" w:lineRule="auto"/>
              <w:rPr>
                <w:sz w:val="20"/>
                <w:szCs w:val="20"/>
              </w:rPr>
            </w:pPr>
          </w:p>
        </w:tc>
        <w:tc>
          <w:tcPr>
            <w:tcW w:w="1418" w:type="dxa"/>
            <w:vAlign w:val="center"/>
          </w:tcPr>
          <w:p w14:paraId="000004FA" w14:textId="77777777" w:rsidR="00421882" w:rsidRDefault="00421882">
            <w:pPr>
              <w:spacing w:after="0" w:line="240" w:lineRule="auto"/>
              <w:rPr>
                <w:sz w:val="20"/>
                <w:szCs w:val="20"/>
              </w:rPr>
            </w:pPr>
          </w:p>
        </w:tc>
        <w:tc>
          <w:tcPr>
            <w:tcW w:w="1417" w:type="dxa"/>
            <w:vAlign w:val="center"/>
          </w:tcPr>
          <w:p w14:paraId="000004FB" w14:textId="77777777" w:rsidR="00421882" w:rsidRDefault="00421882">
            <w:pPr>
              <w:spacing w:after="0" w:line="240" w:lineRule="auto"/>
              <w:rPr>
                <w:sz w:val="20"/>
                <w:szCs w:val="20"/>
              </w:rPr>
            </w:pPr>
          </w:p>
        </w:tc>
        <w:tc>
          <w:tcPr>
            <w:tcW w:w="1134" w:type="dxa"/>
            <w:vAlign w:val="center"/>
          </w:tcPr>
          <w:p w14:paraId="000004FC" w14:textId="77777777" w:rsidR="00421882" w:rsidRDefault="00421882">
            <w:pPr>
              <w:spacing w:after="0" w:line="240" w:lineRule="auto"/>
              <w:rPr>
                <w:sz w:val="20"/>
                <w:szCs w:val="20"/>
              </w:rPr>
            </w:pPr>
          </w:p>
        </w:tc>
      </w:tr>
      <w:tr w:rsidR="00421882" w14:paraId="42DB3D57" w14:textId="77777777">
        <w:trPr>
          <w:trHeight w:val="264"/>
        </w:trPr>
        <w:tc>
          <w:tcPr>
            <w:tcW w:w="999" w:type="dxa"/>
            <w:tcBorders>
              <w:top w:val="single" w:sz="4" w:space="0" w:color="000000"/>
              <w:bottom w:val="single" w:sz="12" w:space="0" w:color="000000"/>
            </w:tcBorders>
          </w:tcPr>
          <w:p w14:paraId="000004FD" w14:textId="77777777" w:rsidR="00421882" w:rsidRDefault="00363292">
            <w:pPr>
              <w:spacing w:after="0" w:line="240" w:lineRule="auto"/>
              <w:rPr>
                <w:sz w:val="20"/>
                <w:szCs w:val="20"/>
              </w:rPr>
            </w:pPr>
            <w:r>
              <w:rPr>
                <w:sz w:val="20"/>
                <w:szCs w:val="20"/>
              </w:rPr>
              <w:t>Total</w:t>
            </w:r>
          </w:p>
        </w:tc>
        <w:tc>
          <w:tcPr>
            <w:tcW w:w="1055" w:type="dxa"/>
            <w:tcBorders>
              <w:top w:val="single" w:sz="4" w:space="0" w:color="000000"/>
              <w:bottom w:val="single" w:sz="12" w:space="0" w:color="000000"/>
            </w:tcBorders>
          </w:tcPr>
          <w:p w14:paraId="000004FE" w14:textId="77777777" w:rsidR="00421882" w:rsidRDefault="00363292">
            <w:pPr>
              <w:spacing w:after="0" w:line="240" w:lineRule="auto"/>
              <w:rPr>
                <w:sz w:val="20"/>
                <w:szCs w:val="20"/>
              </w:rPr>
            </w:pPr>
            <w:r>
              <w:rPr>
                <w:sz w:val="20"/>
                <w:szCs w:val="20"/>
              </w:rPr>
              <w:t>2.8003</w:t>
            </w:r>
          </w:p>
        </w:tc>
        <w:tc>
          <w:tcPr>
            <w:tcW w:w="1113" w:type="dxa"/>
            <w:tcBorders>
              <w:top w:val="single" w:sz="4" w:space="0" w:color="000000"/>
              <w:bottom w:val="single" w:sz="12" w:space="0" w:color="000000"/>
            </w:tcBorders>
          </w:tcPr>
          <w:p w14:paraId="000004FF" w14:textId="77777777" w:rsidR="00421882" w:rsidRDefault="00363292">
            <w:pPr>
              <w:spacing w:after="0" w:line="240" w:lineRule="auto"/>
              <w:rPr>
                <w:sz w:val="20"/>
                <w:szCs w:val="20"/>
              </w:rPr>
            </w:pPr>
            <w:r>
              <w:rPr>
                <w:sz w:val="20"/>
                <w:szCs w:val="20"/>
              </w:rPr>
              <w:t>0.79944</w:t>
            </w:r>
          </w:p>
        </w:tc>
        <w:tc>
          <w:tcPr>
            <w:tcW w:w="978" w:type="dxa"/>
            <w:tcBorders>
              <w:top w:val="single" w:sz="4" w:space="0" w:color="000000"/>
              <w:bottom w:val="single" w:sz="12" w:space="0" w:color="000000"/>
            </w:tcBorders>
          </w:tcPr>
          <w:p w14:paraId="00000500" w14:textId="77777777" w:rsidR="00421882" w:rsidRDefault="00363292">
            <w:pPr>
              <w:spacing w:after="0" w:line="240" w:lineRule="auto"/>
              <w:rPr>
                <w:sz w:val="20"/>
                <w:szCs w:val="20"/>
              </w:rPr>
            </w:pPr>
            <w:r>
              <w:rPr>
                <w:sz w:val="20"/>
                <w:szCs w:val="20"/>
              </w:rPr>
              <w:t>319</w:t>
            </w:r>
          </w:p>
        </w:tc>
        <w:tc>
          <w:tcPr>
            <w:tcW w:w="249" w:type="dxa"/>
            <w:tcBorders>
              <w:top w:val="single" w:sz="4" w:space="0" w:color="000000"/>
              <w:bottom w:val="single" w:sz="12" w:space="0" w:color="000000"/>
            </w:tcBorders>
          </w:tcPr>
          <w:p w14:paraId="00000501" w14:textId="77777777" w:rsidR="00421882" w:rsidRDefault="00421882">
            <w:pPr>
              <w:spacing w:after="0" w:line="240" w:lineRule="auto"/>
              <w:rPr>
                <w:sz w:val="20"/>
                <w:szCs w:val="20"/>
              </w:rPr>
            </w:pPr>
          </w:p>
        </w:tc>
        <w:tc>
          <w:tcPr>
            <w:tcW w:w="1701" w:type="dxa"/>
            <w:tcBorders>
              <w:top w:val="single" w:sz="4" w:space="0" w:color="000000"/>
              <w:bottom w:val="single" w:sz="12" w:space="0" w:color="000000"/>
            </w:tcBorders>
          </w:tcPr>
          <w:p w14:paraId="00000502" w14:textId="77777777" w:rsidR="00421882" w:rsidRDefault="00421882">
            <w:pPr>
              <w:spacing w:after="0" w:line="240" w:lineRule="auto"/>
              <w:rPr>
                <w:sz w:val="20"/>
                <w:szCs w:val="20"/>
              </w:rPr>
            </w:pPr>
          </w:p>
        </w:tc>
        <w:tc>
          <w:tcPr>
            <w:tcW w:w="1418" w:type="dxa"/>
            <w:tcBorders>
              <w:top w:val="single" w:sz="4" w:space="0" w:color="000000"/>
              <w:bottom w:val="single" w:sz="12" w:space="0" w:color="000000"/>
            </w:tcBorders>
          </w:tcPr>
          <w:p w14:paraId="00000503" w14:textId="77777777" w:rsidR="00421882" w:rsidRDefault="00421882">
            <w:pPr>
              <w:spacing w:after="0" w:line="240" w:lineRule="auto"/>
              <w:rPr>
                <w:sz w:val="20"/>
                <w:szCs w:val="20"/>
              </w:rPr>
            </w:pPr>
          </w:p>
        </w:tc>
        <w:tc>
          <w:tcPr>
            <w:tcW w:w="1417" w:type="dxa"/>
            <w:tcBorders>
              <w:top w:val="single" w:sz="4" w:space="0" w:color="000000"/>
              <w:bottom w:val="single" w:sz="12" w:space="0" w:color="000000"/>
            </w:tcBorders>
          </w:tcPr>
          <w:p w14:paraId="00000504" w14:textId="77777777" w:rsidR="00421882" w:rsidRDefault="00421882">
            <w:pPr>
              <w:spacing w:after="0" w:line="240" w:lineRule="auto"/>
              <w:rPr>
                <w:sz w:val="20"/>
                <w:szCs w:val="20"/>
              </w:rPr>
            </w:pPr>
          </w:p>
        </w:tc>
        <w:tc>
          <w:tcPr>
            <w:tcW w:w="1134" w:type="dxa"/>
            <w:tcBorders>
              <w:top w:val="single" w:sz="4" w:space="0" w:color="000000"/>
              <w:bottom w:val="single" w:sz="12" w:space="0" w:color="000000"/>
            </w:tcBorders>
          </w:tcPr>
          <w:p w14:paraId="00000505" w14:textId="77777777" w:rsidR="00421882" w:rsidRDefault="00421882">
            <w:pPr>
              <w:spacing w:after="0" w:line="240" w:lineRule="auto"/>
              <w:rPr>
                <w:sz w:val="20"/>
                <w:szCs w:val="20"/>
              </w:rPr>
            </w:pPr>
          </w:p>
        </w:tc>
      </w:tr>
    </w:tbl>
    <w:p w14:paraId="00000506" w14:textId="77777777" w:rsidR="00421882" w:rsidRDefault="00421882">
      <w:pPr>
        <w:spacing w:after="0" w:line="240" w:lineRule="auto"/>
        <w:jc w:val="both"/>
        <w:rPr>
          <w:sz w:val="10"/>
          <w:szCs w:val="10"/>
        </w:rPr>
      </w:pPr>
    </w:p>
    <w:p w14:paraId="00000507" w14:textId="77777777" w:rsidR="00421882" w:rsidRDefault="00363292">
      <w:pPr>
        <w:spacing w:after="0" w:line="240" w:lineRule="auto"/>
        <w:jc w:val="both"/>
      </w:pPr>
      <w:r>
        <w:t>To summarize, the test with enough evidence was able to prove that there are no significant differences in the stress level among the following groupings: sex (male and female), grade level (7, 8, 9, and 10), and age brackets (11-12, 13-14, and 15-17).</w:t>
      </w:r>
    </w:p>
    <w:p w14:paraId="00000508" w14:textId="77777777" w:rsidR="00421882" w:rsidRDefault="00421882">
      <w:pPr>
        <w:spacing w:after="0" w:line="240" w:lineRule="auto"/>
        <w:jc w:val="both"/>
        <w:rPr>
          <w:sz w:val="10"/>
          <w:szCs w:val="10"/>
        </w:rPr>
      </w:pPr>
    </w:p>
    <w:p w14:paraId="00000509" w14:textId="77777777" w:rsidR="00421882" w:rsidRDefault="00421882">
      <w:pPr>
        <w:spacing w:after="0" w:line="240" w:lineRule="auto"/>
        <w:jc w:val="both"/>
        <w:rPr>
          <w:sz w:val="10"/>
          <w:szCs w:val="10"/>
        </w:rPr>
      </w:pPr>
    </w:p>
    <w:p w14:paraId="0000050A" w14:textId="77777777" w:rsidR="00421882" w:rsidRDefault="00421882">
      <w:pPr>
        <w:spacing w:after="0" w:line="240" w:lineRule="auto"/>
        <w:jc w:val="both"/>
        <w:rPr>
          <w:sz w:val="10"/>
          <w:szCs w:val="10"/>
        </w:rPr>
      </w:pPr>
    </w:p>
    <w:p w14:paraId="0000050B" w14:textId="77777777" w:rsidR="00421882" w:rsidRDefault="00421882">
      <w:pPr>
        <w:spacing w:after="0" w:line="240" w:lineRule="auto"/>
        <w:jc w:val="both"/>
        <w:rPr>
          <w:sz w:val="10"/>
          <w:szCs w:val="10"/>
        </w:rPr>
      </w:pPr>
    </w:p>
    <w:p w14:paraId="0000050C" w14:textId="77777777" w:rsidR="00421882" w:rsidRDefault="00421882">
      <w:pPr>
        <w:spacing w:after="0" w:line="240" w:lineRule="auto"/>
        <w:jc w:val="both"/>
        <w:rPr>
          <w:sz w:val="10"/>
          <w:szCs w:val="10"/>
        </w:rPr>
      </w:pPr>
    </w:p>
    <w:p w14:paraId="0000050D" w14:textId="77777777" w:rsidR="00421882" w:rsidRDefault="00421882">
      <w:pPr>
        <w:spacing w:after="0" w:line="240" w:lineRule="auto"/>
        <w:jc w:val="both"/>
        <w:rPr>
          <w:sz w:val="10"/>
          <w:szCs w:val="10"/>
        </w:rPr>
      </w:pPr>
    </w:p>
    <w:p w14:paraId="0000050E" w14:textId="63ECB491" w:rsidR="00421882" w:rsidRDefault="00421882">
      <w:pPr>
        <w:spacing w:after="0" w:line="240" w:lineRule="auto"/>
        <w:jc w:val="both"/>
        <w:rPr>
          <w:sz w:val="10"/>
          <w:szCs w:val="10"/>
        </w:rPr>
      </w:pPr>
    </w:p>
    <w:p w14:paraId="0AD81DAF" w14:textId="77777777" w:rsidR="00CC2A59" w:rsidRDefault="00CC2A59">
      <w:pPr>
        <w:spacing w:after="0" w:line="240" w:lineRule="auto"/>
        <w:jc w:val="both"/>
        <w:rPr>
          <w:sz w:val="10"/>
          <w:szCs w:val="10"/>
        </w:rPr>
      </w:pPr>
    </w:p>
    <w:p w14:paraId="7A7608F5" w14:textId="1D428895" w:rsidR="00E663B2" w:rsidRDefault="00E663B2">
      <w:pPr>
        <w:spacing w:after="0" w:line="240" w:lineRule="auto"/>
        <w:jc w:val="both"/>
        <w:rPr>
          <w:sz w:val="10"/>
          <w:szCs w:val="10"/>
        </w:rPr>
      </w:pPr>
    </w:p>
    <w:p w14:paraId="1C7E6D0F" w14:textId="77777777" w:rsidR="00E663B2" w:rsidRDefault="00E663B2">
      <w:pPr>
        <w:spacing w:after="0" w:line="240" w:lineRule="auto"/>
        <w:jc w:val="both"/>
        <w:rPr>
          <w:sz w:val="10"/>
          <w:szCs w:val="10"/>
        </w:rPr>
      </w:pPr>
    </w:p>
    <w:p w14:paraId="00000511" w14:textId="77777777" w:rsidR="00421882" w:rsidRDefault="00363292">
      <w:pPr>
        <w:numPr>
          <w:ilvl w:val="0"/>
          <w:numId w:val="2"/>
        </w:numPr>
        <w:pBdr>
          <w:top w:val="nil"/>
          <w:left w:val="nil"/>
          <w:bottom w:val="nil"/>
          <w:right w:val="nil"/>
          <w:between w:val="nil"/>
        </w:pBdr>
        <w:spacing w:after="0" w:line="240" w:lineRule="auto"/>
        <w:ind w:left="0" w:hanging="371"/>
        <w:jc w:val="both"/>
        <w:rPr>
          <w:b/>
        </w:rPr>
      </w:pPr>
      <w:r>
        <w:rPr>
          <w:b/>
          <w:color w:val="0000FF"/>
        </w:rPr>
        <w:t>CONCLUSION AND RECOMMENDATIONS</w:t>
      </w:r>
    </w:p>
    <w:p w14:paraId="00000514" w14:textId="4DE7D6A0" w:rsidR="00421882" w:rsidRDefault="00363292">
      <w:pPr>
        <w:pBdr>
          <w:top w:val="nil"/>
          <w:left w:val="nil"/>
          <w:bottom w:val="nil"/>
          <w:right w:val="nil"/>
          <w:between w:val="nil"/>
        </w:pBdr>
        <w:spacing w:after="0"/>
        <w:jc w:val="both"/>
        <w:rPr>
          <w:color w:val="000000"/>
        </w:rPr>
      </w:pPr>
      <w:r>
        <w:rPr>
          <w:color w:val="000000"/>
        </w:rPr>
        <w:t>This study aimed to develop an instrument that can quantify the stress levels of students, specifically junior high school students</w:t>
      </w:r>
      <w:r w:rsidR="0062646A">
        <w:rPr>
          <w:color w:val="000000"/>
        </w:rPr>
        <w:t xml:space="preserve"> in an online setup</w:t>
      </w:r>
      <w:r>
        <w:rPr>
          <w:color w:val="000000"/>
        </w:rPr>
        <w:t xml:space="preserve">. From the original 32 items (divided equally among </w:t>
      </w:r>
      <w:r>
        <w:t xml:space="preserve">the four domains: (1) cognitive, (2) behavioral, (3) affective, and physiological), 20 items were retained after conducting factor analysis. A new clustering was also derived from the results, namely: (1) physical health, (2) task management, (3) valuing, and (4) relating to oneself and others. The final 20-item questionnaire was proven to give reliable data having the Cronbach’s alpha of 0.923. </w:t>
      </w:r>
      <w:r>
        <w:rPr>
          <w:color w:val="000000"/>
        </w:rPr>
        <w:t>Measurement invariance for each group (sex, grade level, and age) was also determined. Findings indicate that the newly developed four-factor stress scale in the context of online learning measure the same underlying constructs across the three groups mentioned. Consequently, the differences in stress levels among the groups were also determined. With enough evidence, it was proven that there are no significant differences in the stress level among the following groupings: sex (male and female), grade level (7, 8, 9, and 10), and age brackets (11-12, 13-14, and 15-17).</w:t>
      </w:r>
    </w:p>
    <w:p w14:paraId="00000515" w14:textId="77777777" w:rsidR="00421882" w:rsidRDefault="00421882">
      <w:pPr>
        <w:pBdr>
          <w:top w:val="nil"/>
          <w:left w:val="nil"/>
          <w:bottom w:val="nil"/>
          <w:right w:val="nil"/>
          <w:between w:val="nil"/>
        </w:pBdr>
        <w:spacing w:after="0"/>
        <w:jc w:val="both"/>
        <w:rPr>
          <w:color w:val="000000"/>
          <w:sz w:val="10"/>
          <w:szCs w:val="10"/>
        </w:rPr>
      </w:pPr>
    </w:p>
    <w:p w14:paraId="00000516" w14:textId="1FF7717B" w:rsidR="00421882" w:rsidRDefault="00363292">
      <w:pPr>
        <w:pBdr>
          <w:top w:val="nil"/>
          <w:left w:val="nil"/>
          <w:bottom w:val="nil"/>
          <w:right w:val="nil"/>
          <w:between w:val="nil"/>
        </w:pBdr>
        <w:spacing w:after="0"/>
        <w:jc w:val="both"/>
      </w:pPr>
      <w:r>
        <w:rPr>
          <w:color w:val="000000"/>
        </w:rPr>
        <w:t xml:space="preserve">The results, more specifically those that are regarding the new clustering, imply that these clusters of factors (physical health, task management, valuing, and relating to oneself and others) can be the starting points of the interventions that schools, teachers, and even the parents can provide. It is easy to assume that a group of people is experiencing certain stress levels and the interventions can be hit-or-miss. With these factors, which will be strengthened further by future studies, interventions will be more contextualized, specifically toward online learning of </w:t>
      </w:r>
      <w:r>
        <w:t>junior high school students. The results of this study also imply that the usual categorization or domains of stress levels such as cognitive, behavioral, affective, and physiological do not stand as umbrella domains in certain cases such as online learning. This can be because of the overlapping experiences of the effects of the stress that a person may experience in this new setup. Like any other study, this research can serve as the foundation of future studies. One possible research direction is focusing on one of the clusters or factors identified. Another is giving the same questionnaire to a larger group of respondents. Future researchers may also contextualize the survey for a more advanced group of learners such as those in senior high school, college, and graduate school.</w:t>
      </w:r>
    </w:p>
    <w:p w14:paraId="72C94A48" w14:textId="69ACD7CB" w:rsidR="00CC2A59" w:rsidRDefault="00CC2A59">
      <w:pPr>
        <w:pBdr>
          <w:top w:val="nil"/>
          <w:left w:val="nil"/>
          <w:bottom w:val="single" w:sz="12" w:space="1" w:color="auto"/>
          <w:right w:val="nil"/>
          <w:between w:val="nil"/>
        </w:pBdr>
        <w:spacing w:after="0"/>
        <w:jc w:val="both"/>
      </w:pPr>
    </w:p>
    <w:p w14:paraId="00000517" w14:textId="77777777" w:rsidR="00421882" w:rsidRDefault="00421882">
      <w:pPr>
        <w:pBdr>
          <w:top w:val="nil"/>
          <w:left w:val="nil"/>
          <w:bottom w:val="nil"/>
          <w:right w:val="nil"/>
          <w:between w:val="nil"/>
        </w:pBdr>
        <w:spacing w:after="0" w:line="240" w:lineRule="auto"/>
        <w:jc w:val="both"/>
      </w:pPr>
    </w:p>
    <w:p w14:paraId="00000527" w14:textId="77777777" w:rsidR="00421882" w:rsidRDefault="00363292">
      <w:pPr>
        <w:pBdr>
          <w:top w:val="nil"/>
          <w:left w:val="nil"/>
          <w:bottom w:val="nil"/>
          <w:right w:val="nil"/>
          <w:between w:val="nil"/>
        </w:pBdr>
        <w:spacing w:after="0" w:line="240" w:lineRule="auto"/>
        <w:ind w:left="567" w:hanging="567"/>
        <w:jc w:val="both"/>
        <w:rPr>
          <w:b/>
          <w:color w:val="0033CC"/>
        </w:rPr>
      </w:pPr>
      <w:r>
        <w:rPr>
          <w:b/>
          <w:color w:val="0033CC"/>
        </w:rPr>
        <w:t>REFERENCES:</w:t>
      </w:r>
    </w:p>
    <w:p w14:paraId="00000528" w14:textId="77777777" w:rsidR="00421882" w:rsidRPr="00CC2A59" w:rsidRDefault="00421882">
      <w:pPr>
        <w:pBdr>
          <w:top w:val="nil"/>
          <w:left w:val="nil"/>
          <w:bottom w:val="nil"/>
          <w:right w:val="nil"/>
          <w:between w:val="nil"/>
        </w:pBdr>
        <w:spacing w:after="0" w:line="240" w:lineRule="auto"/>
        <w:ind w:left="567" w:hanging="567"/>
        <w:jc w:val="both"/>
        <w:rPr>
          <w:b/>
          <w:color w:val="0033CC"/>
          <w:sz w:val="10"/>
          <w:szCs w:val="10"/>
        </w:rPr>
      </w:pPr>
    </w:p>
    <w:p w14:paraId="00000529"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Aiyer</w:t>
      </w:r>
      <w:proofErr w:type="spellEnd"/>
      <w:r w:rsidRPr="0062646A">
        <w:rPr>
          <w:color w:val="000000"/>
          <w:sz w:val="19"/>
          <w:szCs w:val="19"/>
        </w:rPr>
        <w:t xml:space="preserve">, A., </w:t>
      </w:r>
      <w:proofErr w:type="spellStart"/>
      <w:r w:rsidRPr="0062646A">
        <w:rPr>
          <w:color w:val="000000"/>
          <w:sz w:val="19"/>
          <w:szCs w:val="19"/>
        </w:rPr>
        <w:t>Surani</w:t>
      </w:r>
      <w:proofErr w:type="spellEnd"/>
      <w:r w:rsidRPr="0062646A">
        <w:rPr>
          <w:color w:val="000000"/>
          <w:sz w:val="19"/>
          <w:szCs w:val="19"/>
        </w:rPr>
        <w:t xml:space="preserve">, S., Gill, Y., </w:t>
      </w:r>
      <w:proofErr w:type="spellStart"/>
      <w:r w:rsidRPr="0062646A">
        <w:rPr>
          <w:color w:val="000000"/>
          <w:sz w:val="19"/>
          <w:szCs w:val="19"/>
        </w:rPr>
        <w:t>Ratnani</w:t>
      </w:r>
      <w:proofErr w:type="spellEnd"/>
      <w:r w:rsidRPr="0062646A">
        <w:rPr>
          <w:color w:val="000000"/>
          <w:sz w:val="19"/>
          <w:szCs w:val="19"/>
        </w:rPr>
        <w:t xml:space="preserve">, I., &amp; </w:t>
      </w:r>
      <w:proofErr w:type="spellStart"/>
      <w:r w:rsidRPr="0062646A">
        <w:rPr>
          <w:color w:val="000000"/>
          <w:sz w:val="19"/>
          <w:szCs w:val="19"/>
        </w:rPr>
        <w:t>Sunesara</w:t>
      </w:r>
      <w:proofErr w:type="spellEnd"/>
      <w:r w:rsidRPr="0062646A">
        <w:rPr>
          <w:color w:val="000000"/>
          <w:sz w:val="19"/>
          <w:szCs w:val="19"/>
        </w:rPr>
        <w:t xml:space="preserve">, S. (2020). COVID-19 Anxiety and Stress Survey (CASS) in high school and college students due to Coronavirus disease 2019. </w:t>
      </w:r>
      <w:r w:rsidRPr="0062646A">
        <w:rPr>
          <w:i/>
          <w:color w:val="000000"/>
          <w:sz w:val="19"/>
          <w:szCs w:val="19"/>
        </w:rPr>
        <w:t>Chest Infections.</w:t>
      </w:r>
      <w:r w:rsidRPr="0062646A">
        <w:rPr>
          <w:color w:val="000000"/>
          <w:sz w:val="19"/>
          <w:szCs w:val="19"/>
        </w:rPr>
        <w:t xml:space="preserve"> 158 (4). </w:t>
      </w:r>
      <w:hyperlink r:id="rId7">
        <w:r w:rsidRPr="0062646A">
          <w:rPr>
            <w:color w:val="000000"/>
            <w:sz w:val="19"/>
            <w:szCs w:val="19"/>
          </w:rPr>
          <w:t>https://doi.org/10.1016/j.chest.2020.08.312</w:t>
        </w:r>
      </w:hyperlink>
    </w:p>
    <w:p w14:paraId="0000052A"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AlAteeq</w:t>
      </w:r>
      <w:proofErr w:type="spellEnd"/>
      <w:r w:rsidRPr="0062646A">
        <w:rPr>
          <w:color w:val="000000"/>
          <w:sz w:val="19"/>
          <w:szCs w:val="19"/>
        </w:rPr>
        <w:t xml:space="preserve">, D., </w:t>
      </w:r>
      <w:proofErr w:type="spellStart"/>
      <w:r w:rsidRPr="0062646A">
        <w:rPr>
          <w:color w:val="000000"/>
          <w:sz w:val="19"/>
          <w:szCs w:val="19"/>
        </w:rPr>
        <w:t>AlJhani</w:t>
      </w:r>
      <w:proofErr w:type="spellEnd"/>
      <w:r w:rsidRPr="0062646A">
        <w:rPr>
          <w:color w:val="000000"/>
          <w:sz w:val="19"/>
          <w:szCs w:val="19"/>
        </w:rPr>
        <w:t xml:space="preserve">, S., &amp; </w:t>
      </w:r>
      <w:proofErr w:type="spellStart"/>
      <w:r w:rsidRPr="0062646A">
        <w:rPr>
          <w:color w:val="000000"/>
          <w:sz w:val="19"/>
          <w:szCs w:val="19"/>
        </w:rPr>
        <w:t>AlEesa</w:t>
      </w:r>
      <w:proofErr w:type="spellEnd"/>
      <w:r w:rsidRPr="0062646A">
        <w:rPr>
          <w:color w:val="000000"/>
          <w:sz w:val="19"/>
          <w:szCs w:val="19"/>
        </w:rPr>
        <w:t xml:space="preserve">, D. (2020). Perceived stress among students in virtual classrooms during the COVID-19 outbreak in KSA. </w:t>
      </w:r>
      <w:r w:rsidRPr="0062646A">
        <w:rPr>
          <w:i/>
          <w:color w:val="000000"/>
          <w:sz w:val="19"/>
          <w:szCs w:val="19"/>
        </w:rPr>
        <w:t xml:space="preserve">Journal of Taibah University Medical Sciences. </w:t>
      </w:r>
      <w:r w:rsidRPr="0062646A">
        <w:rPr>
          <w:color w:val="000000"/>
          <w:sz w:val="19"/>
          <w:szCs w:val="19"/>
        </w:rPr>
        <w:t>10.1016/j.jtumed.2020.07.004</w:t>
      </w:r>
    </w:p>
    <w:p w14:paraId="0000052B"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 xml:space="preserve">Ang, R. P., &amp; Huan, V. S. (2006). Academic Expectations Stress Inventory: Development, factor analysis, reliability, and validity. </w:t>
      </w:r>
      <w:r w:rsidRPr="0062646A">
        <w:rPr>
          <w:i/>
          <w:color w:val="000000"/>
          <w:sz w:val="19"/>
          <w:szCs w:val="19"/>
        </w:rPr>
        <w:t>Educational and Psychological Measurement,</w:t>
      </w:r>
      <w:r w:rsidRPr="0062646A">
        <w:rPr>
          <w:color w:val="000000"/>
          <w:sz w:val="19"/>
          <w:szCs w:val="19"/>
        </w:rPr>
        <w:t xml:space="preserve"> 66, 522-539. doi:10.1177/0013164405282461</w:t>
      </w:r>
    </w:p>
    <w:p w14:paraId="0000052C"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sz w:val="19"/>
          <w:szCs w:val="19"/>
        </w:rPr>
        <w:t>Arsham</w:t>
      </w:r>
      <w:proofErr w:type="spellEnd"/>
      <w:r w:rsidRPr="0062646A">
        <w:rPr>
          <w:sz w:val="19"/>
          <w:szCs w:val="19"/>
        </w:rPr>
        <w:t xml:space="preserve"> H., </w:t>
      </w:r>
      <w:proofErr w:type="spellStart"/>
      <w:r w:rsidRPr="0062646A">
        <w:rPr>
          <w:sz w:val="19"/>
          <w:szCs w:val="19"/>
        </w:rPr>
        <w:t>Lovric</w:t>
      </w:r>
      <w:proofErr w:type="spellEnd"/>
      <w:r w:rsidRPr="0062646A">
        <w:rPr>
          <w:sz w:val="19"/>
          <w:szCs w:val="19"/>
        </w:rPr>
        <w:t xml:space="preserve"> M. (2011) Bartlett’s Test. In: </w:t>
      </w:r>
      <w:proofErr w:type="spellStart"/>
      <w:r w:rsidRPr="0062646A">
        <w:rPr>
          <w:sz w:val="19"/>
          <w:szCs w:val="19"/>
        </w:rPr>
        <w:t>Lovric</w:t>
      </w:r>
      <w:proofErr w:type="spellEnd"/>
      <w:r w:rsidRPr="0062646A">
        <w:rPr>
          <w:sz w:val="19"/>
          <w:szCs w:val="19"/>
        </w:rPr>
        <w:t xml:space="preserve"> M. (eds) </w:t>
      </w:r>
      <w:r w:rsidRPr="0062646A">
        <w:rPr>
          <w:i/>
          <w:sz w:val="19"/>
          <w:szCs w:val="19"/>
        </w:rPr>
        <w:t>International Encyclopedia of Statistical Science</w:t>
      </w:r>
      <w:r w:rsidRPr="0062646A">
        <w:rPr>
          <w:sz w:val="19"/>
          <w:szCs w:val="19"/>
        </w:rPr>
        <w:t>. Springer, Berlin, Heidelberg. https://doi.org/10.1007/978-3-642-04898-2_132</w:t>
      </w:r>
    </w:p>
    <w:p w14:paraId="0000052D"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Baik</w:t>
      </w:r>
      <w:proofErr w:type="spellEnd"/>
      <w:r w:rsidRPr="0062646A">
        <w:rPr>
          <w:color w:val="000000"/>
          <w:sz w:val="19"/>
          <w:szCs w:val="19"/>
        </w:rPr>
        <w:t xml:space="preserve">, S. H., Fox, R. S., Mills, S. D., </w:t>
      </w:r>
      <w:proofErr w:type="spellStart"/>
      <w:r w:rsidRPr="0062646A">
        <w:rPr>
          <w:color w:val="000000"/>
          <w:sz w:val="19"/>
          <w:szCs w:val="19"/>
        </w:rPr>
        <w:t>Roesch</w:t>
      </w:r>
      <w:proofErr w:type="spellEnd"/>
      <w:r w:rsidRPr="0062646A">
        <w:rPr>
          <w:color w:val="000000"/>
          <w:sz w:val="19"/>
          <w:szCs w:val="19"/>
        </w:rPr>
        <w:t xml:space="preserve">, S. C., Sadler, G. R., </w:t>
      </w:r>
      <w:proofErr w:type="spellStart"/>
      <w:r w:rsidRPr="0062646A">
        <w:rPr>
          <w:color w:val="000000"/>
          <w:sz w:val="19"/>
          <w:szCs w:val="19"/>
        </w:rPr>
        <w:t>Klonoff</w:t>
      </w:r>
      <w:proofErr w:type="spellEnd"/>
      <w:r w:rsidRPr="0062646A">
        <w:rPr>
          <w:color w:val="000000"/>
          <w:sz w:val="19"/>
          <w:szCs w:val="19"/>
        </w:rPr>
        <w:t xml:space="preserve">, E. A., &amp; </w:t>
      </w:r>
      <w:proofErr w:type="spellStart"/>
      <w:r w:rsidRPr="0062646A">
        <w:rPr>
          <w:color w:val="000000"/>
          <w:sz w:val="19"/>
          <w:szCs w:val="19"/>
        </w:rPr>
        <w:t>Malcarne</w:t>
      </w:r>
      <w:proofErr w:type="spellEnd"/>
      <w:r w:rsidRPr="0062646A">
        <w:rPr>
          <w:color w:val="000000"/>
          <w:sz w:val="19"/>
          <w:szCs w:val="19"/>
        </w:rPr>
        <w:t>, V. L. (2019). Reliability and validity of the Perceived Stress Scale-10 in Hispanic Americans with English or Spanish language preference. </w:t>
      </w:r>
      <w:r w:rsidRPr="0062646A">
        <w:rPr>
          <w:i/>
          <w:color w:val="000000"/>
          <w:sz w:val="19"/>
          <w:szCs w:val="19"/>
        </w:rPr>
        <w:t>Journal of health psychology</w:t>
      </w:r>
      <w:r w:rsidRPr="0062646A">
        <w:rPr>
          <w:color w:val="000000"/>
          <w:sz w:val="19"/>
          <w:szCs w:val="19"/>
        </w:rPr>
        <w:t>, </w:t>
      </w:r>
      <w:r w:rsidRPr="0062646A">
        <w:rPr>
          <w:i/>
          <w:color w:val="000000"/>
          <w:sz w:val="19"/>
          <w:szCs w:val="19"/>
        </w:rPr>
        <w:t>24</w:t>
      </w:r>
      <w:r w:rsidRPr="0062646A">
        <w:rPr>
          <w:color w:val="000000"/>
          <w:sz w:val="19"/>
          <w:szCs w:val="19"/>
        </w:rPr>
        <w:t>(5), 628–639. https://doi.org/10.1177/1359105316684938</w:t>
      </w:r>
    </w:p>
    <w:p w14:paraId="0000052E" w14:textId="77777777" w:rsidR="00421882" w:rsidRPr="0062646A" w:rsidRDefault="00363292">
      <w:pPr>
        <w:pBdr>
          <w:top w:val="nil"/>
          <w:left w:val="nil"/>
          <w:bottom w:val="nil"/>
          <w:right w:val="nil"/>
          <w:between w:val="nil"/>
        </w:pBdr>
        <w:spacing w:after="0" w:line="240" w:lineRule="auto"/>
        <w:ind w:left="567" w:hanging="567"/>
        <w:rPr>
          <w:i/>
          <w:color w:val="000000"/>
          <w:sz w:val="19"/>
          <w:szCs w:val="19"/>
        </w:rPr>
      </w:pPr>
      <w:proofErr w:type="spellStart"/>
      <w:r w:rsidRPr="0062646A">
        <w:rPr>
          <w:color w:val="000000"/>
          <w:sz w:val="19"/>
          <w:szCs w:val="19"/>
        </w:rPr>
        <w:t>Bedewy</w:t>
      </w:r>
      <w:proofErr w:type="spellEnd"/>
      <w:r w:rsidRPr="0062646A">
        <w:rPr>
          <w:color w:val="000000"/>
          <w:sz w:val="19"/>
          <w:szCs w:val="19"/>
        </w:rPr>
        <w:t xml:space="preserve">, D. &amp; Gabriel, A. (2015) Examining perceptions of academic stress and its sources among university students: The Perception of Academic Stress Scale. </w:t>
      </w:r>
      <w:r w:rsidRPr="0062646A">
        <w:rPr>
          <w:i/>
          <w:color w:val="000000"/>
          <w:sz w:val="19"/>
          <w:szCs w:val="19"/>
        </w:rPr>
        <w:t>Health Psychology Open. https://journals.sagepub.com/doi/pdf/10.1177/2055102915596714</w:t>
      </w:r>
    </w:p>
    <w:p w14:paraId="0000052F"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Bolton, D., </w:t>
      </w:r>
      <w:proofErr w:type="spellStart"/>
      <w:r w:rsidRPr="0062646A">
        <w:rPr>
          <w:color w:val="000000"/>
          <w:sz w:val="19"/>
          <w:szCs w:val="19"/>
          <w:highlight w:val="white"/>
        </w:rPr>
        <w:t>O'Ryan</w:t>
      </w:r>
      <w:proofErr w:type="spellEnd"/>
      <w:r w:rsidRPr="0062646A">
        <w:rPr>
          <w:color w:val="000000"/>
          <w:sz w:val="19"/>
          <w:szCs w:val="19"/>
          <w:highlight w:val="white"/>
        </w:rPr>
        <w:t xml:space="preserve">, D., </w:t>
      </w:r>
      <w:proofErr w:type="spellStart"/>
      <w:r w:rsidRPr="0062646A">
        <w:rPr>
          <w:color w:val="000000"/>
          <w:sz w:val="19"/>
          <w:szCs w:val="19"/>
          <w:highlight w:val="white"/>
        </w:rPr>
        <w:t>Udwin</w:t>
      </w:r>
      <w:proofErr w:type="spellEnd"/>
      <w:r w:rsidRPr="0062646A">
        <w:rPr>
          <w:color w:val="000000"/>
          <w:sz w:val="19"/>
          <w:szCs w:val="19"/>
          <w:highlight w:val="white"/>
        </w:rPr>
        <w:t xml:space="preserve">, O., Boyle, S., &amp; Yule, W. (2000). The long-term psychological effects of a disaster experienced in adolescence: II: General psychopathology. </w:t>
      </w:r>
      <w:r w:rsidRPr="0062646A">
        <w:rPr>
          <w:i/>
          <w:color w:val="000000"/>
          <w:sz w:val="19"/>
          <w:szCs w:val="19"/>
          <w:highlight w:val="white"/>
        </w:rPr>
        <w:t>The Journal of Child Psychology and Psychiatry and Allied Disciplines,</w:t>
      </w:r>
      <w:r w:rsidRPr="0062646A">
        <w:rPr>
          <w:color w:val="000000"/>
          <w:sz w:val="19"/>
          <w:szCs w:val="19"/>
          <w:highlight w:val="white"/>
        </w:rPr>
        <w:t xml:space="preserve"> </w:t>
      </w:r>
      <w:r w:rsidRPr="0062646A">
        <w:rPr>
          <w:i/>
          <w:color w:val="000000"/>
          <w:sz w:val="19"/>
          <w:szCs w:val="19"/>
          <w:highlight w:val="white"/>
        </w:rPr>
        <w:t>41</w:t>
      </w:r>
      <w:r w:rsidRPr="0062646A">
        <w:rPr>
          <w:color w:val="000000"/>
          <w:sz w:val="19"/>
          <w:szCs w:val="19"/>
          <w:highlight w:val="white"/>
        </w:rPr>
        <w:t>(4), 513-523. doi:10.1111/1469-7610.00636</w:t>
      </w:r>
    </w:p>
    <w:p w14:paraId="00000530" w14:textId="77777777" w:rsidR="00421882" w:rsidRPr="0062646A" w:rsidRDefault="00363292">
      <w:pPr>
        <w:pBdr>
          <w:top w:val="nil"/>
          <w:left w:val="nil"/>
          <w:bottom w:val="nil"/>
          <w:right w:val="nil"/>
          <w:between w:val="nil"/>
        </w:pBdr>
        <w:spacing w:after="0" w:line="240" w:lineRule="auto"/>
        <w:ind w:left="567" w:hanging="567"/>
        <w:jc w:val="both"/>
        <w:rPr>
          <w:color w:val="000000"/>
          <w:sz w:val="19"/>
          <w:szCs w:val="19"/>
        </w:rPr>
      </w:pPr>
      <w:r w:rsidRPr="0062646A">
        <w:rPr>
          <w:color w:val="000000"/>
          <w:sz w:val="19"/>
          <w:szCs w:val="19"/>
        </w:rPr>
        <w:lastRenderedPageBreak/>
        <w:t xml:space="preserve">Bonett, Douglas &amp; Wright, Thomas. (2014). Cronbach's alpha reliability: Interval estimation, hypothesis testing, and sample size planning. </w:t>
      </w:r>
      <w:r w:rsidRPr="0062646A">
        <w:rPr>
          <w:i/>
          <w:color w:val="000000"/>
          <w:sz w:val="19"/>
          <w:szCs w:val="19"/>
        </w:rPr>
        <w:t>Journal of Organizational Behavior</w:t>
      </w:r>
      <w:r w:rsidRPr="0062646A">
        <w:rPr>
          <w:color w:val="000000"/>
          <w:sz w:val="19"/>
          <w:szCs w:val="19"/>
        </w:rPr>
        <w:t>. 36. 10.1002/job.1960.</w:t>
      </w:r>
    </w:p>
    <w:p w14:paraId="00000531" w14:textId="77777777" w:rsidR="00421882" w:rsidRPr="0062646A" w:rsidRDefault="00363292">
      <w:pPr>
        <w:pBdr>
          <w:top w:val="nil"/>
          <w:left w:val="nil"/>
          <w:bottom w:val="nil"/>
          <w:right w:val="nil"/>
          <w:between w:val="nil"/>
        </w:pBdr>
        <w:spacing w:after="0" w:line="240" w:lineRule="auto"/>
        <w:ind w:left="567" w:hanging="567"/>
        <w:jc w:val="both"/>
        <w:rPr>
          <w:color w:val="000000"/>
          <w:sz w:val="19"/>
          <w:szCs w:val="19"/>
        </w:rPr>
      </w:pPr>
      <w:r w:rsidRPr="0062646A">
        <w:rPr>
          <w:color w:val="000000"/>
          <w:sz w:val="19"/>
          <w:szCs w:val="19"/>
        </w:rPr>
        <w:t>Brown, T. A. (2015). Confirmatory factor analysis for applied research (2nd ed.). New York, NY: Guilford Press.</w:t>
      </w:r>
    </w:p>
    <w:p w14:paraId="00000532"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Cao, W., Fang, Z., Hou, G., Han, M., Xu, X., Dong, J., &amp; Zheng, J. (2020). The psychological impact of the COVID-19 epidemic on college students in China. </w:t>
      </w:r>
      <w:r w:rsidRPr="0062646A">
        <w:rPr>
          <w:i/>
          <w:color w:val="000000"/>
          <w:sz w:val="19"/>
          <w:szCs w:val="19"/>
          <w:highlight w:val="white"/>
        </w:rPr>
        <w:t>Psychiatry Res.</w:t>
      </w:r>
      <w:r w:rsidRPr="0062646A">
        <w:rPr>
          <w:color w:val="000000"/>
          <w:sz w:val="19"/>
          <w:szCs w:val="19"/>
          <w:highlight w:val="white"/>
        </w:rPr>
        <w:t xml:space="preserve"> 287:112934. </w:t>
      </w:r>
      <w:proofErr w:type="spellStart"/>
      <w:r w:rsidRPr="0062646A">
        <w:rPr>
          <w:color w:val="000000"/>
          <w:sz w:val="19"/>
          <w:szCs w:val="19"/>
          <w:highlight w:val="white"/>
        </w:rPr>
        <w:t>doi</w:t>
      </w:r>
      <w:proofErr w:type="spellEnd"/>
      <w:r w:rsidRPr="0062646A">
        <w:rPr>
          <w:color w:val="000000"/>
          <w:sz w:val="19"/>
          <w:szCs w:val="19"/>
          <w:highlight w:val="white"/>
        </w:rPr>
        <w:t>: 10.1016/j.psychres.2020.112934</w:t>
      </w:r>
    </w:p>
    <w:p w14:paraId="00000533" w14:textId="77777777" w:rsidR="00421882" w:rsidRPr="0062646A" w:rsidRDefault="00EA6D91">
      <w:pPr>
        <w:pBdr>
          <w:top w:val="nil"/>
          <w:left w:val="nil"/>
          <w:bottom w:val="nil"/>
          <w:right w:val="nil"/>
          <w:between w:val="nil"/>
        </w:pBdr>
        <w:spacing w:after="0" w:line="240" w:lineRule="auto"/>
        <w:ind w:left="567" w:hanging="567"/>
        <w:rPr>
          <w:color w:val="000000"/>
          <w:sz w:val="19"/>
          <w:szCs w:val="19"/>
          <w:highlight w:val="white"/>
        </w:rPr>
      </w:pPr>
      <w:hyperlink r:id="rId8">
        <w:r w:rsidR="00363292" w:rsidRPr="0062646A">
          <w:rPr>
            <w:color w:val="000000"/>
            <w:sz w:val="19"/>
            <w:szCs w:val="19"/>
            <w:highlight w:val="white"/>
          </w:rPr>
          <w:t>Chandra, Y.</w:t>
        </w:r>
      </w:hyperlink>
      <w:r w:rsidR="00363292" w:rsidRPr="0062646A">
        <w:rPr>
          <w:color w:val="000000"/>
          <w:sz w:val="19"/>
          <w:szCs w:val="19"/>
          <w:highlight w:val="white"/>
        </w:rPr>
        <w:t xml:space="preserve"> (2020). Online education during COVID-19: Perception of academic stress and emotional intelligence coping strategies among college students. </w:t>
      </w:r>
      <w:hyperlink r:id="rId9">
        <w:r w:rsidR="00363292" w:rsidRPr="0062646A">
          <w:rPr>
            <w:i/>
            <w:color w:val="000000"/>
            <w:sz w:val="19"/>
            <w:szCs w:val="19"/>
            <w:highlight w:val="white"/>
          </w:rPr>
          <w:t>Asian Education and Development Studies</w:t>
        </w:r>
      </w:hyperlink>
      <w:r w:rsidR="00363292" w:rsidRPr="0062646A">
        <w:rPr>
          <w:color w:val="000000"/>
          <w:sz w:val="19"/>
          <w:szCs w:val="19"/>
          <w:highlight w:val="white"/>
        </w:rPr>
        <w:t xml:space="preserve">, Vol. ahead-of-print No. ahead-of-print. </w:t>
      </w:r>
      <w:hyperlink r:id="rId10">
        <w:r w:rsidR="00363292" w:rsidRPr="0062646A">
          <w:rPr>
            <w:color w:val="000000"/>
            <w:sz w:val="19"/>
            <w:szCs w:val="19"/>
            <w:highlight w:val="white"/>
          </w:rPr>
          <w:t>https://doi.org/10.1108/AEDS-05-2020-0097</w:t>
        </w:r>
      </w:hyperlink>
    </w:p>
    <w:p w14:paraId="00000534"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Chen, B., Sun, J., and Feng, Y. (2020). How have COVID-19 isolation policies affected young people’s mental health? - Evidence from Chinese college students. </w:t>
      </w:r>
      <w:r w:rsidRPr="0062646A">
        <w:rPr>
          <w:i/>
          <w:color w:val="000000"/>
          <w:sz w:val="19"/>
          <w:szCs w:val="19"/>
          <w:highlight w:val="white"/>
        </w:rPr>
        <w:t>Front. Psychol.</w:t>
      </w:r>
      <w:r w:rsidRPr="0062646A">
        <w:rPr>
          <w:color w:val="000000"/>
          <w:sz w:val="19"/>
          <w:szCs w:val="19"/>
          <w:highlight w:val="white"/>
        </w:rPr>
        <w:t xml:space="preserve"> 11:1529. </w:t>
      </w:r>
      <w:proofErr w:type="spellStart"/>
      <w:r w:rsidRPr="0062646A">
        <w:rPr>
          <w:color w:val="000000"/>
          <w:sz w:val="19"/>
          <w:szCs w:val="19"/>
          <w:highlight w:val="white"/>
        </w:rPr>
        <w:t>doi</w:t>
      </w:r>
      <w:proofErr w:type="spellEnd"/>
      <w:r w:rsidRPr="0062646A">
        <w:rPr>
          <w:color w:val="000000"/>
          <w:sz w:val="19"/>
          <w:szCs w:val="19"/>
          <w:highlight w:val="white"/>
        </w:rPr>
        <w:t>: 10.3389/fpsyg.2020.01529</w:t>
      </w:r>
    </w:p>
    <w:p w14:paraId="00000535"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color w:val="000000"/>
          <w:sz w:val="19"/>
          <w:szCs w:val="19"/>
        </w:rPr>
        <w:t xml:space="preserve">Cohen, S., </w:t>
      </w:r>
      <w:proofErr w:type="spellStart"/>
      <w:r w:rsidRPr="0062646A">
        <w:rPr>
          <w:color w:val="000000"/>
          <w:sz w:val="19"/>
          <w:szCs w:val="19"/>
        </w:rPr>
        <w:t>Kamarck</w:t>
      </w:r>
      <w:proofErr w:type="spellEnd"/>
      <w:r w:rsidRPr="0062646A">
        <w:rPr>
          <w:color w:val="000000"/>
          <w:sz w:val="19"/>
          <w:szCs w:val="19"/>
        </w:rPr>
        <w:t xml:space="preserve">, T., &amp; </w:t>
      </w:r>
      <w:proofErr w:type="spellStart"/>
      <w:r w:rsidRPr="0062646A">
        <w:rPr>
          <w:color w:val="000000"/>
          <w:sz w:val="19"/>
          <w:szCs w:val="19"/>
        </w:rPr>
        <w:t>Mermelstein</w:t>
      </w:r>
      <w:proofErr w:type="spellEnd"/>
      <w:r w:rsidRPr="0062646A">
        <w:rPr>
          <w:color w:val="000000"/>
          <w:sz w:val="19"/>
          <w:szCs w:val="19"/>
        </w:rPr>
        <w:t xml:space="preserve">, R. (1983). A global measure of perceived stress. Journal of Health and Social Behavior, 24, 386-396. </w:t>
      </w:r>
      <w:r w:rsidRPr="0062646A">
        <w:rPr>
          <w:sz w:val="19"/>
          <w:szCs w:val="19"/>
        </w:rPr>
        <w:t>https://doi.org/10.2307/2136404</w:t>
      </w:r>
    </w:p>
    <w:p w14:paraId="00000536"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sz w:val="19"/>
          <w:szCs w:val="19"/>
        </w:rPr>
        <w:t xml:space="preserve">Cohen, S., &amp; Williamson, G. (1988). Perceived stress in a probability sample of the United States. In S. </w:t>
      </w:r>
      <w:proofErr w:type="spellStart"/>
      <w:r w:rsidRPr="0062646A">
        <w:rPr>
          <w:sz w:val="19"/>
          <w:szCs w:val="19"/>
        </w:rPr>
        <w:t>Spacapam</w:t>
      </w:r>
      <w:proofErr w:type="spellEnd"/>
      <w:r w:rsidRPr="0062646A">
        <w:rPr>
          <w:sz w:val="19"/>
          <w:szCs w:val="19"/>
        </w:rPr>
        <w:t xml:space="preserve"> &amp; S. </w:t>
      </w:r>
      <w:proofErr w:type="spellStart"/>
      <w:r w:rsidRPr="0062646A">
        <w:rPr>
          <w:sz w:val="19"/>
          <w:szCs w:val="19"/>
        </w:rPr>
        <w:t>Oskamp</w:t>
      </w:r>
      <w:proofErr w:type="spellEnd"/>
      <w:r w:rsidRPr="0062646A">
        <w:rPr>
          <w:sz w:val="19"/>
          <w:szCs w:val="19"/>
        </w:rPr>
        <w:t xml:space="preserve"> (Eds.), The social psychology of health: Claremont Symposium on applied social psychology. Newbury Park, CA: Sage</w:t>
      </w:r>
    </w:p>
    <w:p w14:paraId="00000537" w14:textId="77777777" w:rsidR="00421882" w:rsidRPr="0062646A" w:rsidRDefault="00363292">
      <w:pPr>
        <w:pBdr>
          <w:top w:val="nil"/>
          <w:left w:val="nil"/>
          <w:bottom w:val="nil"/>
          <w:right w:val="nil"/>
          <w:between w:val="nil"/>
        </w:pBdr>
        <w:spacing w:after="0" w:line="240" w:lineRule="auto"/>
        <w:ind w:left="567" w:hanging="567"/>
        <w:rPr>
          <w:sz w:val="19"/>
          <w:szCs w:val="19"/>
          <w:highlight w:val="white"/>
        </w:rPr>
      </w:pPr>
      <w:r w:rsidRPr="0062646A">
        <w:rPr>
          <w:sz w:val="19"/>
          <w:szCs w:val="19"/>
          <w:highlight w:val="white"/>
        </w:rPr>
        <w:t xml:space="preserve">Cronbach, L. J. (1951). Coefficient alpha and the internal structure of tests. </w:t>
      </w:r>
      <w:r w:rsidRPr="0062646A">
        <w:rPr>
          <w:i/>
          <w:sz w:val="19"/>
          <w:szCs w:val="19"/>
          <w:highlight w:val="white"/>
        </w:rPr>
        <w:t>Psychometrika</w:t>
      </w:r>
      <w:r w:rsidRPr="0062646A">
        <w:rPr>
          <w:sz w:val="19"/>
          <w:szCs w:val="19"/>
          <w:highlight w:val="white"/>
        </w:rPr>
        <w:t>, 16(3), 297–334.</w:t>
      </w:r>
    </w:p>
    <w:p w14:paraId="00000538" w14:textId="77777777" w:rsidR="00421882" w:rsidRPr="0062646A" w:rsidRDefault="00363292">
      <w:pPr>
        <w:pBdr>
          <w:top w:val="nil"/>
          <w:left w:val="nil"/>
          <w:bottom w:val="nil"/>
          <w:right w:val="nil"/>
          <w:between w:val="nil"/>
        </w:pBdr>
        <w:spacing w:after="0" w:line="240" w:lineRule="auto"/>
        <w:ind w:firstLine="567"/>
        <w:rPr>
          <w:sz w:val="19"/>
          <w:szCs w:val="19"/>
          <w:highlight w:val="white"/>
        </w:rPr>
      </w:pPr>
      <w:r w:rsidRPr="0062646A">
        <w:rPr>
          <w:sz w:val="19"/>
          <w:szCs w:val="19"/>
        </w:rPr>
        <w:t>https://doi.org/</w:t>
      </w:r>
      <w:r w:rsidRPr="0062646A">
        <w:rPr>
          <w:sz w:val="19"/>
          <w:szCs w:val="19"/>
          <w:highlight w:val="white"/>
        </w:rPr>
        <w:t>10.1007/bf02310555.</w:t>
      </w:r>
    </w:p>
    <w:p w14:paraId="00000539" w14:textId="77777777" w:rsidR="00421882" w:rsidRPr="0062646A" w:rsidRDefault="00363292">
      <w:pPr>
        <w:pBdr>
          <w:top w:val="nil"/>
          <w:left w:val="nil"/>
          <w:bottom w:val="nil"/>
          <w:right w:val="nil"/>
          <w:between w:val="nil"/>
        </w:pBdr>
        <w:spacing w:after="0" w:line="240" w:lineRule="auto"/>
        <w:ind w:left="567" w:hanging="567"/>
        <w:rPr>
          <w:sz w:val="19"/>
          <w:szCs w:val="19"/>
        </w:rPr>
      </w:pPr>
      <w:proofErr w:type="spellStart"/>
      <w:r w:rsidRPr="0062646A">
        <w:rPr>
          <w:sz w:val="19"/>
          <w:szCs w:val="19"/>
          <w:highlight w:val="white"/>
        </w:rPr>
        <w:t>Dua</w:t>
      </w:r>
      <w:proofErr w:type="spellEnd"/>
      <w:r w:rsidRPr="0062646A">
        <w:rPr>
          <w:sz w:val="19"/>
          <w:szCs w:val="19"/>
          <w:highlight w:val="white"/>
        </w:rPr>
        <w:t xml:space="preserve">, K. (2019). Stress management: An overview. </w:t>
      </w:r>
      <w:r w:rsidRPr="0062646A">
        <w:rPr>
          <w:i/>
          <w:sz w:val="19"/>
          <w:szCs w:val="19"/>
          <w:highlight w:val="white"/>
        </w:rPr>
        <w:t xml:space="preserve">Journal of </w:t>
      </w:r>
      <w:proofErr w:type="spellStart"/>
      <w:r w:rsidRPr="0062646A">
        <w:rPr>
          <w:i/>
          <w:sz w:val="19"/>
          <w:szCs w:val="19"/>
          <w:highlight w:val="white"/>
        </w:rPr>
        <w:t>Pharmocognosy</w:t>
      </w:r>
      <w:proofErr w:type="spellEnd"/>
      <w:r w:rsidRPr="0062646A">
        <w:rPr>
          <w:i/>
          <w:sz w:val="19"/>
          <w:szCs w:val="19"/>
          <w:highlight w:val="white"/>
        </w:rPr>
        <w:t xml:space="preserve"> and Phytochemistry, </w:t>
      </w:r>
      <w:r w:rsidRPr="0062646A">
        <w:rPr>
          <w:sz w:val="19"/>
          <w:szCs w:val="19"/>
          <w:highlight w:val="white"/>
        </w:rPr>
        <w:t>8</w:t>
      </w:r>
      <w:r w:rsidRPr="0062646A">
        <w:rPr>
          <w:i/>
          <w:sz w:val="19"/>
          <w:szCs w:val="19"/>
          <w:highlight w:val="white"/>
        </w:rPr>
        <w:t xml:space="preserve">(1), </w:t>
      </w:r>
      <w:r w:rsidRPr="0062646A">
        <w:rPr>
          <w:sz w:val="19"/>
          <w:szCs w:val="19"/>
          <w:highlight w:val="white"/>
        </w:rPr>
        <w:t>1448-1452. http://www.phytojournal.com/archives/2019/vol8issue1/PartX/8-1-140-254.pdf</w:t>
      </w:r>
    </w:p>
    <w:p w14:paraId="0000053A"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sz w:val="19"/>
          <w:szCs w:val="19"/>
        </w:rPr>
        <w:t xml:space="preserve">Dwivedi, D., Kaur, N., Shukla S., Gandhi, A., &amp; Tripathi, S. (2020). Perception of stress among medical undergraduate during coronavirus disease-19 pandemic on exposure to online teaching. </w:t>
      </w:r>
      <w:r w:rsidRPr="0062646A">
        <w:rPr>
          <w:i/>
          <w:sz w:val="19"/>
          <w:szCs w:val="19"/>
        </w:rPr>
        <w:t xml:space="preserve">National Journal of </w:t>
      </w:r>
      <w:r w:rsidRPr="0062646A">
        <w:rPr>
          <w:sz w:val="19"/>
          <w:szCs w:val="19"/>
        </w:rPr>
        <w:t>Physiology, Pharmacy, and Pharmacology, 10 (8): 657-662. 10.5455/njppp.2020.10.05107202009052020</w:t>
      </w:r>
    </w:p>
    <w:p w14:paraId="0000053B"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sz w:val="19"/>
          <w:szCs w:val="19"/>
          <w:highlight w:val="white"/>
        </w:rPr>
        <w:t>Fawaz, M. &amp; Samaha, A. (2020). E‐learning: Depression, anxiety, and stress symptomatology among Lebanese university students during COVID‐19 quarantine. Nursing Forum. 1– 6. https://doi.org/10.1111/nuf.12521</w:t>
      </w:r>
    </w:p>
    <w:p w14:paraId="0000053C" w14:textId="77777777" w:rsidR="00421882" w:rsidRPr="0062646A" w:rsidRDefault="00363292">
      <w:pPr>
        <w:pBdr>
          <w:top w:val="nil"/>
          <w:left w:val="nil"/>
          <w:bottom w:val="nil"/>
          <w:right w:val="nil"/>
          <w:between w:val="nil"/>
        </w:pBdr>
        <w:spacing w:after="0" w:line="240" w:lineRule="auto"/>
        <w:ind w:left="567" w:hanging="567"/>
        <w:rPr>
          <w:sz w:val="19"/>
          <w:szCs w:val="19"/>
          <w:highlight w:val="white"/>
        </w:rPr>
      </w:pPr>
      <w:r w:rsidRPr="0062646A">
        <w:rPr>
          <w:sz w:val="19"/>
          <w:szCs w:val="19"/>
        </w:rPr>
        <w:t xml:space="preserve">Field, A. (2009). </w:t>
      </w:r>
      <w:r w:rsidRPr="0062646A">
        <w:rPr>
          <w:i/>
          <w:sz w:val="19"/>
          <w:szCs w:val="19"/>
        </w:rPr>
        <w:t>Discovering statistics using SPSS</w:t>
      </w:r>
      <w:r w:rsidRPr="0062646A">
        <w:rPr>
          <w:sz w:val="19"/>
          <w:szCs w:val="19"/>
        </w:rPr>
        <w:t>. (3</w:t>
      </w:r>
      <w:r w:rsidRPr="0062646A">
        <w:rPr>
          <w:sz w:val="19"/>
          <w:szCs w:val="19"/>
          <w:vertAlign w:val="superscript"/>
        </w:rPr>
        <w:t>rd</w:t>
      </w:r>
      <w:r w:rsidRPr="0062646A">
        <w:rPr>
          <w:sz w:val="19"/>
          <w:szCs w:val="19"/>
        </w:rPr>
        <w:t xml:space="preserve"> ed). SAGE Publications Ltd.</w:t>
      </w:r>
    </w:p>
    <w:p w14:paraId="0000053D" w14:textId="77777777" w:rsidR="00421882" w:rsidRPr="0062646A" w:rsidRDefault="00363292">
      <w:pPr>
        <w:pBdr>
          <w:top w:val="nil"/>
          <w:left w:val="nil"/>
          <w:bottom w:val="nil"/>
          <w:right w:val="nil"/>
          <w:between w:val="nil"/>
        </w:pBdr>
        <w:spacing w:after="0" w:line="240" w:lineRule="auto"/>
        <w:ind w:left="567" w:hanging="567"/>
        <w:rPr>
          <w:sz w:val="19"/>
          <w:szCs w:val="19"/>
        </w:rPr>
      </w:pPr>
      <w:proofErr w:type="spellStart"/>
      <w:r w:rsidRPr="0062646A">
        <w:rPr>
          <w:color w:val="000000"/>
          <w:sz w:val="19"/>
          <w:szCs w:val="19"/>
        </w:rPr>
        <w:t>Gregorich</w:t>
      </w:r>
      <w:proofErr w:type="spellEnd"/>
      <w:r w:rsidRPr="0062646A">
        <w:rPr>
          <w:color w:val="000000"/>
          <w:sz w:val="19"/>
          <w:szCs w:val="19"/>
        </w:rPr>
        <w:t xml:space="preserve">, S. E. (2006). Do self-report instruments allow meaningful comparisons across diverse population groups? Testing measurement invariance using the confirmatory analysis framework. </w:t>
      </w:r>
      <w:r w:rsidRPr="0062646A">
        <w:rPr>
          <w:i/>
          <w:color w:val="000000"/>
          <w:sz w:val="19"/>
          <w:szCs w:val="19"/>
        </w:rPr>
        <w:t>Medical Care, 44</w:t>
      </w:r>
      <w:r w:rsidRPr="0062646A">
        <w:rPr>
          <w:color w:val="000000"/>
          <w:sz w:val="19"/>
          <w:szCs w:val="19"/>
        </w:rPr>
        <w:t xml:space="preserve">(11 Suppl 3), 78-94. </w:t>
      </w:r>
      <w:r w:rsidRPr="0062646A">
        <w:rPr>
          <w:sz w:val="19"/>
          <w:szCs w:val="19"/>
        </w:rPr>
        <w:t>https://doi.org/10.1097/ 01.mlr.0000245454.12228.8f.</w:t>
      </w:r>
    </w:p>
    <w:p w14:paraId="0000053E"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 xml:space="preserve">Gross, C. &amp; </w:t>
      </w:r>
      <w:proofErr w:type="spellStart"/>
      <w:r w:rsidRPr="0062646A">
        <w:rPr>
          <w:color w:val="000000"/>
          <w:sz w:val="19"/>
          <w:szCs w:val="19"/>
        </w:rPr>
        <w:t>Seebaß</w:t>
      </w:r>
      <w:proofErr w:type="spellEnd"/>
      <w:r w:rsidRPr="0062646A">
        <w:rPr>
          <w:color w:val="000000"/>
          <w:sz w:val="19"/>
          <w:szCs w:val="19"/>
        </w:rPr>
        <w:t>, K., (2014). The Standard Stress Scale (SSS): Measuring Stress in the Life Course (NEPS Working Paper No. 45). Bamberg: Leibniz Institute for Educational Trajectories, National Educational Panel Study. https://www.neps-data.de/Portals/0/Working%20Papers/WP_XLV.pdf</w:t>
      </w:r>
    </w:p>
    <w:p w14:paraId="0000053F"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rPr>
        <w:t xml:space="preserve">Gujral, H. K. (2013). </w:t>
      </w:r>
      <w:r w:rsidRPr="0062646A">
        <w:rPr>
          <w:color w:val="000000"/>
          <w:sz w:val="19"/>
          <w:szCs w:val="19"/>
          <w:highlight w:val="white"/>
        </w:rPr>
        <w:t xml:space="preserve">Emotional intelligence buffers stress: A study on emotional intelligence and coping styles. </w:t>
      </w:r>
      <w:r w:rsidRPr="0062646A">
        <w:rPr>
          <w:i/>
          <w:color w:val="000000"/>
          <w:sz w:val="19"/>
          <w:szCs w:val="19"/>
          <w:highlight w:val="white"/>
        </w:rPr>
        <w:t xml:space="preserve">EXCEL International Journal of Multidisciplinary Management Studies, 3 </w:t>
      </w:r>
      <w:r w:rsidRPr="0062646A">
        <w:rPr>
          <w:color w:val="000000"/>
          <w:sz w:val="19"/>
          <w:szCs w:val="19"/>
          <w:highlight w:val="white"/>
        </w:rPr>
        <w:t>(11). https://www.researchgate.net/publication/281630073_emotional_intelligence_buffers_stress_a_study_on_emotional_intelligence_and_coping_styles</w:t>
      </w:r>
    </w:p>
    <w:p w14:paraId="00000540" w14:textId="77777777" w:rsidR="00421882" w:rsidRPr="0062646A" w:rsidRDefault="00363292">
      <w:pPr>
        <w:pBdr>
          <w:top w:val="nil"/>
          <w:left w:val="nil"/>
          <w:bottom w:val="nil"/>
          <w:right w:val="nil"/>
          <w:between w:val="nil"/>
        </w:pBdr>
        <w:spacing w:after="0" w:line="240" w:lineRule="auto"/>
        <w:ind w:left="567" w:hanging="567"/>
        <w:rPr>
          <w:sz w:val="19"/>
          <w:szCs w:val="19"/>
        </w:rPr>
      </w:pPr>
      <w:proofErr w:type="spellStart"/>
      <w:r w:rsidRPr="0062646A">
        <w:rPr>
          <w:color w:val="000000"/>
          <w:sz w:val="19"/>
          <w:szCs w:val="19"/>
        </w:rPr>
        <w:t>Humensky</w:t>
      </w:r>
      <w:proofErr w:type="spellEnd"/>
      <w:r w:rsidRPr="0062646A">
        <w:rPr>
          <w:color w:val="000000"/>
          <w:sz w:val="19"/>
          <w:szCs w:val="19"/>
        </w:rPr>
        <w:t xml:space="preserve">, J., </w:t>
      </w:r>
      <w:proofErr w:type="spellStart"/>
      <w:r w:rsidRPr="0062646A">
        <w:rPr>
          <w:color w:val="000000"/>
          <w:sz w:val="19"/>
          <w:szCs w:val="19"/>
        </w:rPr>
        <w:t>Kuwabara</w:t>
      </w:r>
      <w:proofErr w:type="spellEnd"/>
      <w:r w:rsidRPr="0062646A">
        <w:rPr>
          <w:color w:val="000000"/>
          <w:sz w:val="19"/>
          <w:szCs w:val="19"/>
        </w:rPr>
        <w:t xml:space="preserve">, S. A., Fogel, J., Wells, C., Goodwin, B., &amp; Van Voorhees, B. W. (2010). Adolescents with depressive symptoms and their challenges with learning in school. </w:t>
      </w:r>
      <w:r w:rsidRPr="0062646A">
        <w:rPr>
          <w:i/>
          <w:color w:val="000000"/>
          <w:sz w:val="19"/>
          <w:szCs w:val="19"/>
        </w:rPr>
        <w:t xml:space="preserve">The Journal of School Nursing: the Official Publication of the National Association of School Nurses, </w:t>
      </w:r>
      <w:r w:rsidRPr="0062646A">
        <w:rPr>
          <w:color w:val="000000"/>
          <w:sz w:val="19"/>
          <w:szCs w:val="19"/>
        </w:rPr>
        <w:t xml:space="preserve">265, 377–392. </w:t>
      </w:r>
      <w:hyperlink r:id="rId11">
        <w:r w:rsidRPr="0062646A">
          <w:rPr>
            <w:color w:val="000000"/>
            <w:sz w:val="19"/>
            <w:szCs w:val="19"/>
            <w:highlight w:val="white"/>
          </w:rPr>
          <w:t>10.1177/1059840510376515</w:t>
        </w:r>
      </w:hyperlink>
    </w:p>
    <w:p w14:paraId="00000541"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sz w:val="19"/>
          <w:szCs w:val="19"/>
        </w:rPr>
        <w:t xml:space="preserve">Kaiser, H. F. (1974). An index of factorial simplicity. </w:t>
      </w:r>
      <w:r w:rsidRPr="0062646A">
        <w:rPr>
          <w:i/>
          <w:sz w:val="19"/>
          <w:szCs w:val="19"/>
        </w:rPr>
        <w:t>Psychometrika</w:t>
      </w:r>
      <w:r w:rsidRPr="0062646A">
        <w:rPr>
          <w:sz w:val="19"/>
          <w:szCs w:val="19"/>
        </w:rPr>
        <w:t>, 39, 31–36.</w:t>
      </w:r>
    </w:p>
    <w:p w14:paraId="00000542" w14:textId="77777777" w:rsidR="00421882" w:rsidRPr="0062646A" w:rsidRDefault="00363292">
      <w:pPr>
        <w:pBdr>
          <w:top w:val="nil"/>
          <w:left w:val="nil"/>
          <w:bottom w:val="nil"/>
          <w:right w:val="nil"/>
          <w:between w:val="nil"/>
        </w:pBdr>
        <w:spacing w:after="0" w:line="240" w:lineRule="auto"/>
        <w:ind w:left="567" w:hanging="567"/>
        <w:jc w:val="both"/>
        <w:rPr>
          <w:color w:val="000000"/>
          <w:sz w:val="19"/>
          <w:szCs w:val="19"/>
        </w:rPr>
      </w:pPr>
      <w:r w:rsidRPr="0062646A">
        <w:rPr>
          <w:color w:val="000000"/>
          <w:sz w:val="19"/>
          <w:szCs w:val="19"/>
        </w:rPr>
        <w:t xml:space="preserve">Kaiser, H. F., &amp; Rice, J. (1974). Little jiffy, mark IV. </w:t>
      </w:r>
      <w:r w:rsidRPr="0062646A">
        <w:rPr>
          <w:i/>
          <w:color w:val="000000"/>
          <w:sz w:val="19"/>
          <w:szCs w:val="19"/>
        </w:rPr>
        <w:t>Educational and psychological measurement</w:t>
      </w:r>
      <w:r w:rsidRPr="0062646A">
        <w:rPr>
          <w:color w:val="000000"/>
          <w:sz w:val="19"/>
          <w:szCs w:val="19"/>
        </w:rPr>
        <w:t xml:space="preserve">, </w:t>
      </w:r>
      <w:r w:rsidRPr="0062646A">
        <w:rPr>
          <w:i/>
          <w:color w:val="000000"/>
          <w:sz w:val="19"/>
          <w:szCs w:val="19"/>
        </w:rPr>
        <w:t>34</w:t>
      </w:r>
      <w:r w:rsidRPr="0062646A">
        <w:rPr>
          <w:color w:val="000000"/>
          <w:sz w:val="19"/>
          <w:szCs w:val="19"/>
        </w:rPr>
        <w:t xml:space="preserve"> (1), 111-117.</w:t>
      </w:r>
    </w:p>
    <w:p w14:paraId="00000543"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proofErr w:type="spellStart"/>
      <w:r w:rsidRPr="0062646A">
        <w:rPr>
          <w:color w:val="000000"/>
          <w:sz w:val="19"/>
          <w:szCs w:val="19"/>
          <w:highlight w:val="white"/>
        </w:rPr>
        <w:t>Kecojevic</w:t>
      </w:r>
      <w:proofErr w:type="spellEnd"/>
      <w:r w:rsidRPr="0062646A">
        <w:rPr>
          <w:color w:val="000000"/>
          <w:sz w:val="19"/>
          <w:szCs w:val="19"/>
          <w:highlight w:val="white"/>
        </w:rPr>
        <w:t xml:space="preserve">, A., </w:t>
      </w:r>
      <w:proofErr w:type="spellStart"/>
      <w:r w:rsidRPr="0062646A">
        <w:rPr>
          <w:color w:val="000000"/>
          <w:sz w:val="19"/>
          <w:szCs w:val="19"/>
          <w:highlight w:val="white"/>
        </w:rPr>
        <w:t>Basch</w:t>
      </w:r>
      <w:proofErr w:type="spellEnd"/>
      <w:r w:rsidRPr="0062646A">
        <w:rPr>
          <w:color w:val="000000"/>
          <w:sz w:val="19"/>
          <w:szCs w:val="19"/>
          <w:highlight w:val="white"/>
        </w:rPr>
        <w:t xml:space="preserve">, C. H., Sullivan, M., &amp; </w:t>
      </w:r>
      <w:proofErr w:type="spellStart"/>
      <w:r w:rsidRPr="0062646A">
        <w:rPr>
          <w:color w:val="000000"/>
          <w:sz w:val="19"/>
          <w:szCs w:val="19"/>
          <w:highlight w:val="white"/>
        </w:rPr>
        <w:t>Davi</w:t>
      </w:r>
      <w:proofErr w:type="spellEnd"/>
      <w:r w:rsidRPr="0062646A">
        <w:rPr>
          <w:color w:val="000000"/>
          <w:sz w:val="19"/>
          <w:szCs w:val="19"/>
          <w:highlight w:val="white"/>
        </w:rPr>
        <w:t xml:space="preserve">, N. K. (2020) The impact of the COVID-19 epidemic on mental health of undergraduate students in New Jersey, cross-sectional study. </w:t>
      </w:r>
      <w:proofErr w:type="spellStart"/>
      <w:r w:rsidRPr="0062646A">
        <w:rPr>
          <w:i/>
          <w:color w:val="000000"/>
          <w:sz w:val="19"/>
          <w:szCs w:val="19"/>
          <w:highlight w:val="white"/>
        </w:rPr>
        <w:t>PLoS</w:t>
      </w:r>
      <w:proofErr w:type="spellEnd"/>
      <w:r w:rsidRPr="0062646A">
        <w:rPr>
          <w:i/>
          <w:color w:val="000000"/>
          <w:sz w:val="19"/>
          <w:szCs w:val="19"/>
          <w:highlight w:val="white"/>
        </w:rPr>
        <w:t xml:space="preserve"> ONE</w:t>
      </w:r>
      <w:r w:rsidRPr="0062646A">
        <w:rPr>
          <w:color w:val="000000"/>
          <w:sz w:val="19"/>
          <w:szCs w:val="19"/>
          <w:highlight w:val="white"/>
        </w:rPr>
        <w:t xml:space="preserve"> 15(9): e0239696. </w:t>
      </w:r>
      <w:hyperlink r:id="rId12">
        <w:r w:rsidRPr="0062646A">
          <w:rPr>
            <w:color w:val="000000"/>
            <w:sz w:val="19"/>
            <w:szCs w:val="19"/>
            <w:highlight w:val="white"/>
          </w:rPr>
          <w:t>https://doi.org/10.1371/journal.pone.0239696</w:t>
        </w:r>
      </w:hyperlink>
    </w:p>
    <w:p w14:paraId="00000544"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Kraag</w:t>
      </w:r>
      <w:proofErr w:type="spellEnd"/>
      <w:r w:rsidRPr="0062646A">
        <w:rPr>
          <w:color w:val="000000"/>
          <w:sz w:val="19"/>
          <w:szCs w:val="19"/>
        </w:rPr>
        <w:t xml:space="preserve">, G., </w:t>
      </w:r>
      <w:proofErr w:type="spellStart"/>
      <w:r w:rsidRPr="0062646A">
        <w:rPr>
          <w:color w:val="000000"/>
          <w:sz w:val="19"/>
          <w:szCs w:val="19"/>
        </w:rPr>
        <w:t>Zeegers</w:t>
      </w:r>
      <w:proofErr w:type="spellEnd"/>
      <w:r w:rsidRPr="0062646A">
        <w:rPr>
          <w:color w:val="000000"/>
          <w:sz w:val="19"/>
          <w:szCs w:val="19"/>
        </w:rPr>
        <w:t xml:space="preserve">, M. P., </w:t>
      </w:r>
      <w:proofErr w:type="spellStart"/>
      <w:r w:rsidRPr="0062646A">
        <w:rPr>
          <w:color w:val="000000"/>
          <w:sz w:val="19"/>
          <w:szCs w:val="19"/>
        </w:rPr>
        <w:t>Kok</w:t>
      </w:r>
      <w:proofErr w:type="spellEnd"/>
      <w:r w:rsidRPr="0062646A">
        <w:rPr>
          <w:color w:val="000000"/>
          <w:sz w:val="19"/>
          <w:szCs w:val="19"/>
        </w:rPr>
        <w:t xml:space="preserve">, G., </w:t>
      </w:r>
      <w:proofErr w:type="spellStart"/>
      <w:r w:rsidRPr="0062646A">
        <w:rPr>
          <w:color w:val="000000"/>
          <w:sz w:val="19"/>
          <w:szCs w:val="19"/>
        </w:rPr>
        <w:t>Hosman</w:t>
      </w:r>
      <w:proofErr w:type="spellEnd"/>
      <w:r w:rsidRPr="0062646A">
        <w:rPr>
          <w:color w:val="000000"/>
          <w:sz w:val="19"/>
          <w:szCs w:val="19"/>
        </w:rPr>
        <w:t xml:space="preserve">, C., &amp; Abu-Saad, H. H. (2006). School programs targeting stress management in children and adolescents: A meta-analysis. </w:t>
      </w:r>
      <w:r w:rsidRPr="0062646A">
        <w:rPr>
          <w:i/>
          <w:color w:val="000000"/>
          <w:sz w:val="19"/>
          <w:szCs w:val="19"/>
        </w:rPr>
        <w:t>Journal of School Psychology,</w:t>
      </w:r>
      <w:r w:rsidRPr="0062646A">
        <w:rPr>
          <w:color w:val="000000"/>
          <w:sz w:val="19"/>
          <w:szCs w:val="19"/>
        </w:rPr>
        <w:t xml:space="preserve"> 44(6), 449–472. http://www.sciencedirect.com/science/article/pii/S0022440506000690</w:t>
      </w:r>
    </w:p>
    <w:p w14:paraId="00000545"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rPr>
        <w:t xml:space="preserve">Leonard, N. R., </w:t>
      </w:r>
      <w:proofErr w:type="spellStart"/>
      <w:r w:rsidRPr="0062646A">
        <w:rPr>
          <w:color w:val="000000"/>
          <w:sz w:val="19"/>
          <w:szCs w:val="19"/>
        </w:rPr>
        <w:t>Gwadz</w:t>
      </w:r>
      <w:proofErr w:type="spellEnd"/>
      <w:r w:rsidRPr="0062646A">
        <w:rPr>
          <w:color w:val="000000"/>
          <w:sz w:val="19"/>
          <w:szCs w:val="19"/>
        </w:rPr>
        <w:t xml:space="preserve">, M. V., Ritchie, A., </w:t>
      </w:r>
      <w:proofErr w:type="spellStart"/>
      <w:r w:rsidRPr="0062646A">
        <w:rPr>
          <w:color w:val="000000"/>
          <w:sz w:val="19"/>
          <w:szCs w:val="19"/>
        </w:rPr>
        <w:t>Linick</w:t>
      </w:r>
      <w:proofErr w:type="spellEnd"/>
      <w:r w:rsidRPr="0062646A">
        <w:rPr>
          <w:color w:val="000000"/>
          <w:sz w:val="19"/>
          <w:szCs w:val="19"/>
        </w:rPr>
        <w:t xml:space="preserve">, J. L., Cleland, C. M., Elliott, L., &amp; </w:t>
      </w:r>
      <w:proofErr w:type="spellStart"/>
      <w:r w:rsidRPr="0062646A">
        <w:rPr>
          <w:color w:val="000000"/>
          <w:sz w:val="19"/>
          <w:szCs w:val="19"/>
        </w:rPr>
        <w:t>Grethel</w:t>
      </w:r>
      <w:proofErr w:type="spellEnd"/>
      <w:r w:rsidRPr="0062646A">
        <w:rPr>
          <w:color w:val="000000"/>
          <w:sz w:val="19"/>
          <w:szCs w:val="19"/>
        </w:rPr>
        <w:t xml:space="preserve">, M. (2015). A multi-method exploratory study of stress, coping, and substance use among high school youth in private schools. </w:t>
      </w:r>
      <w:r w:rsidRPr="0062646A">
        <w:rPr>
          <w:i/>
          <w:color w:val="000000"/>
          <w:sz w:val="19"/>
          <w:szCs w:val="19"/>
        </w:rPr>
        <w:t>Frontiers in Psychology</w:t>
      </w:r>
      <w:r w:rsidRPr="0062646A">
        <w:rPr>
          <w:color w:val="000000"/>
          <w:sz w:val="19"/>
          <w:szCs w:val="19"/>
        </w:rPr>
        <w:t xml:space="preserve">, 6, ARTN 1028. </w:t>
      </w:r>
      <w:hyperlink r:id="rId13">
        <w:r w:rsidRPr="0062646A">
          <w:rPr>
            <w:color w:val="000000"/>
            <w:sz w:val="19"/>
            <w:szCs w:val="19"/>
            <w:highlight w:val="white"/>
          </w:rPr>
          <w:t>10.3389/fpsyg.2015.01028</w:t>
        </w:r>
      </w:hyperlink>
    </w:p>
    <w:p w14:paraId="00000546"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Martin, P.R. (2016). Stress and primary headache: Review of the research and clinical management. </w:t>
      </w:r>
      <w:r w:rsidRPr="0062646A">
        <w:rPr>
          <w:i/>
          <w:color w:val="000000"/>
          <w:sz w:val="19"/>
          <w:szCs w:val="19"/>
          <w:highlight w:val="white"/>
        </w:rPr>
        <w:t>Current Pain and Headaches Report</w:t>
      </w:r>
      <w:r w:rsidRPr="0062646A">
        <w:rPr>
          <w:color w:val="000000"/>
          <w:sz w:val="19"/>
          <w:szCs w:val="19"/>
          <w:highlight w:val="white"/>
        </w:rPr>
        <w:t xml:space="preserve"> 20, 45. https://doi.org/10.1007/s11916-016-0576-6</w:t>
      </w:r>
    </w:p>
    <w:p w14:paraId="00000547"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proofErr w:type="spellStart"/>
      <w:r w:rsidRPr="0062646A">
        <w:rPr>
          <w:color w:val="000000"/>
          <w:sz w:val="19"/>
          <w:szCs w:val="19"/>
        </w:rPr>
        <w:t>Moawad</w:t>
      </w:r>
      <w:proofErr w:type="spellEnd"/>
      <w:r w:rsidRPr="0062646A">
        <w:rPr>
          <w:color w:val="000000"/>
          <w:sz w:val="19"/>
          <w:szCs w:val="19"/>
        </w:rPr>
        <w:t xml:space="preserve">, R. A. (2020). Online learning during the COVID-19 pandemic and academic stress in university students. </w:t>
      </w:r>
      <w:proofErr w:type="spellStart"/>
      <w:r w:rsidRPr="0062646A">
        <w:rPr>
          <w:i/>
          <w:color w:val="000000"/>
          <w:sz w:val="19"/>
          <w:szCs w:val="19"/>
        </w:rPr>
        <w:t>Revista</w:t>
      </w:r>
      <w:proofErr w:type="spellEnd"/>
      <w:r w:rsidRPr="0062646A">
        <w:rPr>
          <w:i/>
          <w:color w:val="000000"/>
          <w:sz w:val="19"/>
          <w:szCs w:val="19"/>
        </w:rPr>
        <w:t xml:space="preserve"> </w:t>
      </w:r>
      <w:proofErr w:type="spellStart"/>
      <w:r w:rsidRPr="0062646A">
        <w:rPr>
          <w:i/>
          <w:color w:val="000000"/>
          <w:sz w:val="19"/>
          <w:szCs w:val="19"/>
        </w:rPr>
        <w:t>Romaneasca</w:t>
      </w:r>
      <w:proofErr w:type="spellEnd"/>
      <w:r w:rsidRPr="0062646A">
        <w:rPr>
          <w:i/>
          <w:color w:val="000000"/>
          <w:sz w:val="19"/>
          <w:szCs w:val="19"/>
        </w:rPr>
        <w:t xml:space="preserve"> </w:t>
      </w:r>
      <w:proofErr w:type="spellStart"/>
      <w:r w:rsidRPr="0062646A">
        <w:rPr>
          <w:i/>
          <w:color w:val="000000"/>
          <w:sz w:val="19"/>
          <w:szCs w:val="19"/>
        </w:rPr>
        <w:t>pentru</w:t>
      </w:r>
      <w:proofErr w:type="spellEnd"/>
      <w:r w:rsidRPr="0062646A">
        <w:rPr>
          <w:i/>
          <w:color w:val="000000"/>
          <w:sz w:val="19"/>
          <w:szCs w:val="19"/>
        </w:rPr>
        <w:t xml:space="preserve"> </w:t>
      </w:r>
      <w:proofErr w:type="spellStart"/>
      <w:r w:rsidRPr="0062646A">
        <w:rPr>
          <w:i/>
          <w:color w:val="000000"/>
          <w:sz w:val="19"/>
          <w:szCs w:val="19"/>
        </w:rPr>
        <w:t>Educatie</w:t>
      </w:r>
      <w:proofErr w:type="spellEnd"/>
      <w:r w:rsidRPr="0062646A">
        <w:rPr>
          <w:i/>
          <w:color w:val="000000"/>
          <w:sz w:val="19"/>
          <w:szCs w:val="19"/>
        </w:rPr>
        <w:t xml:space="preserve"> </w:t>
      </w:r>
      <w:proofErr w:type="spellStart"/>
      <w:r w:rsidRPr="0062646A">
        <w:rPr>
          <w:i/>
          <w:color w:val="000000"/>
          <w:sz w:val="19"/>
          <w:szCs w:val="19"/>
        </w:rPr>
        <w:t>Multidimensionala</w:t>
      </w:r>
      <w:proofErr w:type="spellEnd"/>
      <w:r w:rsidRPr="0062646A">
        <w:rPr>
          <w:color w:val="000000"/>
          <w:sz w:val="19"/>
          <w:szCs w:val="19"/>
        </w:rPr>
        <w:t xml:space="preserve">, </w:t>
      </w:r>
      <w:r w:rsidRPr="0062646A">
        <w:rPr>
          <w:i/>
          <w:color w:val="000000"/>
          <w:sz w:val="19"/>
          <w:szCs w:val="19"/>
        </w:rPr>
        <w:t>12</w:t>
      </w:r>
      <w:r w:rsidRPr="0062646A">
        <w:rPr>
          <w:color w:val="000000"/>
          <w:sz w:val="19"/>
          <w:szCs w:val="19"/>
        </w:rPr>
        <w:t xml:space="preserve">(1). </w:t>
      </w:r>
      <w:r w:rsidRPr="0062646A">
        <w:rPr>
          <w:color w:val="000000"/>
          <w:sz w:val="19"/>
          <w:szCs w:val="19"/>
          <w:highlight w:val="white"/>
        </w:rPr>
        <w:t>https://doi.org/10.18662/rrem/12.1sup2/ </w:t>
      </w:r>
    </w:p>
    <w:p w14:paraId="00000548"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rPr>
        <w:t xml:space="preserve">Okoro, E. (2018). </w:t>
      </w:r>
      <w:r w:rsidRPr="0062646A">
        <w:rPr>
          <w:i/>
          <w:color w:val="000000"/>
          <w:sz w:val="19"/>
          <w:szCs w:val="19"/>
        </w:rPr>
        <w:t xml:space="preserve">Assessment of stress related issues and coping mechanisms among college students. </w:t>
      </w:r>
      <w:r w:rsidRPr="0062646A">
        <w:rPr>
          <w:color w:val="000000"/>
          <w:sz w:val="19"/>
          <w:szCs w:val="19"/>
        </w:rPr>
        <w:t xml:space="preserve">[Master’s thesis, Minnesota State University]. </w:t>
      </w:r>
      <w:r w:rsidRPr="0062646A">
        <w:rPr>
          <w:color w:val="000000"/>
          <w:sz w:val="19"/>
          <w:szCs w:val="19"/>
          <w:highlight w:val="white"/>
        </w:rPr>
        <w:t>Cornerstone. https://cornerstone.lib.mnsu.edu/etds/825</w:t>
      </w:r>
    </w:p>
    <w:p w14:paraId="00000549"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lastRenderedPageBreak/>
        <w:t xml:space="preserve">Pascoe, M. C.,  Hetrick, S. E., &amp; Parker, A. G. (2019). The impact of stress on students in secondary school and higher education. </w:t>
      </w:r>
      <w:r w:rsidRPr="0062646A">
        <w:rPr>
          <w:i/>
          <w:color w:val="000000"/>
          <w:sz w:val="19"/>
          <w:szCs w:val="19"/>
        </w:rPr>
        <w:t>International Journal of Adolescence and Youth</w:t>
      </w:r>
      <w:r w:rsidRPr="0062646A">
        <w:rPr>
          <w:color w:val="000000"/>
          <w:sz w:val="19"/>
          <w:szCs w:val="19"/>
        </w:rPr>
        <w:t>. 10.1080/02673843.2019.1596823</w:t>
      </w:r>
    </w:p>
    <w:p w14:paraId="0000054A"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 xml:space="preserve">Peters, A., McEwen, B., &amp; </w:t>
      </w:r>
      <w:proofErr w:type="spellStart"/>
      <w:r w:rsidRPr="0062646A">
        <w:rPr>
          <w:color w:val="000000"/>
          <w:sz w:val="19"/>
          <w:szCs w:val="19"/>
        </w:rPr>
        <w:t>Friston</w:t>
      </w:r>
      <w:proofErr w:type="spellEnd"/>
      <w:r w:rsidRPr="0062646A">
        <w:rPr>
          <w:color w:val="000000"/>
          <w:sz w:val="19"/>
          <w:szCs w:val="19"/>
        </w:rPr>
        <w:t xml:space="preserve">, K. (2017). Uncertainty and stress: Why it </w:t>
      </w:r>
      <w:proofErr w:type="gramStart"/>
      <w:r w:rsidRPr="0062646A">
        <w:rPr>
          <w:color w:val="000000"/>
          <w:sz w:val="19"/>
          <w:szCs w:val="19"/>
        </w:rPr>
        <w:t>causes</w:t>
      </w:r>
      <w:proofErr w:type="gramEnd"/>
      <w:r w:rsidRPr="0062646A">
        <w:rPr>
          <w:color w:val="000000"/>
          <w:sz w:val="19"/>
          <w:szCs w:val="19"/>
        </w:rPr>
        <w:t xml:space="preserve"> diseases and how it is mastered by the brain. </w:t>
      </w:r>
      <w:r w:rsidRPr="0062646A">
        <w:rPr>
          <w:i/>
          <w:color w:val="000000"/>
          <w:sz w:val="19"/>
          <w:szCs w:val="19"/>
        </w:rPr>
        <w:t>Progress in Neurobiology</w:t>
      </w:r>
      <w:r w:rsidRPr="0062646A">
        <w:rPr>
          <w:color w:val="000000"/>
          <w:sz w:val="19"/>
          <w:szCs w:val="19"/>
        </w:rPr>
        <w:t xml:space="preserve">, </w:t>
      </w:r>
      <w:r w:rsidRPr="0062646A">
        <w:rPr>
          <w:i/>
          <w:color w:val="000000"/>
          <w:sz w:val="19"/>
          <w:szCs w:val="19"/>
        </w:rPr>
        <w:t>156</w:t>
      </w:r>
      <w:r w:rsidRPr="0062646A">
        <w:rPr>
          <w:color w:val="000000"/>
          <w:sz w:val="19"/>
          <w:szCs w:val="19"/>
        </w:rPr>
        <w:t xml:space="preserve">, 164-188. </w:t>
      </w:r>
      <w:hyperlink r:id="rId14">
        <w:r w:rsidRPr="0062646A">
          <w:rPr>
            <w:color w:val="000000"/>
            <w:sz w:val="19"/>
            <w:szCs w:val="19"/>
          </w:rPr>
          <w:t>https://doi.org/10.1016/j.pneurobio.2017.05.004</w:t>
        </w:r>
      </w:hyperlink>
    </w:p>
    <w:p w14:paraId="0000054B"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highlight w:val="white"/>
        </w:rPr>
        <w:t>Putnick</w:t>
      </w:r>
      <w:proofErr w:type="spellEnd"/>
      <w:r w:rsidRPr="0062646A">
        <w:rPr>
          <w:color w:val="000000"/>
          <w:sz w:val="19"/>
          <w:szCs w:val="19"/>
          <w:highlight w:val="white"/>
        </w:rPr>
        <w:t xml:space="preserve">, D. L., &amp; Bornstein, M. H. (2016). Measurement invariance conventions and reporting: The state of the art and future directions for psychological research. </w:t>
      </w:r>
      <w:r w:rsidRPr="0062646A">
        <w:rPr>
          <w:i/>
          <w:color w:val="000000"/>
          <w:sz w:val="19"/>
          <w:szCs w:val="19"/>
          <w:highlight w:val="white"/>
        </w:rPr>
        <w:t xml:space="preserve">Development Review, </w:t>
      </w:r>
      <w:r w:rsidRPr="0062646A">
        <w:rPr>
          <w:color w:val="000000"/>
          <w:sz w:val="19"/>
          <w:szCs w:val="19"/>
          <w:highlight w:val="white"/>
        </w:rPr>
        <w:t xml:space="preserve">41, 71-90. </w:t>
      </w:r>
      <w:r w:rsidRPr="0062646A">
        <w:rPr>
          <w:color w:val="000000"/>
          <w:sz w:val="19"/>
          <w:szCs w:val="19"/>
        </w:rPr>
        <w:t>http://dx.doi.org/10.1016/j.dr.2016.06.004</w:t>
      </w:r>
    </w:p>
    <w:p w14:paraId="0000054C"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Robinson, A. M. (2018). </w:t>
      </w:r>
      <w:proofErr w:type="gramStart"/>
      <w:r w:rsidRPr="0062646A">
        <w:rPr>
          <w:color w:val="000000"/>
          <w:sz w:val="19"/>
          <w:szCs w:val="19"/>
          <w:highlight w:val="white"/>
        </w:rPr>
        <w:t>Let’s</w:t>
      </w:r>
      <w:proofErr w:type="gramEnd"/>
      <w:r w:rsidRPr="0062646A">
        <w:rPr>
          <w:color w:val="000000"/>
          <w:sz w:val="19"/>
          <w:szCs w:val="19"/>
          <w:highlight w:val="white"/>
        </w:rPr>
        <w:t xml:space="preserve"> Talk about Stress: History of Stress Research. </w:t>
      </w:r>
      <w:r w:rsidRPr="0062646A">
        <w:rPr>
          <w:i/>
          <w:color w:val="000000"/>
          <w:sz w:val="19"/>
          <w:szCs w:val="19"/>
          <w:highlight w:val="white"/>
        </w:rPr>
        <w:t>Review of General Psychology</w:t>
      </w:r>
      <w:r w:rsidRPr="0062646A">
        <w:rPr>
          <w:color w:val="000000"/>
          <w:sz w:val="19"/>
          <w:szCs w:val="19"/>
          <w:highlight w:val="white"/>
        </w:rPr>
        <w:t xml:space="preserve">, </w:t>
      </w:r>
      <w:r w:rsidRPr="0062646A">
        <w:rPr>
          <w:i/>
          <w:color w:val="000000"/>
          <w:sz w:val="19"/>
          <w:szCs w:val="19"/>
          <w:highlight w:val="white"/>
        </w:rPr>
        <w:t>22</w:t>
      </w:r>
      <w:r w:rsidRPr="0062646A">
        <w:rPr>
          <w:color w:val="000000"/>
          <w:sz w:val="19"/>
          <w:szCs w:val="19"/>
          <w:highlight w:val="white"/>
        </w:rPr>
        <w:t xml:space="preserve">(3), 1-9. </w:t>
      </w:r>
      <w:hyperlink r:id="rId15">
        <w:r w:rsidRPr="0062646A">
          <w:rPr>
            <w:color w:val="000000"/>
            <w:sz w:val="19"/>
            <w:szCs w:val="19"/>
            <w:highlight w:val="white"/>
          </w:rPr>
          <w:t>https://doi.org/10.1037/gpr0000137</w:t>
        </w:r>
      </w:hyperlink>
    </w:p>
    <w:p w14:paraId="0000054D" w14:textId="77777777" w:rsidR="00421882" w:rsidRPr="0062646A" w:rsidRDefault="00363292">
      <w:pPr>
        <w:pBdr>
          <w:top w:val="nil"/>
          <w:left w:val="nil"/>
          <w:bottom w:val="nil"/>
          <w:right w:val="nil"/>
          <w:between w:val="nil"/>
        </w:pBdr>
        <w:spacing w:after="0" w:line="240" w:lineRule="auto"/>
        <w:ind w:left="567" w:hanging="567"/>
        <w:jc w:val="both"/>
        <w:rPr>
          <w:color w:val="000000"/>
          <w:sz w:val="19"/>
          <w:szCs w:val="19"/>
          <w:highlight w:val="white"/>
          <w:u w:val="single"/>
        </w:rPr>
      </w:pPr>
      <w:r w:rsidRPr="0062646A">
        <w:rPr>
          <w:color w:val="000000"/>
          <w:sz w:val="19"/>
          <w:szCs w:val="19"/>
          <w:highlight w:val="white"/>
        </w:rPr>
        <w:t>Rodrigues, I.B., Adachi, J.D., Beattie, K.A. </w:t>
      </w:r>
      <w:r w:rsidRPr="0062646A">
        <w:rPr>
          <w:i/>
          <w:color w:val="000000"/>
          <w:sz w:val="19"/>
          <w:szCs w:val="19"/>
          <w:highlight w:val="white"/>
        </w:rPr>
        <w:t>et al.</w:t>
      </w:r>
      <w:r w:rsidRPr="0062646A">
        <w:rPr>
          <w:color w:val="000000"/>
          <w:sz w:val="19"/>
          <w:szCs w:val="19"/>
          <w:highlight w:val="white"/>
        </w:rPr>
        <w:t xml:space="preserve"> (2017). Development and validation of a new tool to measure the facilitators, </w:t>
      </w:r>
      <w:proofErr w:type="gramStart"/>
      <w:r w:rsidRPr="0062646A">
        <w:rPr>
          <w:color w:val="000000"/>
          <w:sz w:val="19"/>
          <w:szCs w:val="19"/>
          <w:highlight w:val="white"/>
        </w:rPr>
        <w:t>barriers</w:t>
      </w:r>
      <w:proofErr w:type="gramEnd"/>
      <w:r w:rsidRPr="0062646A">
        <w:rPr>
          <w:color w:val="000000"/>
          <w:sz w:val="19"/>
          <w:szCs w:val="19"/>
          <w:highlight w:val="white"/>
        </w:rPr>
        <w:t xml:space="preserve"> and preferences to exercise in people with osteoporosis. </w:t>
      </w:r>
      <w:r w:rsidRPr="0062646A">
        <w:rPr>
          <w:i/>
          <w:color w:val="000000"/>
          <w:sz w:val="19"/>
          <w:szCs w:val="19"/>
          <w:highlight w:val="white"/>
        </w:rPr>
        <w:t xml:space="preserve">BMC </w:t>
      </w:r>
      <w:proofErr w:type="spellStart"/>
      <w:r w:rsidRPr="0062646A">
        <w:rPr>
          <w:i/>
          <w:color w:val="000000"/>
          <w:sz w:val="19"/>
          <w:szCs w:val="19"/>
          <w:highlight w:val="white"/>
        </w:rPr>
        <w:t>Musculoskelet</w:t>
      </w:r>
      <w:proofErr w:type="spellEnd"/>
      <w:r w:rsidRPr="0062646A">
        <w:rPr>
          <w:i/>
          <w:color w:val="000000"/>
          <w:sz w:val="19"/>
          <w:szCs w:val="19"/>
          <w:highlight w:val="white"/>
        </w:rPr>
        <w:t xml:space="preserve"> </w:t>
      </w:r>
      <w:proofErr w:type="spellStart"/>
      <w:r w:rsidRPr="0062646A">
        <w:rPr>
          <w:i/>
          <w:color w:val="000000"/>
          <w:sz w:val="19"/>
          <w:szCs w:val="19"/>
          <w:highlight w:val="white"/>
        </w:rPr>
        <w:t>Disord</w:t>
      </w:r>
      <w:proofErr w:type="spellEnd"/>
      <w:r w:rsidRPr="0062646A">
        <w:rPr>
          <w:color w:val="000000"/>
          <w:sz w:val="19"/>
          <w:szCs w:val="19"/>
          <w:highlight w:val="white"/>
        </w:rPr>
        <w:t> 18</w:t>
      </w:r>
      <w:r w:rsidRPr="0062646A">
        <w:rPr>
          <w:b/>
          <w:color w:val="000000"/>
          <w:sz w:val="19"/>
          <w:szCs w:val="19"/>
          <w:highlight w:val="white"/>
        </w:rPr>
        <w:t>, </w:t>
      </w:r>
      <w:r w:rsidRPr="0062646A">
        <w:rPr>
          <w:color w:val="000000"/>
          <w:sz w:val="19"/>
          <w:szCs w:val="19"/>
          <w:highlight w:val="white"/>
        </w:rPr>
        <w:t>540 https://doi.org/10.1186/s12891-017-1914-5</w:t>
      </w:r>
    </w:p>
    <w:p w14:paraId="0000054E"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Rodríguez-Hidalgo, A. J., </w:t>
      </w:r>
      <w:proofErr w:type="spellStart"/>
      <w:r w:rsidRPr="0062646A">
        <w:rPr>
          <w:color w:val="000000"/>
          <w:sz w:val="19"/>
          <w:szCs w:val="19"/>
          <w:highlight w:val="white"/>
        </w:rPr>
        <w:t>Pantaleón</w:t>
      </w:r>
      <w:proofErr w:type="spellEnd"/>
      <w:r w:rsidRPr="0062646A">
        <w:rPr>
          <w:color w:val="000000"/>
          <w:sz w:val="19"/>
          <w:szCs w:val="19"/>
          <w:highlight w:val="white"/>
        </w:rPr>
        <w:t xml:space="preserve">, Y., Dios, I., &amp; </w:t>
      </w:r>
      <w:proofErr w:type="spellStart"/>
      <w:r w:rsidRPr="0062646A">
        <w:rPr>
          <w:color w:val="000000"/>
          <w:sz w:val="19"/>
          <w:szCs w:val="19"/>
          <w:highlight w:val="white"/>
        </w:rPr>
        <w:t>Falla</w:t>
      </w:r>
      <w:proofErr w:type="spellEnd"/>
      <w:r w:rsidRPr="0062646A">
        <w:rPr>
          <w:color w:val="000000"/>
          <w:sz w:val="19"/>
          <w:szCs w:val="19"/>
          <w:highlight w:val="white"/>
        </w:rPr>
        <w:t xml:space="preserve">, D. (2020). Fear of COVID-19, stress, and anxiety in university undergraduate students: A predictive model for depression. </w:t>
      </w:r>
      <w:r w:rsidRPr="0062646A">
        <w:rPr>
          <w:i/>
          <w:color w:val="000000"/>
          <w:sz w:val="19"/>
          <w:szCs w:val="19"/>
          <w:highlight w:val="white"/>
        </w:rPr>
        <w:t>Frontiers in psychology</w:t>
      </w:r>
      <w:r w:rsidRPr="0062646A">
        <w:rPr>
          <w:color w:val="000000"/>
          <w:sz w:val="19"/>
          <w:szCs w:val="19"/>
          <w:highlight w:val="white"/>
        </w:rPr>
        <w:t xml:space="preserve">, </w:t>
      </w:r>
      <w:r w:rsidRPr="0062646A">
        <w:rPr>
          <w:i/>
          <w:color w:val="000000"/>
          <w:sz w:val="19"/>
          <w:szCs w:val="19"/>
          <w:highlight w:val="white"/>
        </w:rPr>
        <w:t>11</w:t>
      </w:r>
      <w:r w:rsidRPr="0062646A">
        <w:rPr>
          <w:color w:val="000000"/>
          <w:sz w:val="19"/>
          <w:szCs w:val="19"/>
          <w:highlight w:val="white"/>
        </w:rPr>
        <w:t>, 591797. https://doi.org/10.3389/fpsyg.2020.591797</w:t>
      </w:r>
    </w:p>
    <w:p w14:paraId="0000054F" w14:textId="77777777" w:rsidR="00421882" w:rsidRPr="0062646A" w:rsidRDefault="00363292">
      <w:pPr>
        <w:pBdr>
          <w:top w:val="nil"/>
          <w:left w:val="nil"/>
          <w:bottom w:val="nil"/>
          <w:right w:val="nil"/>
          <w:between w:val="nil"/>
        </w:pBdr>
        <w:spacing w:after="0" w:line="240" w:lineRule="auto"/>
        <w:ind w:left="567" w:hanging="567"/>
        <w:rPr>
          <w:sz w:val="19"/>
          <w:szCs w:val="19"/>
        </w:rPr>
      </w:pPr>
      <w:r w:rsidRPr="0062646A">
        <w:rPr>
          <w:sz w:val="19"/>
          <w:szCs w:val="19"/>
        </w:rPr>
        <w:t xml:space="preserve">Salkind, N. J. (2010). Encyclopedia of research design (Vols. 1-0). Thousand Oaks, CA: SAGE Publications, Inc. </w:t>
      </w:r>
      <w:proofErr w:type="spellStart"/>
      <w:r w:rsidRPr="0062646A">
        <w:rPr>
          <w:sz w:val="19"/>
          <w:szCs w:val="19"/>
        </w:rPr>
        <w:t>doi</w:t>
      </w:r>
      <w:proofErr w:type="spellEnd"/>
      <w:r w:rsidRPr="0062646A">
        <w:rPr>
          <w:sz w:val="19"/>
          <w:szCs w:val="19"/>
        </w:rPr>
        <w:t>: 10.4135/9781412961288</w:t>
      </w:r>
    </w:p>
    <w:p w14:paraId="00000550"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 xml:space="preserve">Selye, H. (1976). </w:t>
      </w:r>
      <w:r w:rsidRPr="0062646A">
        <w:rPr>
          <w:i/>
          <w:color w:val="000000"/>
          <w:sz w:val="19"/>
          <w:szCs w:val="19"/>
        </w:rPr>
        <w:t xml:space="preserve">Stress in health and disease. </w:t>
      </w:r>
      <w:r w:rsidRPr="0062646A">
        <w:rPr>
          <w:color w:val="000000"/>
          <w:sz w:val="19"/>
          <w:szCs w:val="19"/>
        </w:rPr>
        <w:t>Butterworth-Heinemann Ltd.</w:t>
      </w:r>
    </w:p>
    <w:p w14:paraId="00000551"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Shahsavarani</w:t>
      </w:r>
      <w:proofErr w:type="spellEnd"/>
      <w:r w:rsidRPr="0062646A">
        <w:rPr>
          <w:color w:val="000000"/>
          <w:sz w:val="19"/>
          <w:szCs w:val="19"/>
        </w:rPr>
        <w:t xml:space="preserve">, A. M., Abadi, E. A. M., &amp; </w:t>
      </w:r>
      <w:proofErr w:type="spellStart"/>
      <w:r w:rsidRPr="0062646A">
        <w:rPr>
          <w:color w:val="000000"/>
          <w:sz w:val="19"/>
          <w:szCs w:val="19"/>
        </w:rPr>
        <w:t>Kalkhoran</w:t>
      </w:r>
      <w:proofErr w:type="spellEnd"/>
      <w:r w:rsidRPr="0062646A">
        <w:rPr>
          <w:color w:val="000000"/>
          <w:sz w:val="19"/>
          <w:szCs w:val="19"/>
        </w:rPr>
        <w:t xml:space="preserve">, M. H. (2015). Stress: Facts and theories through literature review. </w:t>
      </w:r>
      <w:r w:rsidRPr="0062646A">
        <w:rPr>
          <w:i/>
          <w:color w:val="000000"/>
          <w:sz w:val="19"/>
          <w:szCs w:val="19"/>
        </w:rPr>
        <w:t>International Journal of Medical Reviews</w:t>
      </w:r>
      <w:r w:rsidRPr="0062646A">
        <w:rPr>
          <w:color w:val="000000"/>
          <w:sz w:val="19"/>
          <w:szCs w:val="19"/>
        </w:rPr>
        <w:t xml:space="preserve">, </w:t>
      </w:r>
      <w:r w:rsidRPr="0062646A">
        <w:rPr>
          <w:i/>
          <w:color w:val="000000"/>
          <w:sz w:val="19"/>
          <w:szCs w:val="19"/>
        </w:rPr>
        <w:t>2</w:t>
      </w:r>
      <w:r w:rsidRPr="0062646A">
        <w:rPr>
          <w:color w:val="000000"/>
          <w:sz w:val="19"/>
          <w:szCs w:val="19"/>
        </w:rPr>
        <w:t>(2), 230-241. http://www.ijmedrev.com/article_68654_37adc02e9432adfa017b8d6095cb6760.pdf</w:t>
      </w:r>
    </w:p>
    <w:p w14:paraId="00000552"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Shahsavarani</w:t>
      </w:r>
      <w:proofErr w:type="spellEnd"/>
      <w:r w:rsidRPr="0062646A">
        <w:rPr>
          <w:color w:val="000000"/>
          <w:sz w:val="19"/>
          <w:szCs w:val="19"/>
        </w:rPr>
        <w:t xml:space="preserve">, A. M., </w:t>
      </w:r>
      <w:proofErr w:type="spellStart"/>
      <w:r w:rsidRPr="0062646A">
        <w:rPr>
          <w:color w:val="000000"/>
          <w:sz w:val="19"/>
          <w:szCs w:val="19"/>
        </w:rPr>
        <w:t>Ashayeri</w:t>
      </w:r>
      <w:proofErr w:type="spellEnd"/>
      <w:r w:rsidRPr="0062646A">
        <w:rPr>
          <w:color w:val="000000"/>
          <w:sz w:val="19"/>
          <w:szCs w:val="19"/>
        </w:rPr>
        <w:t xml:space="preserve">, H., </w:t>
      </w:r>
      <w:proofErr w:type="spellStart"/>
      <w:r w:rsidRPr="0062646A">
        <w:rPr>
          <w:color w:val="000000"/>
          <w:sz w:val="19"/>
          <w:szCs w:val="19"/>
        </w:rPr>
        <w:t>Lotfian</w:t>
      </w:r>
      <w:proofErr w:type="spellEnd"/>
      <w:r w:rsidRPr="0062646A">
        <w:rPr>
          <w:color w:val="000000"/>
          <w:sz w:val="19"/>
          <w:szCs w:val="19"/>
        </w:rPr>
        <w:t xml:space="preserve">, M., &amp; </w:t>
      </w:r>
      <w:proofErr w:type="spellStart"/>
      <w:r w:rsidRPr="0062646A">
        <w:rPr>
          <w:color w:val="000000"/>
          <w:sz w:val="19"/>
          <w:szCs w:val="19"/>
        </w:rPr>
        <w:t>Sattari</w:t>
      </w:r>
      <w:proofErr w:type="spellEnd"/>
      <w:r w:rsidRPr="0062646A">
        <w:rPr>
          <w:color w:val="000000"/>
          <w:sz w:val="19"/>
          <w:szCs w:val="19"/>
        </w:rPr>
        <w:t xml:space="preserve">, K. (2013). The effects of stress on visual selective attention: The moderating role of personality factors. </w:t>
      </w:r>
      <w:r w:rsidRPr="0062646A">
        <w:rPr>
          <w:i/>
          <w:color w:val="000000"/>
          <w:sz w:val="19"/>
          <w:szCs w:val="19"/>
        </w:rPr>
        <w:t xml:space="preserve">Journal of American Science, </w:t>
      </w:r>
      <w:r w:rsidRPr="0062646A">
        <w:rPr>
          <w:color w:val="000000"/>
          <w:sz w:val="19"/>
          <w:szCs w:val="19"/>
        </w:rPr>
        <w:t>9(6): 1-16. </w:t>
      </w:r>
    </w:p>
    <w:p w14:paraId="00000553"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 xml:space="preserve">Shi, </w:t>
      </w:r>
      <w:proofErr w:type="spellStart"/>
      <w:r w:rsidRPr="0062646A">
        <w:rPr>
          <w:color w:val="000000"/>
          <w:sz w:val="19"/>
          <w:szCs w:val="19"/>
        </w:rPr>
        <w:t>Jingcheng</w:t>
      </w:r>
      <w:proofErr w:type="spellEnd"/>
      <w:r w:rsidRPr="0062646A">
        <w:rPr>
          <w:color w:val="000000"/>
          <w:sz w:val="19"/>
          <w:szCs w:val="19"/>
        </w:rPr>
        <w:t xml:space="preserve"> &amp; Mo, </w:t>
      </w:r>
      <w:proofErr w:type="spellStart"/>
      <w:r w:rsidRPr="0062646A">
        <w:rPr>
          <w:color w:val="000000"/>
          <w:sz w:val="19"/>
          <w:szCs w:val="19"/>
        </w:rPr>
        <w:t>Xiankun</w:t>
      </w:r>
      <w:proofErr w:type="spellEnd"/>
      <w:r w:rsidRPr="0062646A">
        <w:rPr>
          <w:color w:val="000000"/>
          <w:sz w:val="19"/>
          <w:szCs w:val="19"/>
        </w:rPr>
        <w:t xml:space="preserve"> &amp; Sun, </w:t>
      </w:r>
      <w:proofErr w:type="spellStart"/>
      <w:r w:rsidRPr="0062646A">
        <w:rPr>
          <w:color w:val="000000"/>
          <w:sz w:val="19"/>
          <w:szCs w:val="19"/>
        </w:rPr>
        <w:t>Zhenqiu</w:t>
      </w:r>
      <w:proofErr w:type="spellEnd"/>
      <w:r w:rsidRPr="0062646A">
        <w:rPr>
          <w:color w:val="000000"/>
          <w:sz w:val="19"/>
          <w:szCs w:val="19"/>
        </w:rPr>
        <w:t xml:space="preserve">. (2012). Content validity index in scale development. Zhong nan da </w:t>
      </w:r>
      <w:proofErr w:type="spellStart"/>
      <w:r w:rsidRPr="0062646A">
        <w:rPr>
          <w:color w:val="000000"/>
          <w:sz w:val="19"/>
          <w:szCs w:val="19"/>
        </w:rPr>
        <w:t>xue</w:t>
      </w:r>
      <w:proofErr w:type="spellEnd"/>
      <w:r w:rsidRPr="0062646A">
        <w:rPr>
          <w:color w:val="000000"/>
          <w:sz w:val="19"/>
          <w:szCs w:val="19"/>
        </w:rPr>
        <w:t xml:space="preserve"> </w:t>
      </w:r>
      <w:proofErr w:type="spellStart"/>
      <w:r w:rsidRPr="0062646A">
        <w:rPr>
          <w:color w:val="000000"/>
          <w:sz w:val="19"/>
          <w:szCs w:val="19"/>
        </w:rPr>
        <w:t>xue</w:t>
      </w:r>
      <w:proofErr w:type="spellEnd"/>
      <w:r w:rsidRPr="0062646A">
        <w:rPr>
          <w:color w:val="000000"/>
          <w:sz w:val="19"/>
          <w:szCs w:val="19"/>
        </w:rPr>
        <w:t xml:space="preserve"> bao. Yi </w:t>
      </w:r>
      <w:proofErr w:type="spellStart"/>
      <w:r w:rsidRPr="0062646A">
        <w:rPr>
          <w:color w:val="000000"/>
          <w:sz w:val="19"/>
          <w:szCs w:val="19"/>
        </w:rPr>
        <w:t>xue</w:t>
      </w:r>
      <w:proofErr w:type="spellEnd"/>
      <w:r w:rsidRPr="0062646A">
        <w:rPr>
          <w:color w:val="000000"/>
          <w:sz w:val="19"/>
          <w:szCs w:val="19"/>
        </w:rPr>
        <w:t xml:space="preserve"> ban = Journal of Central South University. Medical sciences. 37. 152-5. 10.3969/j.issn.1672-7347.2012.02.007.</w:t>
      </w:r>
    </w:p>
    <w:p w14:paraId="00000554"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Shields, G. S. (2020). Stress and cognition: A user’s guide to designing and interpreting studies. </w:t>
      </w:r>
      <w:proofErr w:type="spellStart"/>
      <w:r w:rsidRPr="0062646A">
        <w:rPr>
          <w:i/>
          <w:color w:val="000000"/>
          <w:sz w:val="19"/>
          <w:szCs w:val="19"/>
          <w:highlight w:val="white"/>
        </w:rPr>
        <w:t>Psychoneuroendocrinology</w:t>
      </w:r>
      <w:proofErr w:type="spellEnd"/>
      <w:r w:rsidRPr="0062646A">
        <w:rPr>
          <w:i/>
          <w:color w:val="000000"/>
          <w:sz w:val="19"/>
          <w:szCs w:val="19"/>
          <w:highlight w:val="white"/>
        </w:rPr>
        <w:t xml:space="preserve">. </w:t>
      </w:r>
      <w:r w:rsidRPr="0062646A">
        <w:rPr>
          <w:color w:val="000000"/>
          <w:sz w:val="19"/>
          <w:szCs w:val="19"/>
          <w:highlight w:val="white"/>
        </w:rPr>
        <w:t>112</w:t>
      </w:r>
      <w:r w:rsidRPr="0062646A">
        <w:rPr>
          <w:i/>
          <w:color w:val="000000"/>
          <w:sz w:val="19"/>
          <w:szCs w:val="19"/>
          <w:highlight w:val="white"/>
        </w:rPr>
        <w:t xml:space="preserve">(2020), </w:t>
      </w:r>
      <w:r w:rsidRPr="0062646A">
        <w:rPr>
          <w:color w:val="000000"/>
          <w:sz w:val="19"/>
          <w:szCs w:val="19"/>
          <w:highlight w:val="white"/>
        </w:rPr>
        <w:t xml:space="preserve">0306-4530. </w:t>
      </w:r>
      <w:hyperlink r:id="rId16">
        <w:r w:rsidRPr="0062646A">
          <w:rPr>
            <w:color w:val="000000"/>
            <w:sz w:val="19"/>
            <w:szCs w:val="19"/>
            <w:highlight w:val="white"/>
          </w:rPr>
          <w:t>https://doi.org/10.1016/j.psyneuen.2019.104475</w:t>
        </w:r>
      </w:hyperlink>
    </w:p>
    <w:p w14:paraId="00000555"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rPr>
        <w:t>Sohail</w:t>
      </w:r>
      <w:proofErr w:type="spellEnd"/>
      <w:r w:rsidRPr="0062646A">
        <w:rPr>
          <w:color w:val="000000"/>
          <w:sz w:val="19"/>
          <w:szCs w:val="19"/>
        </w:rPr>
        <w:t xml:space="preserve">, N. (2013). Stress and academic performance among medical students. </w:t>
      </w:r>
      <w:r w:rsidRPr="0062646A">
        <w:rPr>
          <w:i/>
          <w:color w:val="000000"/>
          <w:sz w:val="19"/>
          <w:szCs w:val="19"/>
        </w:rPr>
        <w:t>Journal of the College of Physicians and Surgeons Pakistan,</w:t>
      </w:r>
      <w:r w:rsidRPr="0062646A">
        <w:rPr>
          <w:color w:val="000000"/>
          <w:sz w:val="19"/>
          <w:szCs w:val="19"/>
        </w:rPr>
        <w:t xml:space="preserve"> 23: 67-71.</w:t>
      </w:r>
    </w:p>
    <w:p w14:paraId="00000556"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Son, C., Hedge, S., Smith, A., Wang, X., &amp; </w:t>
      </w:r>
      <w:proofErr w:type="spellStart"/>
      <w:r w:rsidRPr="0062646A">
        <w:rPr>
          <w:color w:val="000000"/>
          <w:sz w:val="19"/>
          <w:szCs w:val="19"/>
          <w:highlight w:val="white"/>
        </w:rPr>
        <w:t>Sasangohar</w:t>
      </w:r>
      <w:proofErr w:type="spellEnd"/>
      <w:r w:rsidRPr="0062646A">
        <w:rPr>
          <w:color w:val="000000"/>
          <w:sz w:val="19"/>
          <w:szCs w:val="19"/>
          <w:highlight w:val="white"/>
        </w:rPr>
        <w:t xml:space="preserve">, F. (2020). Effects of COVID-19 on college students’ mental health in the United States: Interview survey study. </w:t>
      </w:r>
      <w:r w:rsidRPr="0062646A">
        <w:rPr>
          <w:i/>
          <w:color w:val="000000"/>
          <w:sz w:val="19"/>
          <w:szCs w:val="19"/>
          <w:highlight w:val="white"/>
        </w:rPr>
        <w:t>Journal of Medical Internet Research, 22</w:t>
      </w:r>
      <w:r w:rsidRPr="0062646A">
        <w:rPr>
          <w:color w:val="000000"/>
          <w:sz w:val="19"/>
          <w:szCs w:val="19"/>
          <w:highlight w:val="white"/>
        </w:rPr>
        <w:t>(9).</w:t>
      </w:r>
      <w:r w:rsidRPr="0062646A">
        <w:rPr>
          <w:i/>
          <w:color w:val="000000"/>
          <w:sz w:val="19"/>
          <w:szCs w:val="19"/>
          <w:highlight w:val="white"/>
        </w:rPr>
        <w:t xml:space="preserve"> </w:t>
      </w:r>
      <w:hyperlink r:id="rId17">
        <w:r w:rsidRPr="0062646A">
          <w:rPr>
            <w:color w:val="000000"/>
            <w:sz w:val="19"/>
            <w:szCs w:val="19"/>
            <w:highlight w:val="white"/>
          </w:rPr>
          <w:t>doi:10.2196/21279</w:t>
        </w:r>
      </w:hyperlink>
    </w:p>
    <w:p w14:paraId="00000557" w14:textId="77777777" w:rsidR="00421882" w:rsidRPr="0062646A" w:rsidRDefault="00363292">
      <w:pPr>
        <w:pBdr>
          <w:top w:val="nil"/>
          <w:left w:val="nil"/>
          <w:bottom w:val="nil"/>
          <w:right w:val="nil"/>
          <w:between w:val="nil"/>
        </w:pBdr>
        <w:spacing w:after="0" w:line="240" w:lineRule="auto"/>
        <w:ind w:left="567" w:hanging="567"/>
        <w:rPr>
          <w:sz w:val="19"/>
          <w:szCs w:val="19"/>
        </w:rPr>
      </w:pPr>
      <w:proofErr w:type="spellStart"/>
      <w:r w:rsidRPr="0062646A">
        <w:rPr>
          <w:color w:val="000000"/>
          <w:sz w:val="19"/>
          <w:szCs w:val="19"/>
          <w:highlight w:val="white"/>
        </w:rPr>
        <w:t>Strijbos</w:t>
      </w:r>
      <w:proofErr w:type="spellEnd"/>
      <w:r w:rsidRPr="0062646A">
        <w:rPr>
          <w:color w:val="000000"/>
          <w:sz w:val="19"/>
          <w:szCs w:val="19"/>
          <w:highlight w:val="white"/>
        </w:rPr>
        <w:t xml:space="preserve">, J., Pat-El, R., &amp; </w:t>
      </w:r>
      <w:proofErr w:type="spellStart"/>
      <w:r w:rsidRPr="0062646A">
        <w:rPr>
          <w:color w:val="000000"/>
          <w:sz w:val="19"/>
          <w:szCs w:val="19"/>
          <w:highlight w:val="white"/>
        </w:rPr>
        <w:t>Narciss</w:t>
      </w:r>
      <w:proofErr w:type="spellEnd"/>
      <w:r w:rsidRPr="0062646A">
        <w:rPr>
          <w:color w:val="000000"/>
          <w:sz w:val="19"/>
          <w:szCs w:val="19"/>
          <w:highlight w:val="white"/>
        </w:rPr>
        <w:t>, S. (2021). Structural validity and invariance of the feedback perceptions questionnaire. Studies in Educational Evaluation, 68, 1-12. https://doi.org/10.1016/j.stueduc.2021.100980</w:t>
      </w:r>
      <w:r w:rsidRPr="0062646A">
        <w:rPr>
          <w:sz w:val="19"/>
          <w:szCs w:val="19"/>
        </w:rPr>
        <w:t xml:space="preserve"> </w:t>
      </w:r>
    </w:p>
    <w:p w14:paraId="00000558"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Sun, J., Dunne, M. P., Hou, X. Y., &amp; Xu, A. Q. (2011). Educational stress scale for adolescents: development, validity, and reliability with Chinese students. </w:t>
      </w:r>
      <w:r w:rsidRPr="0062646A">
        <w:rPr>
          <w:i/>
          <w:color w:val="000000"/>
          <w:sz w:val="19"/>
          <w:szCs w:val="19"/>
          <w:highlight w:val="white"/>
        </w:rPr>
        <w:t>Journal of Psychoeducational Assessment,</w:t>
      </w:r>
      <w:r w:rsidRPr="0062646A">
        <w:rPr>
          <w:color w:val="000000"/>
          <w:sz w:val="19"/>
          <w:szCs w:val="19"/>
          <w:highlight w:val="white"/>
        </w:rPr>
        <w:t xml:space="preserve"> 29(6), 534-546. https://doi.org/10.1177/0734282910394976</w:t>
      </w:r>
    </w:p>
    <w:p w14:paraId="00000559"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Taber, K.S. (2018). The use of Cronbach’s alpha when developing and reporting research instruments in science education. </w:t>
      </w:r>
      <w:r w:rsidRPr="0062646A">
        <w:rPr>
          <w:i/>
          <w:color w:val="000000"/>
          <w:sz w:val="19"/>
          <w:szCs w:val="19"/>
          <w:highlight w:val="white"/>
        </w:rPr>
        <w:t>Res Sci Educ,</w:t>
      </w:r>
      <w:r w:rsidRPr="0062646A">
        <w:rPr>
          <w:color w:val="000000"/>
          <w:sz w:val="19"/>
          <w:szCs w:val="19"/>
          <w:highlight w:val="white"/>
        </w:rPr>
        <w:t> 48,</w:t>
      </w:r>
      <w:r w:rsidRPr="0062646A">
        <w:rPr>
          <w:b/>
          <w:color w:val="000000"/>
          <w:sz w:val="19"/>
          <w:szCs w:val="19"/>
          <w:highlight w:val="white"/>
        </w:rPr>
        <w:t> </w:t>
      </w:r>
      <w:r w:rsidRPr="0062646A">
        <w:rPr>
          <w:color w:val="000000"/>
          <w:sz w:val="19"/>
          <w:szCs w:val="19"/>
          <w:highlight w:val="white"/>
        </w:rPr>
        <w:t>1273–1296. https://doi.org/10.1007/s11165-016-9602-2</w:t>
      </w:r>
    </w:p>
    <w:p w14:paraId="0000055A"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proofErr w:type="spellStart"/>
      <w:r w:rsidRPr="0062646A">
        <w:rPr>
          <w:color w:val="000000"/>
          <w:sz w:val="19"/>
          <w:szCs w:val="19"/>
          <w:highlight w:val="white"/>
        </w:rPr>
        <w:t>Vaske</w:t>
      </w:r>
      <w:proofErr w:type="spellEnd"/>
      <w:r w:rsidRPr="0062646A">
        <w:rPr>
          <w:color w:val="000000"/>
          <w:sz w:val="19"/>
          <w:szCs w:val="19"/>
          <w:highlight w:val="white"/>
        </w:rPr>
        <w:t xml:space="preserve">, J. J., Beaman, J. </w:t>
      </w:r>
      <w:proofErr w:type="spellStart"/>
      <w:r w:rsidRPr="0062646A">
        <w:rPr>
          <w:color w:val="000000"/>
          <w:sz w:val="19"/>
          <w:szCs w:val="19"/>
          <w:highlight w:val="white"/>
        </w:rPr>
        <w:t>Sponarski</w:t>
      </w:r>
      <w:proofErr w:type="spellEnd"/>
      <w:r w:rsidRPr="0062646A">
        <w:rPr>
          <w:color w:val="000000"/>
          <w:sz w:val="19"/>
          <w:szCs w:val="19"/>
          <w:highlight w:val="white"/>
        </w:rPr>
        <w:t>, C. C. (2016). Rethinking internal</w:t>
      </w:r>
      <w:r w:rsidRPr="0062646A">
        <w:rPr>
          <w:color w:val="000000"/>
          <w:sz w:val="19"/>
          <w:szCs w:val="19"/>
          <w:highlight w:val="white"/>
        </w:rPr>
        <w:t xml:space="preserve">‬ consistency in Cronbach's alpha. </w:t>
      </w:r>
      <w:r w:rsidRPr="0062646A">
        <w:rPr>
          <w:i/>
          <w:color w:val="000000"/>
          <w:sz w:val="19"/>
          <w:szCs w:val="19"/>
          <w:highlight w:val="white"/>
        </w:rPr>
        <w:t xml:space="preserve">Leisure Sciences, </w:t>
      </w:r>
      <w:r w:rsidRPr="0062646A">
        <w:rPr>
          <w:color w:val="000000"/>
          <w:sz w:val="19"/>
          <w:szCs w:val="19"/>
          <w:highlight w:val="white"/>
        </w:rPr>
        <w:t>1-11. http://dx.doi.org/10.1080/01490400.2015.1127189</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r w:rsidRPr="0062646A">
        <w:rPr>
          <w:sz w:val="19"/>
          <w:szCs w:val="19"/>
        </w:rPr>
        <w:t>‬</w:t>
      </w:r>
    </w:p>
    <w:p w14:paraId="0000055B"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proofErr w:type="spellStart"/>
      <w:r w:rsidRPr="0062646A">
        <w:rPr>
          <w:color w:val="000000"/>
          <w:sz w:val="19"/>
          <w:szCs w:val="19"/>
          <w:highlight w:val="white"/>
        </w:rPr>
        <w:t>Veyis</w:t>
      </w:r>
      <w:proofErr w:type="spellEnd"/>
      <w:r w:rsidRPr="0062646A">
        <w:rPr>
          <w:color w:val="000000"/>
          <w:sz w:val="19"/>
          <w:szCs w:val="19"/>
          <w:highlight w:val="white"/>
        </w:rPr>
        <w:t xml:space="preserve">, F., </w:t>
      </w:r>
      <w:proofErr w:type="spellStart"/>
      <w:r w:rsidRPr="0062646A">
        <w:rPr>
          <w:color w:val="000000"/>
          <w:sz w:val="19"/>
          <w:szCs w:val="19"/>
          <w:highlight w:val="white"/>
        </w:rPr>
        <w:t>Secer</w:t>
      </w:r>
      <w:proofErr w:type="spellEnd"/>
      <w:r w:rsidRPr="0062646A">
        <w:rPr>
          <w:color w:val="000000"/>
          <w:sz w:val="19"/>
          <w:szCs w:val="19"/>
          <w:highlight w:val="white"/>
        </w:rPr>
        <w:t xml:space="preserve">, I., &amp; </w:t>
      </w:r>
      <w:proofErr w:type="spellStart"/>
      <w:r w:rsidRPr="0062646A">
        <w:rPr>
          <w:color w:val="000000"/>
          <w:sz w:val="19"/>
          <w:szCs w:val="19"/>
          <w:highlight w:val="white"/>
        </w:rPr>
        <w:t>Ulas</w:t>
      </w:r>
      <w:proofErr w:type="spellEnd"/>
      <w:r w:rsidRPr="0062646A">
        <w:rPr>
          <w:color w:val="000000"/>
          <w:sz w:val="19"/>
          <w:szCs w:val="19"/>
          <w:highlight w:val="white"/>
        </w:rPr>
        <w:t>, S. (2019). An investigation of the mediator role of school burnout between academic stress and academic motivation.</w:t>
      </w:r>
      <w:r w:rsidRPr="0062646A">
        <w:rPr>
          <w:i/>
          <w:color w:val="000000"/>
          <w:sz w:val="19"/>
          <w:szCs w:val="19"/>
          <w:highlight w:val="white"/>
        </w:rPr>
        <w:t xml:space="preserve"> Journal of Curriculum and Teaching, </w:t>
      </w:r>
      <w:r w:rsidRPr="0062646A">
        <w:rPr>
          <w:color w:val="000000"/>
          <w:sz w:val="19"/>
          <w:szCs w:val="19"/>
          <w:highlight w:val="white"/>
        </w:rPr>
        <w:t>8(4) 46-53. https://doi.org/10.5430/jct.v8n4p46</w:t>
      </w:r>
    </w:p>
    <w:p w14:paraId="0000055C"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sz w:val="19"/>
          <w:szCs w:val="19"/>
        </w:rPr>
        <w:t xml:space="preserve">Watkins, M. W. (2018). Exploratory Factor Analysis: A Guide to Best Practice. </w:t>
      </w:r>
      <w:r w:rsidRPr="0062646A">
        <w:rPr>
          <w:i/>
          <w:sz w:val="19"/>
          <w:szCs w:val="19"/>
        </w:rPr>
        <w:t>Journal of Black Psychology</w:t>
      </w:r>
      <w:r w:rsidRPr="0062646A">
        <w:rPr>
          <w:sz w:val="19"/>
          <w:szCs w:val="19"/>
        </w:rPr>
        <w:t>, 44(3), 219–246. https://doi.org/10.1177/0095798418771807</w:t>
      </w:r>
    </w:p>
    <w:p w14:paraId="0000055D" w14:textId="77777777" w:rsidR="00421882" w:rsidRPr="0062646A" w:rsidRDefault="00363292">
      <w:pPr>
        <w:pBdr>
          <w:top w:val="nil"/>
          <w:left w:val="nil"/>
          <w:bottom w:val="nil"/>
          <w:right w:val="nil"/>
          <w:between w:val="nil"/>
        </w:pBdr>
        <w:shd w:val="clear" w:color="auto" w:fill="FFFFFF"/>
        <w:spacing w:after="0" w:line="240" w:lineRule="auto"/>
        <w:ind w:left="567" w:hanging="567"/>
        <w:rPr>
          <w:color w:val="000000"/>
          <w:sz w:val="19"/>
          <w:szCs w:val="19"/>
          <w:highlight w:val="white"/>
        </w:rPr>
      </w:pPr>
      <w:r w:rsidRPr="0062646A">
        <w:rPr>
          <w:color w:val="000000"/>
          <w:sz w:val="19"/>
          <w:szCs w:val="19"/>
          <w:highlight w:val="white"/>
        </w:rPr>
        <w:t xml:space="preserve">Williams, S. N., Armitage, C. J., </w:t>
      </w:r>
      <w:proofErr w:type="spellStart"/>
      <w:r w:rsidRPr="0062646A">
        <w:rPr>
          <w:color w:val="000000"/>
          <w:sz w:val="19"/>
          <w:szCs w:val="19"/>
          <w:highlight w:val="white"/>
        </w:rPr>
        <w:t>Tampe</w:t>
      </w:r>
      <w:proofErr w:type="spellEnd"/>
      <w:r w:rsidRPr="0062646A">
        <w:rPr>
          <w:color w:val="000000"/>
          <w:sz w:val="19"/>
          <w:szCs w:val="19"/>
          <w:highlight w:val="white"/>
        </w:rPr>
        <w:t xml:space="preserve">, T., and Dienes, K. (2020). Public perceptions and experiences of social distancing and social isolation during the COVID-19 pandemic: a UK-based focus group study. </w:t>
      </w:r>
      <w:proofErr w:type="spellStart"/>
      <w:r w:rsidRPr="0062646A">
        <w:rPr>
          <w:i/>
          <w:color w:val="000000"/>
          <w:sz w:val="19"/>
          <w:szCs w:val="19"/>
          <w:highlight w:val="white"/>
        </w:rPr>
        <w:t>medRxiv</w:t>
      </w:r>
      <w:proofErr w:type="spellEnd"/>
      <w:r w:rsidRPr="0062646A">
        <w:rPr>
          <w:color w:val="000000"/>
          <w:sz w:val="19"/>
          <w:szCs w:val="19"/>
          <w:highlight w:val="white"/>
        </w:rPr>
        <w:t xml:space="preserve"> [Preprint]. https://doi.org/10.1101/2020.04.10.20061267.</w:t>
      </w:r>
    </w:p>
    <w:p w14:paraId="0000055E"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r w:rsidRPr="0062646A">
        <w:rPr>
          <w:color w:val="000000"/>
          <w:sz w:val="19"/>
          <w:szCs w:val="19"/>
          <w:highlight w:val="white"/>
        </w:rPr>
        <w:t xml:space="preserve">World Health Organization. (‎1996)‎. </w:t>
      </w:r>
      <w:r w:rsidRPr="0062646A">
        <w:rPr>
          <w:i/>
          <w:color w:val="000000"/>
          <w:sz w:val="19"/>
          <w:szCs w:val="19"/>
          <w:highlight w:val="white"/>
        </w:rPr>
        <w:t xml:space="preserve">Promoting health through schools. </w:t>
      </w:r>
      <w:r w:rsidRPr="0062646A">
        <w:rPr>
          <w:color w:val="000000"/>
          <w:sz w:val="19"/>
          <w:szCs w:val="19"/>
          <w:highlight w:val="white"/>
        </w:rPr>
        <w:t xml:space="preserve">Retrieved December 21, 2020, from </w:t>
      </w:r>
      <w:hyperlink r:id="rId18">
        <w:r w:rsidRPr="0062646A">
          <w:rPr>
            <w:color w:val="000000"/>
            <w:sz w:val="19"/>
            <w:szCs w:val="19"/>
            <w:highlight w:val="white"/>
          </w:rPr>
          <w:t>https://apps.who.int/iris/handle/10665/63367</w:t>
        </w:r>
      </w:hyperlink>
    </w:p>
    <w:p w14:paraId="0000055F" w14:textId="77777777" w:rsidR="00421882" w:rsidRPr="0062646A" w:rsidRDefault="00363292">
      <w:pPr>
        <w:pBdr>
          <w:top w:val="nil"/>
          <w:left w:val="nil"/>
          <w:bottom w:val="nil"/>
          <w:right w:val="nil"/>
          <w:between w:val="nil"/>
        </w:pBdr>
        <w:spacing w:after="0" w:line="240" w:lineRule="auto"/>
        <w:ind w:left="567" w:hanging="567"/>
        <w:rPr>
          <w:color w:val="000000"/>
          <w:sz w:val="19"/>
          <w:szCs w:val="19"/>
        </w:rPr>
      </w:pPr>
      <w:r w:rsidRPr="0062646A">
        <w:rPr>
          <w:color w:val="000000"/>
          <w:sz w:val="19"/>
          <w:szCs w:val="19"/>
        </w:rPr>
        <w:t>World Health Organization. (2020).</w:t>
      </w:r>
      <w:r w:rsidRPr="0062646A">
        <w:rPr>
          <w:i/>
          <w:color w:val="000000"/>
          <w:sz w:val="19"/>
          <w:szCs w:val="19"/>
        </w:rPr>
        <w:t xml:space="preserve"> Adolescent health. </w:t>
      </w:r>
      <w:r w:rsidRPr="0062646A">
        <w:rPr>
          <w:color w:val="000000"/>
          <w:sz w:val="19"/>
          <w:szCs w:val="19"/>
        </w:rPr>
        <w:t>Retrieved March 20, 2021, from https://www.who.int/health-topics/adolescent-health#tab=tab_1.</w:t>
      </w:r>
    </w:p>
    <w:p w14:paraId="00000560" w14:textId="77777777" w:rsidR="00421882" w:rsidRPr="0062646A" w:rsidRDefault="00363292">
      <w:pPr>
        <w:pBdr>
          <w:top w:val="nil"/>
          <w:left w:val="nil"/>
          <w:bottom w:val="nil"/>
          <w:right w:val="nil"/>
          <w:between w:val="nil"/>
        </w:pBdr>
        <w:spacing w:after="0" w:line="240" w:lineRule="auto"/>
        <w:ind w:left="567" w:hanging="567"/>
        <w:rPr>
          <w:color w:val="000000"/>
          <w:sz w:val="19"/>
          <w:szCs w:val="19"/>
          <w:highlight w:val="white"/>
        </w:rPr>
      </w:pPr>
      <w:proofErr w:type="spellStart"/>
      <w:r w:rsidRPr="0062646A">
        <w:rPr>
          <w:color w:val="000000"/>
          <w:sz w:val="19"/>
          <w:szCs w:val="19"/>
          <w:highlight w:val="white"/>
        </w:rPr>
        <w:t>Yaribeygi</w:t>
      </w:r>
      <w:proofErr w:type="spellEnd"/>
      <w:r w:rsidRPr="0062646A">
        <w:rPr>
          <w:color w:val="000000"/>
          <w:sz w:val="19"/>
          <w:szCs w:val="19"/>
          <w:highlight w:val="white"/>
        </w:rPr>
        <w:t xml:space="preserve">, H., Panahi, Y., </w:t>
      </w:r>
      <w:proofErr w:type="spellStart"/>
      <w:r w:rsidRPr="0062646A">
        <w:rPr>
          <w:color w:val="000000"/>
          <w:sz w:val="19"/>
          <w:szCs w:val="19"/>
          <w:highlight w:val="white"/>
        </w:rPr>
        <w:t>Sahraei</w:t>
      </w:r>
      <w:proofErr w:type="spellEnd"/>
      <w:r w:rsidRPr="0062646A">
        <w:rPr>
          <w:color w:val="000000"/>
          <w:sz w:val="19"/>
          <w:szCs w:val="19"/>
          <w:highlight w:val="white"/>
        </w:rPr>
        <w:t xml:space="preserve">, H., Johnston, T., &amp; </w:t>
      </w:r>
      <w:proofErr w:type="spellStart"/>
      <w:r w:rsidRPr="0062646A">
        <w:rPr>
          <w:color w:val="000000"/>
          <w:sz w:val="19"/>
          <w:szCs w:val="19"/>
          <w:highlight w:val="white"/>
        </w:rPr>
        <w:t>Sahebkar</w:t>
      </w:r>
      <w:proofErr w:type="spellEnd"/>
      <w:r w:rsidRPr="0062646A">
        <w:rPr>
          <w:color w:val="000000"/>
          <w:sz w:val="19"/>
          <w:szCs w:val="19"/>
          <w:highlight w:val="white"/>
        </w:rPr>
        <w:t>, A. (2017). The impact of stress on body function: A review.</w:t>
      </w:r>
      <w:r w:rsidRPr="0062646A">
        <w:rPr>
          <w:i/>
          <w:color w:val="000000"/>
          <w:sz w:val="19"/>
          <w:szCs w:val="19"/>
          <w:highlight w:val="white"/>
        </w:rPr>
        <w:t xml:space="preserve"> EXCLI Journa</w:t>
      </w:r>
      <w:r w:rsidRPr="0062646A">
        <w:rPr>
          <w:color w:val="000000"/>
          <w:sz w:val="19"/>
          <w:szCs w:val="19"/>
          <w:highlight w:val="white"/>
        </w:rPr>
        <w:t>l, 16: 1057–1072. http://dx.doi.org/10.17179/excli2017-480 </w:t>
      </w:r>
    </w:p>
    <w:p w14:paraId="00000564" w14:textId="312438C2" w:rsidR="00421882" w:rsidRDefault="00363292" w:rsidP="00E663B2">
      <w:pPr>
        <w:pBdr>
          <w:top w:val="nil"/>
          <w:left w:val="nil"/>
          <w:bottom w:val="nil"/>
          <w:right w:val="nil"/>
          <w:between w:val="nil"/>
        </w:pBdr>
        <w:spacing w:after="0" w:line="240" w:lineRule="auto"/>
        <w:ind w:left="567" w:hanging="567"/>
        <w:rPr>
          <w:b/>
          <w:color w:val="0033CC"/>
          <w:sz w:val="24"/>
          <w:szCs w:val="24"/>
        </w:rPr>
      </w:pPr>
      <w:r w:rsidRPr="0062646A">
        <w:rPr>
          <w:color w:val="000000"/>
          <w:sz w:val="19"/>
          <w:szCs w:val="19"/>
        </w:rPr>
        <w:t xml:space="preserve">Zurlo, M. C., Della Volta, M. F. C., &amp; Vallone, F. (2020). COVID-19 Student Stress Questionnaire: Development and validation of a questionnaire to evaluate students’ stressors related to the coronavirus pandemic lockdown. </w:t>
      </w:r>
      <w:r w:rsidRPr="0062646A">
        <w:rPr>
          <w:i/>
          <w:color w:val="000000"/>
          <w:sz w:val="19"/>
          <w:szCs w:val="19"/>
        </w:rPr>
        <w:t>Frontiers in Psychology.</w:t>
      </w:r>
      <w:hyperlink r:id="rId19">
        <w:r w:rsidRPr="0062646A">
          <w:rPr>
            <w:color w:val="000000"/>
            <w:sz w:val="19"/>
            <w:szCs w:val="19"/>
          </w:rPr>
          <w:t xml:space="preserve"> doi.org/10.3389/fpsyg.2020.576758</w:t>
        </w:r>
      </w:hyperlink>
    </w:p>
    <w:sectPr w:rsidR="00421882">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haris SIL">
    <w:altName w:val="Charis SI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A76"/>
    <w:multiLevelType w:val="multilevel"/>
    <w:tmpl w:val="C3FC3164"/>
    <w:lvl w:ilvl="0">
      <w:start w:val="1"/>
      <w:numFmt w:val="upperRoman"/>
      <w:lvlText w:val="%1."/>
      <w:lvlJc w:val="left"/>
      <w:pPr>
        <w:ind w:left="1080" w:hanging="720"/>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1F38CD"/>
    <w:multiLevelType w:val="multilevel"/>
    <w:tmpl w:val="BA5E61E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82"/>
    <w:rsid w:val="001E7519"/>
    <w:rsid w:val="00312EE7"/>
    <w:rsid w:val="00363292"/>
    <w:rsid w:val="00421882"/>
    <w:rsid w:val="0062646A"/>
    <w:rsid w:val="006801CB"/>
    <w:rsid w:val="00CC2A59"/>
    <w:rsid w:val="00E663B2"/>
    <w:rsid w:val="00EA6D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DF52"/>
  <w15:docId w15:val="{CAAE2DB4-07CC-4BE9-BA0D-365BA17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2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052F5"/>
    <w:pPr>
      <w:keepNext/>
      <w:keepLines/>
      <w:spacing w:before="360" w:after="80"/>
      <w:outlineLvl w:val="1"/>
    </w:pPr>
    <w:rPr>
      <w:b/>
      <w:sz w:val="36"/>
      <w:szCs w:val="36"/>
      <w:lang w:val="en-US"/>
    </w:rPr>
  </w:style>
  <w:style w:type="paragraph" w:styleId="Heading3">
    <w:name w:val="heading 3"/>
    <w:basedOn w:val="Normal"/>
    <w:next w:val="Normal"/>
    <w:link w:val="Heading3Char"/>
    <w:uiPriority w:val="9"/>
    <w:semiHidden/>
    <w:unhideWhenUsed/>
    <w:qFormat/>
    <w:rsid w:val="004052F5"/>
    <w:pPr>
      <w:keepNext/>
      <w:keepLines/>
      <w:spacing w:before="280" w:after="80"/>
      <w:outlineLvl w:val="2"/>
    </w:pPr>
    <w:rPr>
      <w:b/>
      <w:sz w:val="28"/>
      <w:szCs w:val="28"/>
      <w:lang w:val="en-US"/>
    </w:rPr>
  </w:style>
  <w:style w:type="paragraph" w:styleId="Heading4">
    <w:name w:val="heading 4"/>
    <w:basedOn w:val="Normal"/>
    <w:next w:val="Normal"/>
    <w:link w:val="Heading4Char"/>
    <w:uiPriority w:val="9"/>
    <w:semiHidden/>
    <w:unhideWhenUsed/>
    <w:qFormat/>
    <w:rsid w:val="004052F5"/>
    <w:pPr>
      <w:keepNext/>
      <w:keepLines/>
      <w:spacing w:before="240" w:after="40"/>
      <w:outlineLvl w:val="3"/>
    </w:pPr>
    <w:rPr>
      <w:b/>
      <w:sz w:val="24"/>
      <w:szCs w:val="24"/>
      <w:lang w:val="en-US"/>
    </w:rPr>
  </w:style>
  <w:style w:type="paragraph" w:styleId="Heading5">
    <w:name w:val="heading 5"/>
    <w:basedOn w:val="Normal"/>
    <w:next w:val="Normal"/>
    <w:link w:val="Heading5Char"/>
    <w:uiPriority w:val="9"/>
    <w:semiHidden/>
    <w:unhideWhenUsed/>
    <w:qFormat/>
    <w:rsid w:val="004052F5"/>
    <w:pPr>
      <w:keepNext/>
      <w:keepLines/>
      <w:spacing w:before="220" w:after="40"/>
      <w:outlineLvl w:val="4"/>
    </w:pPr>
    <w:rPr>
      <w:b/>
      <w:lang w:val="en-US"/>
    </w:rPr>
  </w:style>
  <w:style w:type="paragraph" w:styleId="Heading6">
    <w:name w:val="heading 6"/>
    <w:basedOn w:val="Normal"/>
    <w:next w:val="Normal"/>
    <w:link w:val="Heading6Char"/>
    <w:uiPriority w:val="9"/>
    <w:semiHidden/>
    <w:unhideWhenUsed/>
    <w:qFormat/>
    <w:rsid w:val="004052F5"/>
    <w:pPr>
      <w:keepNext/>
      <w:keepLines/>
      <w:spacing w:before="200" w:after="40"/>
      <w:outlineLvl w:val="5"/>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52F5"/>
    <w:pPr>
      <w:keepNext/>
      <w:keepLines/>
      <w:spacing w:before="480" w:after="120"/>
    </w:pPr>
    <w:rPr>
      <w:b/>
      <w:sz w:val="72"/>
      <w:szCs w:val="72"/>
      <w:lang w:val="en-US"/>
    </w:rPr>
  </w:style>
  <w:style w:type="character" w:customStyle="1" w:styleId="Heading1Char">
    <w:name w:val="Heading 1 Char"/>
    <w:basedOn w:val="DefaultParagraphFont"/>
    <w:link w:val="Heading1"/>
    <w:uiPriority w:val="9"/>
    <w:rsid w:val="004052F5"/>
    <w:rPr>
      <w:rFonts w:ascii="Times New Roman" w:eastAsia="Times New Roman" w:hAnsi="Times New Roman" w:cs="Times New Roman"/>
      <w:b/>
      <w:bCs/>
      <w:kern w:val="36"/>
      <w:sz w:val="48"/>
      <w:szCs w:val="48"/>
      <w:lang w:val="en-US" w:eastAsia="en-PH"/>
    </w:rPr>
  </w:style>
  <w:style w:type="character" w:customStyle="1" w:styleId="Heading2Char">
    <w:name w:val="Heading 2 Char"/>
    <w:basedOn w:val="DefaultParagraphFont"/>
    <w:link w:val="Heading2"/>
    <w:uiPriority w:val="9"/>
    <w:semiHidden/>
    <w:rsid w:val="004052F5"/>
    <w:rPr>
      <w:rFonts w:ascii="Calibri" w:eastAsia="Calibri" w:hAnsi="Calibri" w:cs="Calibri"/>
      <w:b/>
      <w:sz w:val="36"/>
      <w:szCs w:val="36"/>
      <w:lang w:val="en-US" w:eastAsia="en-PH"/>
    </w:rPr>
  </w:style>
  <w:style w:type="character" w:styleId="Hyperlink">
    <w:name w:val="Hyperlink"/>
    <w:basedOn w:val="DefaultParagraphFont"/>
    <w:uiPriority w:val="99"/>
    <w:unhideWhenUsed/>
    <w:rsid w:val="00CF2696"/>
    <w:rPr>
      <w:color w:val="0563C1" w:themeColor="hyperlink"/>
      <w:u w:val="single"/>
    </w:rPr>
  </w:style>
  <w:style w:type="character" w:customStyle="1" w:styleId="UnresolvedMention1">
    <w:name w:val="Unresolved Mention1"/>
    <w:basedOn w:val="DefaultParagraphFont"/>
    <w:uiPriority w:val="99"/>
    <w:semiHidden/>
    <w:unhideWhenUsed/>
    <w:rsid w:val="00CF2696"/>
    <w:rPr>
      <w:color w:val="605E5C"/>
      <w:shd w:val="clear" w:color="auto" w:fill="E1DFDD"/>
    </w:rPr>
  </w:style>
  <w:style w:type="paragraph" w:styleId="ListParagraph">
    <w:name w:val="List Paragraph"/>
    <w:basedOn w:val="Normal"/>
    <w:uiPriority w:val="34"/>
    <w:qFormat/>
    <w:rsid w:val="00CF2696"/>
    <w:pPr>
      <w:ind w:left="720"/>
      <w:contextualSpacing/>
    </w:pPr>
  </w:style>
  <w:style w:type="character" w:customStyle="1" w:styleId="Heading3Char">
    <w:name w:val="Heading 3 Char"/>
    <w:basedOn w:val="DefaultParagraphFont"/>
    <w:link w:val="Heading3"/>
    <w:uiPriority w:val="9"/>
    <w:semiHidden/>
    <w:rsid w:val="004052F5"/>
    <w:rPr>
      <w:rFonts w:ascii="Calibri" w:eastAsia="Calibri" w:hAnsi="Calibri" w:cs="Calibri"/>
      <w:b/>
      <w:sz w:val="28"/>
      <w:szCs w:val="28"/>
      <w:lang w:val="en-US" w:eastAsia="en-PH"/>
    </w:rPr>
  </w:style>
  <w:style w:type="character" w:customStyle="1" w:styleId="Heading4Char">
    <w:name w:val="Heading 4 Char"/>
    <w:basedOn w:val="DefaultParagraphFont"/>
    <w:link w:val="Heading4"/>
    <w:uiPriority w:val="9"/>
    <w:semiHidden/>
    <w:rsid w:val="004052F5"/>
    <w:rPr>
      <w:rFonts w:ascii="Calibri" w:eastAsia="Calibri" w:hAnsi="Calibri" w:cs="Calibri"/>
      <w:b/>
      <w:sz w:val="24"/>
      <w:szCs w:val="24"/>
      <w:lang w:val="en-US" w:eastAsia="en-PH"/>
    </w:rPr>
  </w:style>
  <w:style w:type="character" w:customStyle="1" w:styleId="Heading5Char">
    <w:name w:val="Heading 5 Char"/>
    <w:basedOn w:val="DefaultParagraphFont"/>
    <w:link w:val="Heading5"/>
    <w:uiPriority w:val="9"/>
    <w:semiHidden/>
    <w:rsid w:val="004052F5"/>
    <w:rPr>
      <w:rFonts w:ascii="Calibri" w:eastAsia="Calibri" w:hAnsi="Calibri" w:cs="Calibri"/>
      <w:b/>
      <w:lang w:val="en-US" w:eastAsia="en-PH"/>
    </w:rPr>
  </w:style>
  <w:style w:type="character" w:customStyle="1" w:styleId="Heading6Char">
    <w:name w:val="Heading 6 Char"/>
    <w:basedOn w:val="DefaultParagraphFont"/>
    <w:link w:val="Heading6"/>
    <w:uiPriority w:val="9"/>
    <w:semiHidden/>
    <w:rsid w:val="004052F5"/>
    <w:rPr>
      <w:rFonts w:ascii="Calibri" w:eastAsia="Calibri" w:hAnsi="Calibri" w:cs="Calibri"/>
      <w:b/>
      <w:sz w:val="20"/>
      <w:szCs w:val="20"/>
      <w:lang w:val="en-US" w:eastAsia="en-PH"/>
    </w:rPr>
  </w:style>
  <w:style w:type="character" w:customStyle="1" w:styleId="TitleChar">
    <w:name w:val="Title Char"/>
    <w:basedOn w:val="DefaultParagraphFont"/>
    <w:link w:val="Title"/>
    <w:uiPriority w:val="10"/>
    <w:rsid w:val="004052F5"/>
    <w:rPr>
      <w:rFonts w:ascii="Calibri" w:eastAsia="Calibri" w:hAnsi="Calibri" w:cs="Calibri"/>
      <w:b/>
      <w:sz w:val="72"/>
      <w:szCs w:val="72"/>
      <w:lang w:val="en-US" w:eastAsia="en-PH"/>
    </w:rPr>
  </w:style>
  <w:style w:type="table" w:styleId="TableGrid">
    <w:name w:val="Table Grid"/>
    <w:basedOn w:val="TableNormal"/>
    <w:uiPriority w:val="39"/>
    <w:rsid w:val="004052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4052F5"/>
    <w:rPr>
      <w:color w:val="605E5C"/>
      <w:shd w:val="clear" w:color="auto" w:fill="E1DFDD"/>
    </w:rPr>
  </w:style>
  <w:style w:type="paragraph" w:styleId="NormalWeb">
    <w:name w:val="Normal (Web)"/>
    <w:basedOn w:val="Normal"/>
    <w:uiPriority w:val="99"/>
    <w:semiHidden/>
    <w:unhideWhenUsed/>
    <w:rsid w:val="004052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52F5"/>
    <w:rPr>
      <w:rFonts w:ascii="Georgia" w:eastAsia="Georgia" w:hAnsi="Georgia" w:cs="Georgia"/>
      <w:i/>
      <w:color w:val="666666"/>
      <w:sz w:val="48"/>
      <w:szCs w:val="48"/>
      <w:lang w:val="en-US" w:eastAsia="en-PH"/>
    </w:rPr>
  </w:style>
  <w:style w:type="paragraph" w:styleId="CommentText">
    <w:name w:val="annotation text"/>
    <w:basedOn w:val="Normal"/>
    <w:link w:val="CommentTextChar"/>
    <w:uiPriority w:val="99"/>
    <w:semiHidden/>
    <w:unhideWhenUsed/>
    <w:rsid w:val="004052F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052F5"/>
    <w:rPr>
      <w:rFonts w:ascii="Calibri" w:eastAsia="Calibri" w:hAnsi="Calibri" w:cs="Calibri"/>
      <w:sz w:val="20"/>
      <w:szCs w:val="20"/>
      <w:lang w:val="en-US" w:eastAsia="en-PH"/>
    </w:rPr>
  </w:style>
  <w:style w:type="paragraph" w:styleId="CommentSubject">
    <w:name w:val="annotation subject"/>
    <w:basedOn w:val="CommentText"/>
    <w:next w:val="CommentText"/>
    <w:link w:val="CommentSubjectChar"/>
    <w:uiPriority w:val="99"/>
    <w:semiHidden/>
    <w:unhideWhenUsed/>
    <w:rsid w:val="004052F5"/>
    <w:rPr>
      <w:b/>
      <w:bCs/>
    </w:rPr>
  </w:style>
  <w:style w:type="character" w:customStyle="1" w:styleId="CommentSubjectChar">
    <w:name w:val="Comment Subject Char"/>
    <w:basedOn w:val="CommentTextChar"/>
    <w:link w:val="CommentSubject"/>
    <w:uiPriority w:val="99"/>
    <w:semiHidden/>
    <w:rsid w:val="004052F5"/>
    <w:rPr>
      <w:rFonts w:ascii="Calibri" w:eastAsia="Calibri" w:hAnsi="Calibri" w:cs="Calibri"/>
      <w:b/>
      <w:bCs/>
      <w:sz w:val="20"/>
      <w:szCs w:val="20"/>
      <w:lang w:val="en-US" w:eastAsia="en-PH"/>
    </w:rPr>
  </w:style>
  <w:style w:type="paragraph" w:styleId="BalloonText">
    <w:name w:val="Balloon Text"/>
    <w:basedOn w:val="Normal"/>
    <w:link w:val="BalloonTextChar"/>
    <w:uiPriority w:val="99"/>
    <w:semiHidden/>
    <w:unhideWhenUsed/>
    <w:rsid w:val="004052F5"/>
    <w:pPr>
      <w:spacing w:after="0" w:line="240" w:lineRule="auto"/>
    </w:pPr>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4052F5"/>
    <w:rPr>
      <w:rFonts w:ascii="Lucida Grande" w:eastAsia="Calibri" w:hAnsi="Lucida Grande" w:cs="Calibri"/>
      <w:sz w:val="18"/>
      <w:szCs w:val="18"/>
      <w:lang w:val="en-US" w:eastAsia="en-PH"/>
    </w:rPr>
  </w:style>
  <w:style w:type="character" w:styleId="Strong">
    <w:name w:val="Strong"/>
    <w:basedOn w:val="DefaultParagraphFont"/>
    <w:uiPriority w:val="22"/>
    <w:qFormat/>
    <w:rsid w:val="004052F5"/>
    <w:rPr>
      <w:b/>
      <w:bCs/>
    </w:rPr>
  </w:style>
  <w:style w:type="paragraph" w:customStyle="1" w:styleId="Default">
    <w:name w:val="Default"/>
    <w:rsid w:val="004052F5"/>
    <w:pPr>
      <w:autoSpaceDE w:val="0"/>
      <w:autoSpaceDN w:val="0"/>
      <w:adjustRightInd w:val="0"/>
      <w:spacing w:after="0" w:line="240" w:lineRule="auto"/>
    </w:pPr>
    <w:rPr>
      <w:rFonts w:ascii="Charis SIL" w:hAnsi="Charis SIL" w:cs="Charis SIL"/>
      <w:color w:val="000000"/>
      <w:sz w:val="24"/>
      <w:szCs w:val="24"/>
    </w:rPr>
  </w:style>
  <w:style w:type="paragraph" w:styleId="Header">
    <w:name w:val="header"/>
    <w:basedOn w:val="Normal"/>
    <w:link w:val="HeaderChar"/>
    <w:uiPriority w:val="99"/>
    <w:unhideWhenUsed/>
    <w:rsid w:val="002A31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1B5"/>
  </w:style>
  <w:style w:type="paragraph" w:styleId="Footer">
    <w:name w:val="footer"/>
    <w:basedOn w:val="Normal"/>
    <w:link w:val="FooterChar"/>
    <w:uiPriority w:val="99"/>
    <w:unhideWhenUsed/>
    <w:rsid w:val="002A31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31B5"/>
  </w:style>
  <w:style w:type="character" w:styleId="UnresolvedMention">
    <w:name w:val="Unresolved Mention"/>
    <w:basedOn w:val="DefaultParagraphFont"/>
    <w:uiPriority w:val="99"/>
    <w:semiHidden/>
    <w:unhideWhenUsed/>
    <w:rsid w:val="00135D7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Yamini%20Chandra" TargetMode="External"/><Relationship Id="rId13" Type="http://schemas.openxmlformats.org/officeDocument/2006/relationships/hyperlink" Target="https://www.researchgate.net/deref/http%3A%2F%2Fdx.doi.org%2F10.3389%2Ffpsyg.2015.01028" TargetMode="External"/><Relationship Id="rId18" Type="http://schemas.openxmlformats.org/officeDocument/2006/relationships/hyperlink" Target="https://apps.who.int/iris/handle/10665/633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oi.org/10.1016/j.chest.2020.08.312" TargetMode="External"/><Relationship Id="rId12" Type="http://schemas.openxmlformats.org/officeDocument/2006/relationships/hyperlink" Target="https://doi.org/10.1371/journal.pone.0239696" TargetMode="External"/><Relationship Id="rId17" Type="http://schemas.openxmlformats.org/officeDocument/2006/relationships/hyperlink" Target="https://doi.org/10.2196/21279" TargetMode="External"/><Relationship Id="rId2" Type="http://schemas.openxmlformats.org/officeDocument/2006/relationships/numbering" Target="numbering.xml"/><Relationship Id="rId16" Type="http://schemas.openxmlformats.org/officeDocument/2006/relationships/hyperlink" Target="https://doi.org/10.1016/j.psyneuen.2019.1044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searchgate.net/deref/http%3A%2F%2Fdx.doi.org%2F10.1177%2F1059840510376515" TargetMode="External"/><Relationship Id="rId5" Type="http://schemas.openxmlformats.org/officeDocument/2006/relationships/webSettings" Target="webSettings.xml"/><Relationship Id="rId15" Type="http://schemas.openxmlformats.org/officeDocument/2006/relationships/hyperlink" Target="https://doi.org/10.1037/gpr0000137" TargetMode="External"/><Relationship Id="rId10" Type="http://schemas.openxmlformats.org/officeDocument/2006/relationships/hyperlink" Target="https://doi.org/10.1108/AEDS-05-2020-0097" TargetMode="External"/><Relationship Id="rId19" Type="http://schemas.openxmlformats.org/officeDocument/2006/relationships/hyperlink" Target="https://doi.org/10.3389/fpsyg.2020.576758" TargetMode="External"/><Relationship Id="rId4" Type="http://schemas.openxmlformats.org/officeDocument/2006/relationships/settings" Target="settings.xml"/><Relationship Id="rId9" Type="http://schemas.openxmlformats.org/officeDocument/2006/relationships/hyperlink" Target="https://www.emerald.com/insight/publication/issn/2046-3162" TargetMode="External"/><Relationship Id="rId14" Type="http://schemas.openxmlformats.org/officeDocument/2006/relationships/hyperlink" Target="https://doi.org/10.1016/j.pneurobio.2017.0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hZMxu9fs/N39PxqzMk7TdF3tA==">AMUW2mVPYGPp03Zp3NcNcbhr85rP9NpLpLUR71xI5FeBu+0EyufoTTkcJhuuKUWC8VQeHo/i028axZXsbPYqNoLn2HmjD+WjVba/fiFNByIkLi7A4uUwSpPtWUT1tlRUBQ985HZ3McM0yMI6Ouuq10jaSYZrjRsEcA==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Mardocheo Crispino</dc:creator>
  <cp:lastModifiedBy>Mardocheo Crispino</cp:lastModifiedBy>
  <cp:revision>8</cp:revision>
  <dcterms:created xsi:type="dcterms:W3CDTF">2021-05-25T05:25:00Z</dcterms:created>
  <dcterms:modified xsi:type="dcterms:W3CDTF">2021-07-20T02:09:00Z</dcterms:modified>
</cp:coreProperties>
</file>