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E04E6B" w14:textId="01AF17FF" w:rsidR="00563C01" w:rsidRDefault="00563C01" w:rsidP="00563C01">
      <w:pPr>
        <w:pStyle w:val="Heading1"/>
        <w:spacing w:before="0" w:line="480" w:lineRule="auto"/>
        <w:rPr>
          <w:rFonts w:ascii="Arial" w:hAnsi="Arial" w:cs="Arial"/>
          <w:color w:val="000000" w:themeColor="text1"/>
          <w:sz w:val="22"/>
          <w:szCs w:val="22"/>
        </w:rPr>
      </w:pPr>
      <w:bookmarkStart w:id="0" w:name="_Toc430094148"/>
      <w:bookmarkStart w:id="1" w:name="_Toc430725537"/>
      <w:r>
        <w:rPr>
          <w:rFonts w:ascii="Arial" w:hAnsi="Arial" w:cs="Arial"/>
          <w:color w:val="000000" w:themeColor="text1"/>
          <w:sz w:val="22"/>
          <w:szCs w:val="22"/>
        </w:rPr>
        <w:t>Supporting Information</w:t>
      </w:r>
      <w:bookmarkEnd w:id="0"/>
      <w:bookmarkEnd w:id="1"/>
    </w:p>
    <w:p w14:paraId="3B42651E" w14:textId="458A8042" w:rsidR="00415E97" w:rsidRPr="00415E97" w:rsidRDefault="00415E97" w:rsidP="00415E97">
      <w:pPr>
        <w:pStyle w:val="Heading2"/>
        <w:spacing w:line="480" w:lineRule="auto"/>
        <w:rPr>
          <w:rFonts w:ascii="Arial" w:hAnsi="Arial" w:cs="Arial"/>
          <w:color w:val="000000" w:themeColor="text1"/>
          <w:sz w:val="22"/>
          <w:szCs w:val="22"/>
        </w:rPr>
      </w:pPr>
      <w:bookmarkStart w:id="2" w:name="_Toc430094149"/>
      <w:bookmarkStart w:id="3" w:name="_Toc430725538"/>
      <w:r w:rsidRPr="00415E97">
        <w:rPr>
          <w:rFonts w:ascii="Arial" w:hAnsi="Arial" w:cs="Arial"/>
          <w:color w:val="000000" w:themeColor="text1"/>
          <w:sz w:val="22"/>
          <w:szCs w:val="22"/>
        </w:rPr>
        <w:t xml:space="preserve">SI1. </w:t>
      </w:r>
      <w:r w:rsidR="00DE71C6" w:rsidRPr="00415E97">
        <w:rPr>
          <w:rFonts w:ascii="Arial" w:hAnsi="Arial" w:cs="Arial"/>
          <w:color w:val="000000" w:themeColor="text1"/>
          <w:sz w:val="22"/>
          <w:szCs w:val="22"/>
        </w:rPr>
        <w:t>Interindividual variability in toxicokinetics</w:t>
      </w:r>
      <w:r w:rsidR="00405A5E">
        <w:rPr>
          <w:rFonts w:ascii="Arial" w:hAnsi="Arial" w:cs="Arial"/>
          <w:color w:val="000000" w:themeColor="text1"/>
          <w:sz w:val="22"/>
          <w:szCs w:val="22"/>
        </w:rPr>
        <w:t xml:space="preserve"> – calculations</w:t>
      </w:r>
      <w:bookmarkEnd w:id="2"/>
      <w:bookmarkEnd w:id="3"/>
    </w:p>
    <w:p w14:paraId="633A4638" w14:textId="12621367" w:rsidR="00DE71C6" w:rsidRPr="00415E97" w:rsidRDefault="00415E97" w:rsidP="00DE71C6">
      <w:pPr>
        <w:spacing w:after="0" w:line="480" w:lineRule="auto"/>
        <w:rPr>
          <w:rFonts w:ascii="Arial" w:hAnsi="Arial" w:cs="Arial"/>
          <w:i/>
        </w:rPr>
      </w:pPr>
      <w:r w:rsidRPr="00415E97">
        <w:rPr>
          <w:rFonts w:ascii="Arial" w:hAnsi="Arial" w:cs="Arial"/>
          <w:i/>
        </w:rPr>
        <w:t>Allomet</w:t>
      </w:r>
      <w:bookmarkStart w:id="4" w:name="_GoBack"/>
      <w:bookmarkEnd w:id="4"/>
      <w:r w:rsidRPr="00415E97">
        <w:rPr>
          <w:rFonts w:ascii="Arial" w:hAnsi="Arial" w:cs="Arial"/>
          <w:i/>
        </w:rPr>
        <w:t>ric adjustment of AUC values</w:t>
      </w:r>
      <w:r w:rsidR="00DE71C6" w:rsidRPr="00415E97">
        <w:rPr>
          <w:rFonts w:ascii="Arial" w:hAnsi="Arial" w:cs="Arial"/>
          <w:i/>
        </w:rPr>
        <w:t xml:space="preserve"> </w:t>
      </w:r>
    </w:p>
    <w:p w14:paraId="3E92C3E2" w14:textId="039998FE" w:rsidR="00D416B3" w:rsidRDefault="00DE71C6" w:rsidP="00D416B3">
      <w:pPr>
        <w:spacing w:line="480" w:lineRule="auto"/>
        <w:rPr>
          <w:rFonts w:ascii="Arial" w:hAnsi="Arial" w:cs="Arial"/>
        </w:rPr>
      </w:pPr>
      <w:r>
        <w:rPr>
          <w:rFonts w:ascii="Arial" w:hAnsi="Arial" w:cs="Arial"/>
        </w:rPr>
        <w:t>Data that</w:t>
      </w:r>
      <w:r>
        <w:rPr>
          <w:rFonts w:ascii="Arial" w:hAnsi="Arial" w:cs="Arial"/>
          <w:bCs/>
        </w:rPr>
        <w:t xml:space="preserve"> were reported as arithmetic means and standard deviations on the normal scale were transformed into </w:t>
      </w:r>
      <w:r w:rsidR="00BB6C78">
        <w:rPr>
          <w:rFonts w:ascii="Arial" w:hAnsi="Arial" w:cs="Arial"/>
          <w:bCs/>
        </w:rPr>
        <w:t>geometric means (</w:t>
      </w:r>
      <w:r>
        <w:rPr>
          <w:rFonts w:ascii="Arial" w:hAnsi="Arial" w:cs="Arial"/>
          <w:bCs/>
        </w:rPr>
        <w:t>GMs</w:t>
      </w:r>
      <w:r w:rsidR="00BB6C78">
        <w:rPr>
          <w:rFonts w:ascii="Arial" w:hAnsi="Arial" w:cs="Arial"/>
          <w:bCs/>
        </w:rPr>
        <w:t>)</w:t>
      </w:r>
      <w:r>
        <w:rPr>
          <w:rFonts w:ascii="Arial" w:hAnsi="Arial" w:cs="Arial"/>
          <w:bCs/>
        </w:rPr>
        <w:t xml:space="preserve"> and</w:t>
      </w:r>
      <w:r w:rsidR="00BB6C78">
        <w:rPr>
          <w:rFonts w:ascii="Arial" w:hAnsi="Arial" w:cs="Arial"/>
          <w:bCs/>
        </w:rPr>
        <w:t xml:space="preserve"> geometric standard deviations</w:t>
      </w:r>
      <w:r>
        <w:rPr>
          <w:rFonts w:ascii="Arial" w:hAnsi="Arial" w:cs="Arial"/>
          <w:bCs/>
        </w:rPr>
        <w:t xml:space="preserve"> </w:t>
      </w:r>
      <w:r w:rsidR="00BB6C78">
        <w:rPr>
          <w:rFonts w:ascii="Arial" w:hAnsi="Arial" w:cs="Arial"/>
          <w:bCs/>
        </w:rPr>
        <w:t>(</w:t>
      </w:r>
      <w:r>
        <w:rPr>
          <w:rFonts w:ascii="Arial" w:hAnsi="Arial" w:cs="Arial"/>
          <w:bCs/>
        </w:rPr>
        <w:t>GSDs</w:t>
      </w:r>
      <w:r w:rsidR="00BB6C78">
        <w:rPr>
          <w:rFonts w:ascii="Arial" w:hAnsi="Arial" w:cs="Arial"/>
          <w:bCs/>
        </w:rPr>
        <w:t>)</w:t>
      </w:r>
      <w:r>
        <w:rPr>
          <w:rFonts w:ascii="Arial" w:hAnsi="Arial" w:cs="Arial"/>
          <w:bCs/>
        </w:rPr>
        <w:t xml:space="preserve"> on the log-scale </w:t>
      </w:r>
      <w:r>
        <w:rPr>
          <w:rFonts w:ascii="Arial" w:hAnsi="Arial" w:cs="Arial"/>
        </w:rPr>
        <w:fldChar w:fldCharType="begin"/>
      </w:r>
      <w:r w:rsidR="00F50B5C">
        <w:rPr>
          <w:rFonts w:ascii="Arial" w:hAnsi="Arial" w:cs="Arial"/>
        </w:rPr>
        <w:instrText xml:space="preserve"> ADDIN EN.CITE &lt;EndNote&gt;&lt;Cite&gt;&lt;Author&gt;Slob&lt;/Author&gt;&lt;Year&gt;1994&lt;/Year&gt;&lt;RecNum&gt;181&lt;/RecNum&gt;&lt;DisplayText&gt;(Slob, 1994)&lt;/DisplayText&gt;&lt;record&gt;&lt;rec-number&gt;181&lt;/rec-number&gt;&lt;foreign-keys&gt;&lt;key app="EN" db-id="95zfvevpm0pd5hewwazxt0vwpvx99t9zxds5" timestamp="1344435186"&gt;181&lt;/key&gt;&lt;/foreign-keys&gt;&lt;ref-type name="Journal Article"&gt;17&lt;/ref-type&gt;&lt;contributors&gt;&lt;authors&gt;&lt;author&gt;Slob, Wout&lt;/author&gt;&lt;/authors&gt;&lt;/contributors&gt;&lt;titles&gt;&lt;title&gt;Uncertainty Analysis in Multiplicative Models&lt;/title&gt;&lt;secondary-title&gt;Risk Anal&lt;/secondary-title&gt;&lt;/titles&gt;&lt;periodical&gt;&lt;full-title&gt;Risk Anal&lt;/full-title&gt;&lt;abbr-1&gt;Risk analysis : an official publication of the Society for Risk Analysis&lt;/abbr-1&gt;&lt;/periodical&gt;&lt;pages&gt;571-576&lt;/pages&gt;&lt;volume&gt;14&lt;/volume&gt;&lt;number&gt;4&lt;/number&gt;&lt;keywords&gt;&lt;keyword&gt;Risk assessment&lt;/keyword&gt;&lt;keyword&gt;uncertainty analysis&lt;/keyword&gt;&lt;keyword&gt;multiplicative model&lt;/keyword&gt;&lt;keyword&gt;lognormal distribution&lt;/keyword&gt;&lt;keyword&gt;Monte Carlo analysis&lt;/keyword&gt;&lt;/keywords&gt;&lt;dates&gt;&lt;year&gt;1994&lt;/year&gt;&lt;/dates&gt;&lt;publisher&gt;Blackwell Publishing Ltd&lt;/publisher&gt;&lt;isbn&gt;1539-6924&lt;/isbn&gt;&lt;urls&gt;&lt;related-urls&gt;&lt;url&gt;http://dx.doi.org/10.1111/j.1539-6924.1994.tb00271.x&lt;/url&gt;&lt;/related-urls&gt;&lt;/urls&gt;&lt;electronic-resource-num&gt;10.1111/j.1539-6924.1994.tb00271.x&lt;/electronic-resource-num&gt;&lt;/record&gt;&lt;/Cite&gt;&lt;/EndNote&gt;</w:instrText>
      </w:r>
      <w:r>
        <w:rPr>
          <w:rFonts w:ascii="Arial" w:hAnsi="Arial" w:cs="Arial"/>
        </w:rPr>
        <w:fldChar w:fldCharType="separate"/>
      </w:r>
      <w:r w:rsidR="00F50B5C">
        <w:rPr>
          <w:rFonts w:ascii="Arial" w:hAnsi="Arial" w:cs="Arial"/>
          <w:noProof/>
        </w:rPr>
        <w:t>(</w:t>
      </w:r>
      <w:hyperlink w:anchor="_ENREF_90" w:tooltip="Slob, 1994 #181" w:history="1">
        <w:r w:rsidR="00286517">
          <w:rPr>
            <w:rFonts w:ascii="Arial" w:hAnsi="Arial" w:cs="Arial"/>
            <w:noProof/>
          </w:rPr>
          <w:t>Slob, 1994</w:t>
        </w:r>
      </w:hyperlink>
      <w:r w:rsidR="00F50B5C">
        <w:rPr>
          <w:rFonts w:ascii="Arial" w:hAnsi="Arial" w:cs="Arial"/>
          <w:noProof/>
        </w:rPr>
        <w:t>)</w:t>
      </w:r>
      <w:r>
        <w:rPr>
          <w:rFonts w:ascii="Arial" w:hAnsi="Arial" w:cs="Arial"/>
        </w:rPr>
        <w:fldChar w:fldCharType="end"/>
      </w:r>
      <w:r>
        <w:rPr>
          <w:rFonts w:ascii="Arial" w:hAnsi="Arial" w:cs="Arial"/>
        </w:rPr>
        <w:t xml:space="preserve">, i.e., </w:t>
      </w:r>
      <w:r w:rsidR="00B30AF2">
        <w:rPr>
          <w:rFonts w:ascii="Arial" w:hAnsi="Arial" w:cs="Arial"/>
        </w:rPr>
        <w:t>l</w:t>
      </w:r>
      <w:r w:rsidR="00F97A83">
        <w:rPr>
          <w:rFonts w:ascii="Arial" w:hAnsi="Arial" w:cs="Arial"/>
        </w:rPr>
        <w:t>n</w:t>
      </w:r>
      <w:r w:rsidR="00B30AF2">
        <w:rPr>
          <w:rFonts w:ascii="Arial" w:hAnsi="Arial" w:cs="Arial"/>
        </w:rPr>
        <w:t>(GM</w:t>
      </w:r>
      <w:r w:rsidR="00B30AF2">
        <w:rPr>
          <w:rFonts w:ascii="Arial" w:hAnsi="Arial" w:cs="Arial"/>
          <w:vertAlign w:val="subscript"/>
        </w:rPr>
        <w:t>AUC</w:t>
      </w:r>
      <w:r w:rsidR="00B30AF2">
        <w:rPr>
          <w:rFonts w:ascii="Arial" w:hAnsi="Arial" w:cs="Arial"/>
        </w:rPr>
        <w:t>)</w:t>
      </w:r>
      <w:r>
        <w:rPr>
          <w:rFonts w:ascii="Arial" w:hAnsi="Arial" w:cs="Arial"/>
        </w:rPr>
        <w:t xml:space="preserve"> and </w:t>
      </w:r>
      <w:r w:rsidR="00B30AF2">
        <w:rPr>
          <w:rFonts w:ascii="Arial" w:hAnsi="Arial" w:cs="Arial"/>
        </w:rPr>
        <w:t>l</w:t>
      </w:r>
      <w:r w:rsidR="00F97A83">
        <w:rPr>
          <w:rFonts w:ascii="Arial" w:hAnsi="Arial" w:cs="Arial"/>
        </w:rPr>
        <w:t>n</w:t>
      </w:r>
      <w:r w:rsidR="00B30AF2">
        <w:rPr>
          <w:rFonts w:ascii="Arial" w:hAnsi="Arial" w:cs="Arial"/>
        </w:rPr>
        <w:t>(GSD</w:t>
      </w:r>
      <w:r w:rsidR="00B30AF2">
        <w:rPr>
          <w:rFonts w:ascii="Arial" w:hAnsi="Arial" w:cs="Arial"/>
          <w:vertAlign w:val="subscript"/>
        </w:rPr>
        <w:t>AUC</w:t>
      </w:r>
      <w:r w:rsidR="00B30AF2">
        <w:rPr>
          <w:rFonts w:ascii="Arial" w:hAnsi="Arial" w:cs="Arial"/>
        </w:rPr>
        <w:t>)</w:t>
      </w:r>
      <w:r>
        <w:rPr>
          <w:rFonts w:ascii="Arial" w:hAnsi="Arial" w:cs="Arial"/>
        </w:rPr>
        <w:t>, assuming that</w:t>
      </w:r>
      <w:r>
        <w:rPr>
          <w:rFonts w:ascii="Arial" w:hAnsi="Arial" w:cs="Arial"/>
          <w:bCs/>
        </w:rPr>
        <w:t xml:space="preserve"> interindividual variability in toxicokinetics follows a lognormal distribution</w:t>
      </w:r>
      <w:r>
        <w:rPr>
          <w:rFonts w:ascii="Arial" w:hAnsi="Arial" w:cs="Arial"/>
        </w:rPr>
        <w:t>. T</w:t>
      </w:r>
      <w:r w:rsidR="00D416B3">
        <w:rPr>
          <w:rFonts w:ascii="Arial" w:hAnsi="Arial" w:cs="Arial"/>
        </w:rPr>
        <w:t xml:space="preserve">he study-specific reported bodyweight values were transformed into GMs and GSDs on the log-scale </w:t>
      </w:r>
      <w:r w:rsidR="00D416B3">
        <w:rPr>
          <w:rFonts w:ascii="Arial" w:hAnsi="Arial" w:cs="Arial"/>
        </w:rPr>
        <w:fldChar w:fldCharType="begin"/>
      </w:r>
      <w:r w:rsidR="00F50B5C">
        <w:rPr>
          <w:rFonts w:ascii="Arial" w:hAnsi="Arial" w:cs="Arial"/>
        </w:rPr>
        <w:instrText xml:space="preserve"> ADDIN EN.CITE &lt;EndNote&gt;&lt;Cite&gt;&lt;Author&gt;Slob&lt;/Author&gt;&lt;Year&gt;1994&lt;/Year&gt;&lt;RecNum&gt;181&lt;/RecNum&gt;&lt;DisplayText&gt;(Slob, 1994)&lt;/DisplayText&gt;&lt;record&gt;&lt;rec-number&gt;181&lt;/rec-number&gt;&lt;foreign-keys&gt;&lt;key app="EN" db-id="95zfvevpm0pd5hewwazxt0vwpvx99t9zxds5" timestamp="1344435186"&gt;181&lt;/key&gt;&lt;/foreign-keys&gt;&lt;ref-type name="Journal Article"&gt;17&lt;/ref-type&gt;&lt;contributors&gt;&lt;authors&gt;&lt;author&gt;Slob, Wout&lt;/author&gt;&lt;/authors&gt;&lt;/contributors&gt;&lt;titles&gt;&lt;title&gt;Uncertainty Analysis in Multiplicative Models&lt;/title&gt;&lt;secondary-title&gt;Risk Anal&lt;/secondary-title&gt;&lt;/titles&gt;&lt;periodical&gt;&lt;full-title&gt;Risk Anal&lt;/full-title&gt;&lt;abbr-1&gt;Risk analysis : an official publication of the Society for Risk Analysis&lt;/abbr-1&gt;&lt;/periodical&gt;&lt;pages&gt;571-576&lt;/pages&gt;&lt;volume&gt;14&lt;/volume&gt;&lt;number&gt;4&lt;/number&gt;&lt;keywords&gt;&lt;keyword&gt;Risk assessment&lt;/keyword&gt;&lt;keyword&gt;uncertainty analysis&lt;/keyword&gt;&lt;keyword&gt;multiplicative model&lt;/keyword&gt;&lt;keyword&gt;lognormal distribution&lt;/keyword&gt;&lt;keyword&gt;Monte Carlo analysis&lt;/keyword&gt;&lt;/keywords&gt;&lt;dates&gt;&lt;year&gt;1994&lt;/year&gt;&lt;/dates&gt;&lt;publisher&gt;Blackwell Publishing Ltd&lt;/publisher&gt;&lt;isbn&gt;1539-6924&lt;/isbn&gt;&lt;urls&gt;&lt;related-urls&gt;&lt;url&gt;http://dx.doi.org/10.1111/j.1539-6924.1994.tb00271.x&lt;/url&gt;&lt;/related-urls&gt;&lt;/urls&gt;&lt;electronic-resource-num&gt;10.1111/j.1539-6924.1994.tb00271.x&lt;/electronic-resource-num&gt;&lt;/record&gt;&lt;/Cite&gt;&lt;/EndNote&gt;</w:instrText>
      </w:r>
      <w:r w:rsidR="00D416B3">
        <w:rPr>
          <w:rFonts w:ascii="Arial" w:hAnsi="Arial" w:cs="Arial"/>
        </w:rPr>
        <w:fldChar w:fldCharType="separate"/>
      </w:r>
      <w:r w:rsidR="00F50B5C">
        <w:rPr>
          <w:rFonts w:ascii="Arial" w:hAnsi="Arial" w:cs="Arial"/>
          <w:noProof/>
        </w:rPr>
        <w:t>(</w:t>
      </w:r>
      <w:hyperlink w:anchor="_ENREF_90" w:tooltip="Slob, 1994 #181" w:history="1">
        <w:r w:rsidR="00286517">
          <w:rPr>
            <w:rFonts w:ascii="Arial" w:hAnsi="Arial" w:cs="Arial"/>
            <w:noProof/>
          </w:rPr>
          <w:t>Slob, 1994</w:t>
        </w:r>
      </w:hyperlink>
      <w:r w:rsidR="00F50B5C">
        <w:rPr>
          <w:rFonts w:ascii="Arial" w:hAnsi="Arial" w:cs="Arial"/>
          <w:noProof/>
        </w:rPr>
        <w:t>)</w:t>
      </w:r>
      <w:r w:rsidR="00D416B3">
        <w:rPr>
          <w:rFonts w:ascii="Arial" w:hAnsi="Arial" w:cs="Arial"/>
        </w:rPr>
        <w:fldChar w:fldCharType="end"/>
      </w:r>
      <w:r w:rsidR="00D416B3">
        <w:rPr>
          <w:rFonts w:ascii="Arial" w:hAnsi="Arial" w:cs="Arial"/>
        </w:rPr>
        <w:t xml:space="preserve">, i.e., </w:t>
      </w:r>
      <w:r w:rsidR="00F97A83">
        <w:rPr>
          <w:rFonts w:ascii="Arial" w:hAnsi="Arial" w:cs="Arial"/>
        </w:rPr>
        <w:t>ln</w:t>
      </w:r>
      <w:r w:rsidR="00B30AF2">
        <w:rPr>
          <w:rFonts w:ascii="Arial" w:hAnsi="Arial" w:cs="Arial"/>
        </w:rPr>
        <w:t>(GM</w:t>
      </w:r>
      <w:r w:rsidR="00B30AF2">
        <w:rPr>
          <w:rFonts w:ascii="Arial" w:hAnsi="Arial" w:cs="Arial"/>
          <w:vertAlign w:val="subscript"/>
        </w:rPr>
        <w:t>BW</w:t>
      </w:r>
      <w:r w:rsidR="00B30AF2">
        <w:rPr>
          <w:rFonts w:ascii="Arial" w:hAnsi="Arial" w:cs="Arial"/>
        </w:rPr>
        <w:t>)</w:t>
      </w:r>
      <w:r w:rsidR="00D416B3">
        <w:rPr>
          <w:rFonts w:ascii="Arial" w:hAnsi="Arial" w:cs="Arial"/>
        </w:rPr>
        <w:t xml:space="preserve"> and </w:t>
      </w:r>
      <w:r w:rsidR="00F97A83">
        <w:rPr>
          <w:rFonts w:ascii="Arial" w:hAnsi="Arial" w:cs="Arial"/>
        </w:rPr>
        <w:t>ln</w:t>
      </w:r>
      <w:r w:rsidR="00B30AF2">
        <w:rPr>
          <w:rFonts w:ascii="Arial" w:hAnsi="Arial" w:cs="Arial"/>
        </w:rPr>
        <w:t>(GSD</w:t>
      </w:r>
      <w:r w:rsidR="00B30AF2">
        <w:rPr>
          <w:rFonts w:ascii="Arial" w:hAnsi="Arial" w:cs="Arial"/>
          <w:vertAlign w:val="subscript"/>
        </w:rPr>
        <w:t>BW</w:t>
      </w:r>
      <w:r w:rsidR="00B30AF2">
        <w:rPr>
          <w:rFonts w:ascii="Arial" w:hAnsi="Arial" w:cs="Arial"/>
        </w:rPr>
        <w:t>)</w:t>
      </w:r>
      <w:r w:rsidR="00D416B3">
        <w:rPr>
          <w:rFonts w:ascii="Arial" w:hAnsi="Arial" w:cs="Arial"/>
          <w:vertAlign w:val="subscript"/>
        </w:rPr>
        <w:softHyphen/>
      </w:r>
      <w:r w:rsidR="00D416B3" w:rsidRPr="00B30AF2">
        <w:rPr>
          <w:rFonts w:ascii="Arial" w:hAnsi="Arial" w:cs="Arial"/>
        </w:rPr>
        <w:t>,</w:t>
      </w:r>
      <w:r w:rsidR="00B30AF2">
        <w:rPr>
          <w:rFonts w:ascii="Arial" w:hAnsi="Arial" w:cs="Arial"/>
        </w:rPr>
        <w:t xml:space="preserve"> </w:t>
      </w:r>
      <w:r w:rsidR="00D416B3">
        <w:rPr>
          <w:rFonts w:ascii="Arial" w:hAnsi="Arial" w:cs="Arial"/>
        </w:rPr>
        <w:t>assuming that bodyweight follows a lognormal distribution and that it is independent from the adjusted AUC (i.e., their covariance is 0).</w:t>
      </w:r>
    </w:p>
    <w:p w14:paraId="1F718786" w14:textId="12C46771" w:rsidR="00D416B3" w:rsidRDefault="009377CE" w:rsidP="00D416B3">
      <w:pPr>
        <w:spacing w:after="0" w:line="480" w:lineRule="auto"/>
        <w:rPr>
          <w:rFonts w:ascii="Arial" w:hAnsi="Arial" w:cs="Arial"/>
        </w:rPr>
      </w:pPr>
      <m:oMath>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rPr>
                </m:ctrlPr>
              </m:dPr>
              <m:e>
                <m:sSub>
                  <m:sSubPr>
                    <m:ctrlPr>
                      <w:rPr>
                        <w:rFonts w:ascii="Cambria Math" w:hAnsi="Cambria Math" w:cs="Arial"/>
                      </w:rPr>
                    </m:ctrlPr>
                  </m:sSubPr>
                  <m:e>
                    <m:r>
                      <m:rPr>
                        <m:sty m:val="p"/>
                      </m:rPr>
                      <w:rPr>
                        <w:rFonts w:ascii="Cambria Math" w:hAnsi="Cambria Math" w:cs="Arial"/>
                      </w:rPr>
                      <m:t>GM</m:t>
                    </m:r>
                  </m:e>
                  <m:sub>
                    <m:r>
                      <m:rPr>
                        <m:sty m:val="p"/>
                      </m:rPr>
                      <w:rPr>
                        <w:rFonts w:ascii="Cambria Math" w:hAnsi="Cambria Math" w:cs="Arial"/>
                      </w:rPr>
                      <m:t>AUC,adj</m:t>
                    </m:r>
                  </m:sub>
                </m:sSub>
              </m:e>
            </m:d>
          </m:e>
        </m:func>
        <m:r>
          <m:rPr>
            <m:sty m:val="p"/>
          </m:rPr>
          <w:rPr>
            <w:rFonts w:ascii="Cambria Math" w:hAnsi="Cambria Math" w:cs="Arial"/>
          </w:rPr>
          <m:t>=</m:t>
        </m:r>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rPr>
                </m:ctrlPr>
              </m:dPr>
              <m:e>
                <m:sSub>
                  <m:sSubPr>
                    <m:ctrlPr>
                      <w:rPr>
                        <w:rFonts w:ascii="Cambria Math" w:hAnsi="Cambria Math" w:cs="Arial"/>
                      </w:rPr>
                    </m:ctrlPr>
                  </m:sSubPr>
                  <m:e>
                    <m:r>
                      <m:rPr>
                        <m:sty m:val="p"/>
                      </m:rPr>
                      <w:rPr>
                        <w:rFonts w:ascii="Cambria Math" w:hAnsi="Cambria Math" w:cs="Arial"/>
                      </w:rPr>
                      <m:t>GM</m:t>
                    </m:r>
                  </m:e>
                  <m:sub>
                    <m:r>
                      <m:rPr>
                        <m:sty m:val="p"/>
                      </m:rPr>
                      <w:rPr>
                        <w:rFonts w:ascii="Cambria Math" w:hAnsi="Cambria Math" w:cs="Arial"/>
                      </w:rPr>
                      <m:t>AUC</m:t>
                    </m:r>
                  </m:sub>
                </m:sSub>
              </m:e>
            </m:d>
          </m:e>
        </m:func>
        <m:r>
          <m:rPr>
            <m:sty m:val="p"/>
          </m:rPr>
          <w:rPr>
            <w:rFonts w:ascii="Cambria Math" w:hAnsi="Cambria Math" w:cs="Arial"/>
          </w:rPr>
          <m:t>-</m:t>
        </m:r>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rPr>
                </m:ctrlPr>
              </m:dPr>
              <m:e>
                <m:r>
                  <m:rPr>
                    <m:sty m:val="p"/>
                  </m:rPr>
                  <w:rPr>
                    <w:rFonts w:ascii="Cambria Math" w:hAnsi="Cambria Math" w:cs="Arial"/>
                  </w:rPr>
                  <m:t>D</m:t>
                </m:r>
              </m:e>
            </m:d>
          </m:e>
        </m:func>
        <m:r>
          <m:rPr>
            <m:sty m:val="p"/>
          </m:rPr>
          <w:rPr>
            <w:rFonts w:ascii="Cambria Math" w:hAnsi="Cambria Math" w:cs="Arial"/>
          </w:rPr>
          <m:t>+</m:t>
        </m:r>
        <m:d>
          <m:dPr>
            <m:ctrlPr>
              <w:rPr>
                <w:rFonts w:ascii="Cambria Math" w:hAnsi="Cambria Math" w:cs="Arial"/>
              </w:rPr>
            </m:ctrlPr>
          </m:dPr>
          <m:e>
            <m:r>
              <m:rPr>
                <m:sty m:val="p"/>
              </m:rPr>
              <w:rPr>
                <w:rFonts w:ascii="Cambria Math" w:hAnsi="Cambria Math" w:cs="Arial" w:hint="eastAsia"/>
              </w:rPr>
              <m:t>α</m:t>
            </m:r>
            <m:r>
              <m:rPr>
                <m:sty m:val="p"/>
              </m:rPr>
              <w:rPr>
                <w:rFonts w:ascii="Cambria Math" w:hAnsi="Cambria Math" w:cs="Arial"/>
              </w:rPr>
              <m:t>-</m:t>
            </m:r>
            <m:r>
              <m:rPr>
                <m:sty m:val="p"/>
              </m:rPr>
              <w:rPr>
                <w:rFonts w:ascii="Cambria Math" w:hAnsi="Cambria Math" w:cs="Arial" w:hint="eastAsia"/>
              </w:rPr>
              <m:t>β</m:t>
            </m:r>
          </m:e>
        </m:d>
        <m:r>
          <m:rPr>
            <m:sty m:val="p"/>
          </m:rPr>
          <w:rPr>
            <w:rFonts w:ascii="Cambria Math" w:hAnsi="Cambria Math" w:cs="Arial"/>
          </w:rPr>
          <m:t>∙</m:t>
        </m:r>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rPr>
                </m:ctrlPr>
              </m:dPr>
              <m:e>
                <m:sSub>
                  <m:sSubPr>
                    <m:ctrlPr>
                      <w:rPr>
                        <w:rFonts w:ascii="Cambria Math" w:hAnsi="Cambria Math" w:cs="Arial"/>
                      </w:rPr>
                    </m:ctrlPr>
                  </m:sSubPr>
                  <m:e>
                    <m:r>
                      <m:rPr>
                        <m:sty m:val="p"/>
                      </m:rPr>
                      <w:rPr>
                        <w:rFonts w:ascii="Cambria Math" w:hAnsi="Cambria Math" w:cs="Arial"/>
                      </w:rPr>
                      <m:t>GM</m:t>
                    </m:r>
                  </m:e>
                  <m:sub>
                    <m:r>
                      <m:rPr>
                        <m:sty m:val="p"/>
                      </m:rPr>
                      <w:rPr>
                        <w:rFonts w:ascii="Cambria Math" w:hAnsi="Cambria Math" w:cs="Arial"/>
                      </w:rPr>
                      <m:t>BW</m:t>
                    </m:r>
                  </m:sub>
                </m:sSub>
              </m:e>
            </m:d>
          </m:e>
        </m:func>
      </m:oMath>
      <w:r w:rsidR="00DE71C6">
        <w:rPr>
          <w:rFonts w:ascii="Arial" w:hAnsi="Arial" w:cs="Arial"/>
        </w:rPr>
        <w:tab/>
      </w:r>
      <w:r w:rsidR="00DE71C6">
        <w:rPr>
          <w:rFonts w:ascii="Arial" w:hAnsi="Arial" w:cs="Arial"/>
        </w:rPr>
        <w:tab/>
      </w:r>
      <w:r w:rsidR="00DE71C6">
        <w:rPr>
          <w:rFonts w:ascii="Arial" w:hAnsi="Arial" w:cs="Arial"/>
        </w:rPr>
        <w:tab/>
      </w:r>
      <w:r w:rsidR="00DE71C6">
        <w:rPr>
          <w:rFonts w:ascii="Arial" w:hAnsi="Arial" w:cs="Arial"/>
        </w:rPr>
        <w:tab/>
      </w:r>
      <w:r w:rsidR="00F97A83">
        <w:rPr>
          <w:rFonts w:ascii="Arial" w:hAnsi="Arial" w:cs="Arial"/>
        </w:rPr>
        <w:tab/>
      </w:r>
      <w:r w:rsidR="00D416B3">
        <w:rPr>
          <w:rFonts w:ascii="Arial" w:hAnsi="Arial" w:cs="Arial"/>
        </w:rPr>
        <w:t>(</w:t>
      </w:r>
      <w:r w:rsidR="00DE71C6">
        <w:rPr>
          <w:rFonts w:ascii="Arial" w:hAnsi="Arial" w:cs="Arial"/>
        </w:rPr>
        <w:t>SI</w:t>
      </w:r>
      <w:r w:rsidR="00D416B3">
        <w:rPr>
          <w:rFonts w:ascii="Arial" w:hAnsi="Arial" w:cs="Arial"/>
        </w:rPr>
        <w:t>1)</w:t>
      </w:r>
    </w:p>
    <w:p w14:paraId="6168F206" w14:textId="3C6B35FE" w:rsidR="00D416B3" w:rsidRDefault="009377CE" w:rsidP="00D416B3">
      <w:pPr>
        <w:spacing w:line="480" w:lineRule="auto"/>
        <w:rPr>
          <w:rFonts w:ascii="Arial" w:hAnsi="Arial" w:cs="Arial"/>
        </w:rPr>
      </w:pPr>
      <m:oMath>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rPr>
                </m:ctrlPr>
              </m:dPr>
              <m:e>
                <m:sSub>
                  <m:sSubPr>
                    <m:ctrlPr>
                      <w:rPr>
                        <w:rFonts w:ascii="Cambria Math" w:hAnsi="Cambria Math" w:cs="Arial"/>
                      </w:rPr>
                    </m:ctrlPr>
                  </m:sSubPr>
                  <m:e>
                    <m:r>
                      <m:rPr>
                        <m:sty m:val="p"/>
                      </m:rPr>
                      <w:rPr>
                        <w:rFonts w:ascii="Cambria Math" w:hAnsi="Cambria Math" w:cs="Arial"/>
                      </w:rPr>
                      <m:t>GSD</m:t>
                    </m:r>
                  </m:e>
                  <m:sub>
                    <m:r>
                      <m:rPr>
                        <m:sty m:val="p"/>
                      </m:rPr>
                      <w:rPr>
                        <w:rFonts w:ascii="Cambria Math" w:hAnsi="Cambria Math" w:cs="Arial"/>
                      </w:rPr>
                      <m:t>AUC,adj</m:t>
                    </m:r>
                  </m:sub>
                </m:sSub>
              </m:e>
            </m:d>
          </m:e>
        </m:func>
        <m:r>
          <m:rPr>
            <m:sty m:val="p"/>
          </m:rPr>
          <w:rPr>
            <w:rFonts w:ascii="Cambria Math" w:hAnsi="Cambria Math" w:cs="Arial"/>
          </w:rPr>
          <m:t>=</m:t>
        </m:r>
        <m:rad>
          <m:radPr>
            <m:degHide m:val="1"/>
            <m:ctrlPr>
              <w:rPr>
                <w:rFonts w:ascii="Cambria Math" w:hAnsi="Cambria Math" w:cs="Arial"/>
              </w:rPr>
            </m:ctrlPr>
          </m:radPr>
          <m:deg/>
          <m:e>
            <m:sSup>
              <m:sSupPr>
                <m:ctrlPr>
                  <w:rPr>
                    <w:rFonts w:ascii="Cambria Math" w:hAnsi="Cambria Math" w:cs="Arial"/>
                  </w:rPr>
                </m:ctrlPr>
              </m:sSupPr>
              <m:e>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rPr>
                        </m:ctrlPr>
                      </m:dPr>
                      <m:e>
                        <m:sSub>
                          <m:sSubPr>
                            <m:ctrlPr>
                              <w:rPr>
                                <w:rFonts w:ascii="Cambria Math" w:hAnsi="Cambria Math" w:cs="Arial"/>
                              </w:rPr>
                            </m:ctrlPr>
                          </m:sSubPr>
                          <m:e>
                            <m:r>
                              <m:rPr>
                                <m:sty m:val="p"/>
                              </m:rPr>
                              <w:rPr>
                                <w:rFonts w:ascii="Cambria Math" w:hAnsi="Cambria Math" w:cs="Arial"/>
                              </w:rPr>
                              <m:t>GSD</m:t>
                            </m:r>
                          </m:e>
                          <m:sub>
                            <m:r>
                              <m:rPr>
                                <m:sty m:val="p"/>
                              </m:rPr>
                              <w:rPr>
                                <w:rFonts w:ascii="Cambria Math" w:hAnsi="Cambria Math" w:cs="Arial"/>
                              </w:rPr>
                              <m:t>AUC</m:t>
                            </m:r>
                          </m:sub>
                        </m:sSub>
                      </m:e>
                    </m:d>
                  </m:e>
                </m:func>
              </m:e>
              <m:sup>
                <m:r>
                  <m:rPr>
                    <m:sty m:val="p"/>
                  </m:rPr>
                  <w:rPr>
                    <w:rFonts w:ascii="Cambria Math" w:hAnsi="Cambria Math" w:cs="Arial"/>
                  </w:rPr>
                  <m:t>2</m:t>
                </m:r>
              </m:sup>
            </m:sSup>
            <m:r>
              <m:rPr>
                <m:sty m:val="p"/>
              </m:rPr>
              <w:rPr>
                <w:rFonts w:ascii="Cambria Math" w:hAnsi="Cambria Math" w:cs="Arial"/>
              </w:rPr>
              <m:t>-</m:t>
            </m:r>
            <m:sSup>
              <m:sSupPr>
                <m:ctrlPr>
                  <w:rPr>
                    <w:rFonts w:ascii="Cambria Math" w:hAnsi="Cambria Math" w:cs="Arial"/>
                  </w:rPr>
                </m:ctrlPr>
              </m:sSupPr>
              <m:e>
                <m:d>
                  <m:dPr>
                    <m:ctrlPr>
                      <w:rPr>
                        <w:rFonts w:ascii="Cambria Math" w:hAnsi="Cambria Math" w:cs="Arial"/>
                      </w:rPr>
                    </m:ctrlPr>
                  </m:dPr>
                  <m:e>
                    <m:r>
                      <m:rPr>
                        <m:sty m:val="p"/>
                      </m:rPr>
                      <w:rPr>
                        <w:rFonts w:ascii="Cambria Math" w:hAnsi="Cambria Math" w:cs="Arial" w:hint="eastAsia"/>
                      </w:rPr>
                      <m:t>α</m:t>
                    </m:r>
                    <m:r>
                      <m:rPr>
                        <m:sty m:val="p"/>
                      </m:rPr>
                      <w:rPr>
                        <w:rFonts w:ascii="Cambria Math" w:hAnsi="Cambria Math" w:cs="Arial"/>
                      </w:rPr>
                      <m:t>-</m:t>
                    </m:r>
                    <m:r>
                      <m:rPr>
                        <m:sty m:val="p"/>
                      </m:rPr>
                      <w:rPr>
                        <w:rFonts w:ascii="Cambria Math" w:hAnsi="Cambria Math" w:cs="Arial" w:hint="eastAsia"/>
                      </w:rPr>
                      <m:t>β</m:t>
                    </m:r>
                  </m:e>
                </m:d>
              </m:e>
              <m:sup>
                <m:r>
                  <m:rPr>
                    <m:sty m:val="p"/>
                  </m:rPr>
                  <w:rPr>
                    <w:rFonts w:ascii="Cambria Math" w:hAnsi="Cambria Math" w:cs="Arial"/>
                  </w:rPr>
                  <m:t>2</m:t>
                </m:r>
              </m:sup>
            </m:sSup>
            <m:r>
              <m:rPr>
                <m:sty m:val="p"/>
              </m:rPr>
              <w:rPr>
                <w:rFonts w:ascii="Cambria Math" w:hAnsi="Cambria Math" w:cs="Arial"/>
              </w:rPr>
              <m:t>∙</m:t>
            </m:r>
            <m:sSup>
              <m:sSupPr>
                <m:ctrlPr>
                  <w:rPr>
                    <w:rFonts w:ascii="Cambria Math" w:hAnsi="Cambria Math" w:cs="Arial"/>
                  </w:rPr>
                </m:ctrlPr>
              </m:sSupPr>
              <m:e>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rPr>
                        </m:ctrlPr>
                      </m:dPr>
                      <m:e>
                        <m:sSub>
                          <m:sSubPr>
                            <m:ctrlPr>
                              <w:rPr>
                                <w:rFonts w:ascii="Cambria Math" w:hAnsi="Cambria Math" w:cs="Arial"/>
                              </w:rPr>
                            </m:ctrlPr>
                          </m:sSubPr>
                          <m:e>
                            <m:r>
                              <m:rPr>
                                <m:sty m:val="p"/>
                              </m:rPr>
                              <w:rPr>
                                <w:rFonts w:ascii="Cambria Math" w:hAnsi="Cambria Math" w:cs="Arial"/>
                              </w:rPr>
                              <m:t>GSD</m:t>
                            </m:r>
                          </m:e>
                          <m:sub>
                            <m:r>
                              <m:rPr>
                                <m:sty m:val="p"/>
                              </m:rPr>
                              <w:rPr>
                                <w:rFonts w:ascii="Cambria Math" w:hAnsi="Cambria Math" w:cs="Arial"/>
                              </w:rPr>
                              <m:t>BW</m:t>
                            </m:r>
                          </m:sub>
                        </m:sSub>
                      </m:e>
                    </m:d>
                  </m:e>
                </m:func>
              </m:e>
              <m:sup>
                <m:r>
                  <m:rPr>
                    <m:sty m:val="p"/>
                  </m:rPr>
                  <w:rPr>
                    <w:rFonts w:ascii="Cambria Math" w:hAnsi="Cambria Math" w:cs="Arial"/>
                  </w:rPr>
                  <m:t>2</m:t>
                </m:r>
              </m:sup>
            </m:sSup>
          </m:e>
        </m:rad>
      </m:oMath>
      <w:r w:rsidR="00D416B3">
        <w:rPr>
          <w:rFonts w:ascii="Arial" w:hAnsi="Arial" w:cs="Arial"/>
        </w:rPr>
        <w:tab/>
      </w:r>
      <w:r w:rsidR="00D416B3">
        <w:rPr>
          <w:rFonts w:ascii="Arial" w:hAnsi="Arial" w:cs="Arial"/>
        </w:rPr>
        <w:tab/>
      </w:r>
      <w:r w:rsidR="00D416B3">
        <w:rPr>
          <w:rFonts w:ascii="Arial" w:hAnsi="Arial" w:cs="Arial"/>
        </w:rPr>
        <w:tab/>
      </w:r>
      <w:r w:rsidR="00D416B3">
        <w:rPr>
          <w:rFonts w:ascii="Arial" w:hAnsi="Arial" w:cs="Arial"/>
        </w:rPr>
        <w:tab/>
      </w:r>
      <w:r w:rsidR="00D416B3">
        <w:rPr>
          <w:rFonts w:ascii="Arial" w:hAnsi="Arial" w:cs="Arial"/>
        </w:rPr>
        <w:tab/>
        <w:t>(</w:t>
      </w:r>
      <w:r w:rsidR="00DE71C6">
        <w:rPr>
          <w:rFonts w:ascii="Arial" w:hAnsi="Arial" w:cs="Arial"/>
        </w:rPr>
        <w:t>SI</w:t>
      </w:r>
      <w:r w:rsidR="00D416B3">
        <w:rPr>
          <w:rFonts w:ascii="Arial" w:hAnsi="Arial" w:cs="Arial"/>
        </w:rPr>
        <w:t>2)</w:t>
      </w:r>
    </w:p>
    <w:p w14:paraId="1219C1ED" w14:textId="780A38CA" w:rsidR="00D416B3" w:rsidRPr="008301F1" w:rsidRDefault="00D416B3" w:rsidP="00D416B3">
      <w:pPr>
        <w:spacing w:line="480" w:lineRule="auto"/>
        <w:rPr>
          <w:rFonts w:ascii="Arial" w:hAnsi="Arial" w:cs="Arial"/>
        </w:rPr>
      </w:pPr>
      <w:r w:rsidRPr="008301F1">
        <w:rPr>
          <w:rFonts w:ascii="Arial" w:hAnsi="Arial" w:cs="Arial"/>
        </w:rPr>
        <w:t>with</w:t>
      </w:r>
      <w:r>
        <w:rPr>
          <w:rFonts w:ascii="Arial" w:hAnsi="Arial" w:cs="Arial"/>
        </w:rPr>
        <w:t xml:space="preserve"> </w:t>
      </w:r>
      <w:r w:rsidR="00F97A83">
        <w:rPr>
          <w:rFonts w:ascii="Arial" w:hAnsi="Arial" w:cs="Arial"/>
        </w:rPr>
        <w:t>ln(GM</w:t>
      </w:r>
      <w:r w:rsidR="00F97A83">
        <w:rPr>
          <w:rFonts w:ascii="Arial" w:hAnsi="Arial" w:cs="Arial"/>
          <w:vertAlign w:val="subscript"/>
        </w:rPr>
        <w:t>AUC,adj</w:t>
      </w:r>
      <w:r w:rsidR="00F97A83">
        <w:rPr>
          <w:rFonts w:ascii="Arial" w:hAnsi="Arial" w:cs="Arial"/>
        </w:rPr>
        <w:t>)</w:t>
      </w:r>
      <w:r w:rsidRPr="008301F1">
        <w:rPr>
          <w:rFonts w:ascii="Arial" w:hAnsi="Arial" w:cs="Arial"/>
        </w:rPr>
        <w:t xml:space="preserve"> and</w:t>
      </w:r>
      <w:r>
        <w:rPr>
          <w:rFonts w:ascii="Arial" w:hAnsi="Arial" w:cs="Arial"/>
        </w:rPr>
        <w:t xml:space="preserve"> </w:t>
      </w:r>
      <w:r w:rsidR="00F97A83">
        <w:rPr>
          <w:rFonts w:ascii="Arial" w:hAnsi="Arial" w:cs="Arial"/>
        </w:rPr>
        <w:t>ln(GSD</w:t>
      </w:r>
      <w:r w:rsidR="00F97A83">
        <w:rPr>
          <w:rFonts w:ascii="Arial" w:hAnsi="Arial" w:cs="Arial"/>
          <w:vertAlign w:val="subscript"/>
        </w:rPr>
        <w:t>AUC,adj</w:t>
      </w:r>
      <w:r w:rsidRPr="00F97A83">
        <w:rPr>
          <w:rFonts w:ascii="Arial" w:hAnsi="Arial" w:cs="Arial"/>
        </w:rPr>
        <w:t>)</w:t>
      </w:r>
      <w:r>
        <w:rPr>
          <w:rFonts w:ascii="Arial" w:hAnsi="Arial" w:cs="Arial"/>
        </w:rPr>
        <w:t xml:space="preserve"> </w:t>
      </w:r>
      <w:r w:rsidRPr="008301F1">
        <w:rPr>
          <w:rFonts w:ascii="Arial" w:hAnsi="Arial" w:cs="Arial"/>
        </w:rPr>
        <w:t xml:space="preserve">being the allometrically adjusted </w:t>
      </w:r>
      <w:r w:rsidR="00F97A83">
        <w:rPr>
          <w:rFonts w:ascii="Arial" w:hAnsi="Arial" w:cs="Arial"/>
        </w:rPr>
        <w:t>ln(GM</w:t>
      </w:r>
      <w:r w:rsidR="00F97A83">
        <w:rPr>
          <w:rFonts w:ascii="Arial" w:hAnsi="Arial" w:cs="Arial"/>
          <w:vertAlign w:val="subscript"/>
        </w:rPr>
        <w:t>AUC</w:t>
      </w:r>
      <w:r w:rsidRPr="00002AAC">
        <w:rPr>
          <w:rFonts w:ascii="Arial" w:hAnsi="Arial" w:cs="Arial"/>
        </w:rPr>
        <w:t>)</w:t>
      </w:r>
      <w:r w:rsidRPr="008301F1">
        <w:rPr>
          <w:rFonts w:ascii="Arial" w:hAnsi="Arial" w:cs="Arial"/>
          <w:vertAlign w:val="subscript"/>
        </w:rPr>
        <w:t xml:space="preserve"> </w:t>
      </w:r>
      <w:r w:rsidRPr="008301F1">
        <w:rPr>
          <w:rFonts w:ascii="Arial" w:hAnsi="Arial" w:cs="Arial"/>
        </w:rPr>
        <w:t xml:space="preserve">and </w:t>
      </w:r>
      <w:r w:rsidR="00002AAC">
        <w:rPr>
          <w:rFonts w:ascii="Arial" w:hAnsi="Arial" w:cs="Arial"/>
        </w:rPr>
        <w:t>ln(GSD</w:t>
      </w:r>
      <w:r w:rsidR="00002AAC">
        <w:rPr>
          <w:rFonts w:ascii="Arial" w:hAnsi="Arial" w:cs="Arial"/>
          <w:vertAlign w:val="subscript"/>
        </w:rPr>
        <w:t>AUC</w:t>
      </w:r>
      <w:r w:rsidRPr="00002AAC">
        <w:rPr>
          <w:rFonts w:ascii="Arial" w:hAnsi="Arial" w:cs="Arial"/>
        </w:rPr>
        <w:t>)</w:t>
      </w:r>
      <w:r w:rsidRPr="008301F1">
        <w:rPr>
          <w:rFonts w:ascii="Arial" w:hAnsi="Arial" w:cs="Arial"/>
        </w:rPr>
        <w:t xml:space="preserve">; α being the allometric scaling factor; and β being a constant that depends on the definition of dose D. </w:t>
      </w:r>
      <w:r>
        <w:rPr>
          <w:rFonts w:ascii="Arial" w:hAnsi="Arial" w:cs="Arial"/>
        </w:rPr>
        <w:t xml:space="preserve">The allometric scaling </w:t>
      </w:r>
      <w:r w:rsidRPr="00F92C87">
        <w:rPr>
          <w:rFonts w:ascii="Arial" w:hAnsi="Arial" w:cs="Arial"/>
        </w:rPr>
        <w:t>factor α was sampled from</w:t>
      </w:r>
      <w:r>
        <w:rPr>
          <w:rFonts w:ascii="Arial" w:hAnsi="Arial" w:cs="Arial"/>
        </w:rPr>
        <w:t xml:space="preserve"> the same distribution as used for the allometric interspeci</w:t>
      </w:r>
      <w:r w:rsidR="00DE71C6">
        <w:rPr>
          <w:rFonts w:ascii="Arial" w:hAnsi="Arial" w:cs="Arial"/>
        </w:rPr>
        <w:t>es extrapolation (Step 3a</w:t>
      </w:r>
      <w:r>
        <w:rPr>
          <w:rFonts w:ascii="Arial" w:hAnsi="Arial" w:cs="Arial"/>
        </w:rPr>
        <w:t>).</w:t>
      </w:r>
    </w:p>
    <w:p w14:paraId="01314A3D" w14:textId="66507AAD" w:rsidR="00D416B3" w:rsidRDefault="00D416B3" w:rsidP="00D416B3">
      <w:pPr>
        <w:spacing w:line="480" w:lineRule="auto"/>
        <w:rPr>
          <w:rFonts w:ascii="Arial" w:hAnsi="Arial" w:cs="Arial"/>
        </w:rPr>
      </w:pPr>
      <w:r>
        <w:rPr>
          <w:rFonts w:ascii="Arial" w:hAnsi="Arial" w:cs="Arial"/>
        </w:rPr>
        <w:t xml:space="preserve">The constant </w:t>
      </w:r>
      <w:r w:rsidRPr="008301F1">
        <w:rPr>
          <w:rFonts w:ascii="Arial" w:hAnsi="Arial" w:cs="Arial"/>
        </w:rPr>
        <w:t xml:space="preserve">β </w:t>
      </w:r>
      <w:r>
        <w:rPr>
          <w:rFonts w:ascii="Arial" w:hAnsi="Arial" w:cs="Arial"/>
        </w:rPr>
        <w:t xml:space="preserve">has a </w:t>
      </w:r>
      <w:r w:rsidRPr="008301F1">
        <w:rPr>
          <w:rFonts w:ascii="Arial" w:hAnsi="Arial" w:cs="Arial"/>
        </w:rPr>
        <w:t>value</w:t>
      </w:r>
      <w:r>
        <w:rPr>
          <w:rFonts w:ascii="Arial" w:hAnsi="Arial" w:cs="Arial"/>
        </w:rPr>
        <w:t xml:space="preserve"> of</w:t>
      </w:r>
      <w:r w:rsidRPr="00E62FD2">
        <w:rPr>
          <w:rFonts w:ascii="Arial" w:hAnsi="Arial" w:cs="Arial"/>
        </w:rPr>
        <w:t xml:space="preserve"> 0</w:t>
      </w:r>
      <w:r>
        <w:rPr>
          <w:rFonts w:ascii="Arial" w:hAnsi="Arial" w:cs="Arial"/>
        </w:rPr>
        <w:t xml:space="preserve"> when the dose is administered as a fixed amount (mg), and a value of</w:t>
      </w:r>
      <w:r w:rsidRPr="00E62FD2">
        <w:rPr>
          <w:rFonts w:ascii="Arial" w:hAnsi="Arial" w:cs="Arial"/>
        </w:rPr>
        <w:t xml:space="preserve"> 1 </w:t>
      </w:r>
      <w:r>
        <w:rPr>
          <w:rFonts w:ascii="Arial" w:hAnsi="Arial" w:cs="Arial"/>
        </w:rPr>
        <w:t>when</w:t>
      </w:r>
      <w:r w:rsidRPr="00E62FD2">
        <w:rPr>
          <w:rFonts w:ascii="Arial" w:hAnsi="Arial" w:cs="Arial"/>
        </w:rPr>
        <w:t xml:space="preserve"> </w:t>
      </w:r>
      <w:r>
        <w:rPr>
          <w:rFonts w:ascii="Arial" w:hAnsi="Arial" w:cs="Arial"/>
        </w:rPr>
        <w:t>the dose</w:t>
      </w:r>
      <w:r w:rsidRPr="00E62FD2">
        <w:rPr>
          <w:rFonts w:ascii="Arial" w:hAnsi="Arial" w:cs="Arial"/>
        </w:rPr>
        <w:t xml:space="preserve"> is </w:t>
      </w:r>
      <w:r>
        <w:rPr>
          <w:rFonts w:ascii="Arial" w:hAnsi="Arial" w:cs="Arial"/>
        </w:rPr>
        <w:t>administered as an amount per bodyweight (</w:t>
      </w:r>
      <w:r w:rsidRPr="00E62FD2">
        <w:rPr>
          <w:rFonts w:ascii="Arial" w:hAnsi="Arial" w:cs="Arial"/>
        </w:rPr>
        <w:t>mg*kg</w:t>
      </w:r>
      <w:r w:rsidRPr="00E62FD2">
        <w:rPr>
          <w:rFonts w:ascii="Arial" w:hAnsi="Arial" w:cs="Arial"/>
          <w:vertAlign w:val="superscript"/>
        </w:rPr>
        <w:t>-1</w:t>
      </w:r>
      <w:r>
        <w:rPr>
          <w:rFonts w:ascii="Arial" w:hAnsi="Arial" w:cs="Arial"/>
        </w:rPr>
        <w:t>).</w:t>
      </w:r>
      <w:r w:rsidRPr="00B83B9F">
        <w:rPr>
          <w:rFonts w:ascii="Arial" w:hAnsi="Arial" w:cs="Arial"/>
        </w:rPr>
        <w:t xml:space="preserve"> </w:t>
      </w:r>
      <w:r>
        <w:rPr>
          <w:rFonts w:ascii="Arial" w:hAnsi="Arial" w:cs="Arial"/>
        </w:rPr>
        <w:t>When the dose is administered as an amount per BSA (</w:t>
      </w:r>
      <w:r w:rsidRPr="00507AFD">
        <w:rPr>
          <w:rFonts w:ascii="Arial" w:hAnsi="Arial" w:cs="Arial"/>
        </w:rPr>
        <w:t>mg*m</w:t>
      </w:r>
      <w:r w:rsidRPr="00507AFD">
        <w:rPr>
          <w:rFonts w:ascii="Arial" w:hAnsi="Arial" w:cs="Arial"/>
          <w:vertAlign w:val="superscript"/>
        </w:rPr>
        <w:t>-2</w:t>
      </w:r>
      <w:r>
        <w:rPr>
          <w:rFonts w:ascii="Arial" w:hAnsi="Arial" w:cs="Arial"/>
        </w:rPr>
        <w:t xml:space="preserve">), </w:t>
      </w:r>
      <w:r w:rsidRPr="008301F1">
        <w:rPr>
          <w:rFonts w:ascii="Arial" w:hAnsi="Arial" w:cs="Arial"/>
        </w:rPr>
        <w:t>β</w:t>
      </w:r>
      <w:r>
        <w:rPr>
          <w:rFonts w:ascii="Arial" w:hAnsi="Arial" w:cs="Arial"/>
        </w:rPr>
        <w:t xml:space="preserve"> is assigned the same value as the allometric scaling factor </w:t>
      </w:r>
      <w:r w:rsidRPr="008301F1">
        <w:rPr>
          <w:rFonts w:ascii="Arial" w:hAnsi="Arial" w:cs="Arial"/>
        </w:rPr>
        <w:t>α</w:t>
      </w:r>
      <w:r>
        <w:rPr>
          <w:rFonts w:ascii="Arial" w:hAnsi="Arial" w:cs="Arial"/>
        </w:rPr>
        <w:t>. It must be noted, however, that values derived from studies that administer an amount per BSA are not directly comparable with</w:t>
      </w:r>
      <w:r w:rsidRPr="001C047C">
        <w:rPr>
          <w:rFonts w:ascii="Arial" w:hAnsi="Arial" w:cs="Arial"/>
        </w:rPr>
        <w:t xml:space="preserve"> </w:t>
      </w:r>
      <w:r>
        <w:rPr>
          <w:rFonts w:ascii="Arial" w:hAnsi="Arial" w:cs="Arial"/>
        </w:rPr>
        <w:t xml:space="preserve">values derived from studies that administer a fixed amount or an amount per bodyweight. Since only part of the studies collected for methotrexate administered an amount per BSA, we estimated BSAs for the other studies based on the reported bodyweights </w:t>
      </w:r>
      <w:r>
        <w:rPr>
          <w:rFonts w:ascii="Arial" w:hAnsi="Arial" w:cs="Arial"/>
        </w:rPr>
        <w:fldChar w:fldCharType="begin"/>
      </w:r>
      <w:r w:rsidR="00135F65">
        <w:rPr>
          <w:rFonts w:ascii="Arial" w:hAnsi="Arial" w:cs="Arial"/>
        </w:rPr>
        <w:instrText xml:space="preserve"> ADDIN EN.CITE &lt;EndNote&gt;&lt;Cite&gt;&lt;Author&gt;Costeff&lt;/Author&gt;&lt;Year&gt;1966&lt;/Year&gt;&lt;RecNum&gt;9905&lt;/RecNum&gt;&lt;Prefix&gt;via &lt;/Prefix&gt;&lt;DisplayText&gt;(via Costeff, 1966)&lt;/DisplayText&gt;&lt;record&gt;&lt;rec-number&gt;9905&lt;/rec-number&gt;&lt;foreign-keys&gt;&lt;key app="EN" db-id="95zfvevpm0pd5hewwazxt0vwpvx99t9zxds5" timestamp="1360861580"&gt;9905&lt;/key&gt;&lt;/foreign-keys&gt;&lt;ref-type name="Journal Article"&gt;17&lt;/ref-type&gt;&lt;contributors&gt;&lt;authors&gt;&lt;author&gt;Costeff, HANAN&lt;/author&gt;&lt;/authors&gt;&lt;/contributors&gt;&lt;titles&gt;&lt;title&gt;A simple empirical formula for calculating approximate surface area in children&lt;/title&gt;&lt;secondary-title&gt;Arch Dis Child&lt;/secondary-title&gt;&lt;/titles&gt;&lt;periodical&gt;&lt;full-title&gt;Arch Dis Child&lt;/full-title&gt;&lt;/periodical&gt;&lt;pages&gt;681&lt;/pages&gt;&lt;volume&gt;41&lt;/volume&gt;&lt;number&gt;220&lt;/number&gt;&lt;dates&gt;&lt;year&gt;1966&lt;/year&gt;&lt;/dates&gt;&lt;urls&gt;&lt;/urls&gt;&lt;/record&gt;&lt;/Cite&gt;&lt;/EndNote&gt;</w:instrText>
      </w:r>
      <w:r>
        <w:rPr>
          <w:rFonts w:ascii="Arial" w:hAnsi="Arial" w:cs="Arial"/>
        </w:rPr>
        <w:fldChar w:fldCharType="separate"/>
      </w:r>
      <w:r w:rsidRPr="00E14BE7">
        <w:rPr>
          <w:rFonts w:ascii="Arial" w:hAnsi="Arial" w:cs="Arial"/>
          <w:noProof/>
        </w:rPr>
        <w:t>(</w:t>
      </w:r>
      <w:hyperlink w:anchor="_ENREF_21" w:tooltip="Costeff, 1966 #9905" w:history="1">
        <w:r w:rsidR="00286517" w:rsidRPr="00E14BE7">
          <w:rPr>
            <w:rFonts w:ascii="Arial" w:hAnsi="Arial" w:cs="Arial"/>
            <w:noProof/>
          </w:rPr>
          <w:t>via Costeff, 1966</w:t>
        </w:r>
      </w:hyperlink>
      <w:r w:rsidRPr="00E14BE7">
        <w:rPr>
          <w:rFonts w:ascii="Arial" w:hAnsi="Arial" w:cs="Arial"/>
          <w:noProof/>
        </w:rPr>
        <w:t>)</w:t>
      </w:r>
      <w:r>
        <w:rPr>
          <w:rFonts w:ascii="Arial" w:hAnsi="Arial" w:cs="Arial"/>
        </w:rPr>
        <w:fldChar w:fldCharType="end"/>
      </w:r>
      <w:r>
        <w:rPr>
          <w:rFonts w:ascii="Arial" w:hAnsi="Arial" w:cs="Arial"/>
        </w:rPr>
        <w:t xml:space="preserve">, and transformed these into GMs and GSDs on the log-scale </w:t>
      </w:r>
      <w:r>
        <w:rPr>
          <w:rFonts w:ascii="Arial" w:hAnsi="Arial" w:cs="Arial"/>
        </w:rPr>
        <w:fldChar w:fldCharType="begin"/>
      </w:r>
      <w:r w:rsidR="00F50B5C">
        <w:rPr>
          <w:rFonts w:ascii="Arial" w:hAnsi="Arial" w:cs="Arial"/>
        </w:rPr>
        <w:instrText xml:space="preserve"> ADDIN EN.CITE &lt;EndNote&gt;&lt;Cite&gt;&lt;Author&gt;Slob&lt;/Author&gt;&lt;Year&gt;1994&lt;/Year&gt;&lt;RecNum&gt;181&lt;/RecNum&gt;&lt;DisplayText&gt;(Slob, 1994)&lt;/DisplayText&gt;&lt;record&gt;&lt;rec-number&gt;181&lt;/rec-number&gt;&lt;foreign-keys&gt;&lt;key app="EN" db-id="95zfvevpm0pd5hewwazxt0vwpvx99t9zxds5" timestamp="1344435186"&gt;181&lt;/key&gt;&lt;/foreign-keys&gt;&lt;ref-type name="Journal Article"&gt;17&lt;/ref-type&gt;&lt;contributors&gt;&lt;authors&gt;&lt;author&gt;Slob, Wout&lt;/author&gt;&lt;/authors&gt;&lt;/contributors&gt;&lt;titles&gt;&lt;title&gt;Uncertainty Analysis in Multiplicative Models&lt;/title&gt;&lt;secondary-title&gt;Risk Anal&lt;/secondary-title&gt;&lt;/titles&gt;&lt;periodical&gt;&lt;full-title&gt;Risk Anal&lt;/full-title&gt;&lt;abbr-1&gt;Risk analysis : an official publication of the Society for Risk Analysis&lt;/abbr-1&gt;&lt;/periodical&gt;&lt;pages&gt;571-576&lt;/pages&gt;&lt;volume&gt;14&lt;/volume&gt;&lt;number&gt;4&lt;/number&gt;&lt;keywords&gt;&lt;keyword&gt;Risk assessment&lt;/keyword&gt;&lt;keyword&gt;uncertainty analysis&lt;/keyword&gt;&lt;keyword&gt;multiplicative model&lt;/keyword&gt;&lt;keyword&gt;lognormal distribution&lt;/keyword&gt;&lt;keyword&gt;Monte Carlo analysis&lt;/keyword&gt;&lt;/keywords&gt;&lt;dates&gt;&lt;year&gt;1994&lt;/year&gt;&lt;/dates&gt;&lt;publisher&gt;Blackwell Publishing Ltd&lt;/publisher&gt;&lt;isbn&gt;1539-6924&lt;/isbn&gt;&lt;urls&gt;&lt;related-urls&gt;&lt;url&gt;http://dx.doi.org/10.1111/j.1539-6924.1994.tb00271.x&lt;/url&gt;&lt;/related-urls&gt;&lt;/urls&gt;&lt;electronic-resource-num&gt;10.1111/j.1539-6924.1994.tb00271.x&lt;/electronic-resource-num&gt;&lt;/record&gt;&lt;/Cite&gt;&lt;/EndNote&gt;</w:instrText>
      </w:r>
      <w:r>
        <w:rPr>
          <w:rFonts w:ascii="Arial" w:hAnsi="Arial" w:cs="Arial"/>
        </w:rPr>
        <w:fldChar w:fldCharType="separate"/>
      </w:r>
      <w:r w:rsidR="00F50B5C">
        <w:rPr>
          <w:rFonts w:ascii="Arial" w:hAnsi="Arial" w:cs="Arial"/>
          <w:noProof/>
        </w:rPr>
        <w:t>(</w:t>
      </w:r>
      <w:hyperlink w:anchor="_ENREF_90" w:tooltip="Slob, 1994 #181" w:history="1">
        <w:r w:rsidR="00286517">
          <w:rPr>
            <w:rFonts w:ascii="Arial" w:hAnsi="Arial" w:cs="Arial"/>
            <w:noProof/>
          </w:rPr>
          <w:t>Slob, 1994</w:t>
        </w:r>
      </w:hyperlink>
      <w:r w:rsidR="00F50B5C">
        <w:rPr>
          <w:rFonts w:ascii="Arial" w:hAnsi="Arial" w:cs="Arial"/>
          <w:noProof/>
        </w:rPr>
        <w:t>)</w:t>
      </w:r>
      <w:r>
        <w:rPr>
          <w:rFonts w:ascii="Arial" w:hAnsi="Arial" w:cs="Arial"/>
        </w:rPr>
        <w:fldChar w:fldCharType="end"/>
      </w:r>
      <w:r>
        <w:rPr>
          <w:rFonts w:ascii="Arial" w:hAnsi="Arial" w:cs="Arial"/>
        </w:rPr>
        <w:t xml:space="preserve">, i.e., </w:t>
      </w:r>
      <w:r w:rsidR="00002AAC">
        <w:rPr>
          <w:rFonts w:ascii="Arial" w:hAnsi="Arial" w:cs="Arial"/>
        </w:rPr>
        <w:t>ln(GM</w:t>
      </w:r>
      <w:r w:rsidRPr="00002AAC">
        <w:rPr>
          <w:rFonts w:ascii="Arial" w:hAnsi="Arial" w:cs="Arial"/>
          <w:vertAlign w:val="subscript"/>
        </w:rPr>
        <w:t>BSA</w:t>
      </w:r>
      <w:r w:rsidR="00002AAC">
        <w:rPr>
          <w:rFonts w:ascii="Arial" w:hAnsi="Arial" w:cs="Arial"/>
        </w:rPr>
        <w:t>)</w:t>
      </w:r>
      <w:r>
        <w:rPr>
          <w:rFonts w:ascii="Arial" w:hAnsi="Arial" w:cs="Arial"/>
        </w:rPr>
        <w:t xml:space="preserve"> and </w:t>
      </w:r>
      <w:r w:rsidR="00002AAC">
        <w:rPr>
          <w:rFonts w:ascii="Arial" w:hAnsi="Arial" w:cs="Arial"/>
        </w:rPr>
        <w:t>ln(GSD</w:t>
      </w:r>
      <w:r w:rsidRPr="00002AAC">
        <w:rPr>
          <w:rFonts w:ascii="Arial" w:hAnsi="Arial" w:cs="Arial"/>
          <w:vertAlign w:val="subscript"/>
        </w:rPr>
        <w:t>BSA</w:t>
      </w:r>
      <w:r w:rsidRPr="00002AAC">
        <w:rPr>
          <w:rFonts w:ascii="Arial" w:hAnsi="Arial" w:cs="Arial"/>
        </w:rPr>
        <w:t>)</w:t>
      </w:r>
      <w:r w:rsidRPr="00F165AE">
        <w:rPr>
          <w:rFonts w:ascii="Arial" w:hAnsi="Arial" w:cs="Arial"/>
        </w:rPr>
        <w:t>.</w:t>
      </w:r>
      <w:r>
        <w:rPr>
          <w:rFonts w:ascii="Arial" w:hAnsi="Arial" w:cs="Arial"/>
        </w:rPr>
        <w:t xml:space="preserve"> </w:t>
      </w:r>
      <w:r>
        <w:rPr>
          <w:rFonts w:ascii="Arial" w:hAnsi="Arial" w:cs="Arial"/>
        </w:rPr>
        <w:lastRenderedPageBreak/>
        <w:t xml:space="preserve">Subsequently, the </w:t>
      </w:r>
      <w:r w:rsidR="00002AAC">
        <w:rPr>
          <w:rFonts w:ascii="Arial" w:hAnsi="Arial" w:cs="Arial"/>
        </w:rPr>
        <w:t>ln(GM</w:t>
      </w:r>
      <w:r w:rsidRPr="00002AAC">
        <w:rPr>
          <w:rFonts w:ascii="Arial" w:hAnsi="Arial" w:cs="Arial"/>
          <w:vertAlign w:val="subscript"/>
        </w:rPr>
        <w:t>AUC,adj</w:t>
      </w:r>
      <w:r w:rsidRPr="00002AAC">
        <w:rPr>
          <w:rFonts w:ascii="Arial" w:hAnsi="Arial" w:cs="Arial"/>
        </w:rPr>
        <w:t>)</w:t>
      </w:r>
      <w:r w:rsidRPr="008301F1">
        <w:rPr>
          <w:rFonts w:ascii="Arial" w:hAnsi="Arial" w:cs="Arial"/>
        </w:rPr>
        <w:t xml:space="preserve"> and</w:t>
      </w:r>
      <w:r>
        <w:rPr>
          <w:rFonts w:ascii="Arial" w:hAnsi="Arial" w:cs="Arial"/>
        </w:rPr>
        <w:t xml:space="preserve"> </w:t>
      </w:r>
      <w:r w:rsidR="00002AAC">
        <w:rPr>
          <w:rFonts w:ascii="Arial" w:hAnsi="Arial" w:cs="Arial"/>
        </w:rPr>
        <w:t>ln(GSD</w:t>
      </w:r>
      <w:r w:rsidRPr="00002AAC">
        <w:rPr>
          <w:rFonts w:ascii="Arial" w:hAnsi="Arial" w:cs="Arial"/>
          <w:vertAlign w:val="subscript"/>
        </w:rPr>
        <w:t>AUC,adj</w:t>
      </w:r>
      <w:r w:rsidR="00002AAC">
        <w:rPr>
          <w:rFonts w:ascii="Arial" w:hAnsi="Arial" w:cs="Arial"/>
        </w:rPr>
        <w:t>)</w:t>
      </w:r>
      <w:r>
        <w:rPr>
          <w:rFonts w:ascii="Arial" w:hAnsi="Arial" w:cs="Arial"/>
        </w:rPr>
        <w:t xml:space="preserve"> values were derived via Equations </w:t>
      </w:r>
      <w:r w:rsidR="00DE71C6">
        <w:rPr>
          <w:rFonts w:ascii="Arial" w:hAnsi="Arial" w:cs="Arial"/>
        </w:rPr>
        <w:t>SI</w:t>
      </w:r>
      <w:r>
        <w:rPr>
          <w:rFonts w:ascii="Arial" w:hAnsi="Arial" w:cs="Arial"/>
        </w:rPr>
        <w:t xml:space="preserve">3 and </w:t>
      </w:r>
      <w:r w:rsidR="00DE71C6">
        <w:rPr>
          <w:rFonts w:ascii="Arial" w:hAnsi="Arial" w:cs="Arial"/>
        </w:rPr>
        <w:t>SI</w:t>
      </w:r>
      <w:r>
        <w:rPr>
          <w:rFonts w:ascii="Arial" w:hAnsi="Arial" w:cs="Arial"/>
        </w:rPr>
        <w:t>4:</w:t>
      </w:r>
    </w:p>
    <w:p w14:paraId="5AF9AEEB" w14:textId="5A684E0E" w:rsidR="00D416B3" w:rsidRDefault="009377CE" w:rsidP="00D416B3">
      <w:pPr>
        <w:spacing w:after="0" w:line="480" w:lineRule="auto"/>
        <w:rPr>
          <w:rFonts w:ascii="Arial" w:hAnsi="Arial" w:cs="Arial"/>
        </w:rPr>
      </w:pPr>
      <m:oMath>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rPr>
                </m:ctrlPr>
              </m:dPr>
              <m:e>
                <m:sSub>
                  <m:sSubPr>
                    <m:ctrlPr>
                      <w:rPr>
                        <w:rFonts w:ascii="Cambria Math" w:hAnsi="Cambria Math" w:cs="Arial"/>
                      </w:rPr>
                    </m:ctrlPr>
                  </m:sSubPr>
                  <m:e>
                    <m:r>
                      <m:rPr>
                        <m:sty m:val="p"/>
                      </m:rPr>
                      <w:rPr>
                        <w:rFonts w:ascii="Cambria Math" w:hAnsi="Cambria Math" w:cs="Arial"/>
                      </w:rPr>
                      <m:t>GM</m:t>
                    </m:r>
                  </m:e>
                  <m:sub>
                    <m:r>
                      <m:rPr>
                        <m:sty m:val="p"/>
                      </m:rPr>
                      <w:rPr>
                        <w:rFonts w:ascii="Cambria Math" w:hAnsi="Cambria Math" w:cs="Arial"/>
                      </w:rPr>
                      <m:t>AUC,adj</m:t>
                    </m:r>
                  </m:sub>
                </m:sSub>
              </m:e>
            </m:d>
          </m:e>
        </m:func>
        <m:r>
          <m:rPr>
            <m:sty m:val="p"/>
          </m:rPr>
          <w:rPr>
            <w:rFonts w:ascii="Cambria Math" w:hAnsi="Cambria Math" w:cs="Arial"/>
          </w:rPr>
          <m:t>=</m:t>
        </m:r>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rPr>
                </m:ctrlPr>
              </m:dPr>
              <m:e>
                <m:sSub>
                  <m:sSubPr>
                    <m:ctrlPr>
                      <w:rPr>
                        <w:rFonts w:ascii="Cambria Math" w:hAnsi="Cambria Math" w:cs="Arial"/>
                      </w:rPr>
                    </m:ctrlPr>
                  </m:sSubPr>
                  <m:e>
                    <m:r>
                      <m:rPr>
                        <m:sty m:val="p"/>
                      </m:rPr>
                      <w:rPr>
                        <w:rFonts w:ascii="Cambria Math" w:hAnsi="Cambria Math" w:cs="Arial"/>
                      </w:rPr>
                      <m:t>GM</m:t>
                    </m:r>
                  </m:e>
                  <m:sub>
                    <m:r>
                      <m:rPr>
                        <m:sty m:val="p"/>
                      </m:rPr>
                      <w:rPr>
                        <w:rFonts w:ascii="Cambria Math" w:hAnsi="Cambria Math" w:cs="Arial"/>
                      </w:rPr>
                      <m:t>AUC</m:t>
                    </m:r>
                  </m:sub>
                </m:sSub>
              </m:e>
            </m:d>
          </m:e>
        </m:func>
        <m:r>
          <m:rPr>
            <m:sty m:val="p"/>
          </m:rPr>
          <w:rPr>
            <w:rFonts w:ascii="Cambria Math" w:hAnsi="Cambria Math" w:cs="Arial"/>
          </w:rPr>
          <m:t>-</m:t>
        </m:r>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rPr>
                </m:ctrlPr>
              </m:dPr>
              <m:e>
                <m:r>
                  <m:rPr>
                    <m:sty m:val="p"/>
                  </m:rPr>
                  <w:rPr>
                    <w:rFonts w:ascii="Cambria Math" w:hAnsi="Cambria Math" w:cs="Arial"/>
                  </w:rPr>
                  <m:t>D</m:t>
                </m:r>
              </m:e>
            </m:d>
          </m:e>
        </m:func>
        <m:r>
          <m:rPr>
            <m:sty m:val="p"/>
          </m:rPr>
          <w:rPr>
            <w:rFonts w:ascii="Cambria Math" w:hAnsi="Cambria Math" w:cs="Arial"/>
          </w:rPr>
          <m:t>+</m:t>
        </m:r>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rPr>
                </m:ctrlPr>
              </m:dPr>
              <m:e>
                <m:sSub>
                  <m:sSubPr>
                    <m:ctrlPr>
                      <w:rPr>
                        <w:rFonts w:ascii="Cambria Math" w:hAnsi="Cambria Math" w:cs="Arial"/>
                      </w:rPr>
                    </m:ctrlPr>
                  </m:sSubPr>
                  <m:e>
                    <m:r>
                      <m:rPr>
                        <m:sty m:val="p"/>
                      </m:rPr>
                      <w:rPr>
                        <w:rFonts w:ascii="Cambria Math" w:hAnsi="Cambria Math" w:cs="Arial"/>
                      </w:rPr>
                      <m:t>GM</m:t>
                    </m:r>
                  </m:e>
                  <m:sub>
                    <m:r>
                      <m:rPr>
                        <m:sty m:val="p"/>
                      </m:rPr>
                      <w:rPr>
                        <w:rFonts w:ascii="Cambria Math" w:hAnsi="Cambria Math" w:cs="Arial"/>
                      </w:rPr>
                      <m:t>BSA</m:t>
                    </m:r>
                  </m:sub>
                </m:sSub>
              </m:e>
            </m:d>
          </m:e>
        </m:func>
      </m:oMath>
      <w:r w:rsidR="00D416B3">
        <w:rPr>
          <w:rFonts w:ascii="Arial" w:hAnsi="Arial" w:cs="Arial"/>
        </w:rPr>
        <w:tab/>
      </w:r>
      <w:r w:rsidR="00D416B3">
        <w:rPr>
          <w:rFonts w:ascii="Arial" w:hAnsi="Arial" w:cs="Arial"/>
        </w:rPr>
        <w:tab/>
      </w:r>
      <w:r w:rsidR="00D416B3">
        <w:rPr>
          <w:rFonts w:ascii="Arial" w:hAnsi="Arial" w:cs="Arial"/>
        </w:rPr>
        <w:tab/>
      </w:r>
      <w:r w:rsidR="00D416B3">
        <w:rPr>
          <w:rFonts w:ascii="Arial" w:hAnsi="Arial" w:cs="Arial"/>
        </w:rPr>
        <w:tab/>
      </w:r>
      <w:r w:rsidR="00D416B3">
        <w:rPr>
          <w:rFonts w:ascii="Arial" w:hAnsi="Arial" w:cs="Arial"/>
        </w:rPr>
        <w:tab/>
      </w:r>
      <w:r w:rsidR="00D416B3">
        <w:rPr>
          <w:rFonts w:ascii="Arial" w:hAnsi="Arial" w:cs="Arial"/>
        </w:rPr>
        <w:tab/>
        <w:t>(</w:t>
      </w:r>
      <w:r w:rsidR="00DE71C6">
        <w:rPr>
          <w:rFonts w:ascii="Arial" w:hAnsi="Arial" w:cs="Arial"/>
        </w:rPr>
        <w:t>SI</w:t>
      </w:r>
      <w:r w:rsidR="00D416B3">
        <w:rPr>
          <w:rFonts w:ascii="Arial" w:hAnsi="Arial" w:cs="Arial"/>
        </w:rPr>
        <w:t>3)</w:t>
      </w:r>
    </w:p>
    <w:p w14:paraId="37B86662" w14:textId="4BBE60DF" w:rsidR="00D416B3" w:rsidRDefault="009377CE" w:rsidP="00D416B3">
      <w:pPr>
        <w:spacing w:line="480" w:lineRule="auto"/>
        <w:rPr>
          <w:rFonts w:ascii="Arial" w:hAnsi="Arial" w:cs="Arial"/>
        </w:rPr>
      </w:pPr>
      <m:oMath>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rPr>
                </m:ctrlPr>
              </m:dPr>
              <m:e>
                <m:sSub>
                  <m:sSubPr>
                    <m:ctrlPr>
                      <w:rPr>
                        <w:rFonts w:ascii="Cambria Math" w:hAnsi="Cambria Math" w:cs="Arial"/>
                      </w:rPr>
                    </m:ctrlPr>
                  </m:sSubPr>
                  <m:e>
                    <m:r>
                      <m:rPr>
                        <m:sty m:val="p"/>
                      </m:rPr>
                      <w:rPr>
                        <w:rFonts w:ascii="Cambria Math" w:hAnsi="Cambria Math" w:cs="Arial"/>
                      </w:rPr>
                      <m:t>GSD</m:t>
                    </m:r>
                  </m:e>
                  <m:sub>
                    <m:r>
                      <m:rPr>
                        <m:sty m:val="p"/>
                      </m:rPr>
                      <w:rPr>
                        <w:rFonts w:ascii="Cambria Math" w:hAnsi="Cambria Math" w:cs="Arial"/>
                      </w:rPr>
                      <m:t>AUC,adj</m:t>
                    </m:r>
                  </m:sub>
                </m:sSub>
              </m:e>
            </m:d>
          </m:e>
        </m:func>
        <m:r>
          <m:rPr>
            <m:sty m:val="p"/>
          </m:rPr>
          <w:rPr>
            <w:rFonts w:ascii="Cambria Math" w:hAnsi="Cambria Math" w:cs="Arial"/>
          </w:rPr>
          <m:t>=</m:t>
        </m:r>
        <m:rad>
          <m:radPr>
            <m:degHide m:val="1"/>
            <m:ctrlPr>
              <w:rPr>
                <w:rFonts w:ascii="Cambria Math" w:hAnsi="Cambria Math" w:cs="Arial"/>
              </w:rPr>
            </m:ctrlPr>
          </m:radPr>
          <m:deg/>
          <m:e>
            <m:sSup>
              <m:sSupPr>
                <m:ctrlPr>
                  <w:rPr>
                    <w:rFonts w:ascii="Cambria Math" w:hAnsi="Cambria Math" w:cs="Arial"/>
                  </w:rPr>
                </m:ctrlPr>
              </m:sSupPr>
              <m:e>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rPr>
                        </m:ctrlPr>
                      </m:dPr>
                      <m:e>
                        <m:sSub>
                          <m:sSubPr>
                            <m:ctrlPr>
                              <w:rPr>
                                <w:rFonts w:ascii="Cambria Math" w:hAnsi="Cambria Math" w:cs="Arial"/>
                              </w:rPr>
                            </m:ctrlPr>
                          </m:sSubPr>
                          <m:e>
                            <m:r>
                              <m:rPr>
                                <m:sty m:val="p"/>
                              </m:rPr>
                              <w:rPr>
                                <w:rFonts w:ascii="Cambria Math" w:hAnsi="Cambria Math" w:cs="Arial"/>
                              </w:rPr>
                              <m:t>GSD</m:t>
                            </m:r>
                          </m:e>
                          <m:sub>
                            <m:r>
                              <m:rPr>
                                <m:sty m:val="p"/>
                              </m:rPr>
                              <w:rPr>
                                <w:rFonts w:ascii="Cambria Math" w:hAnsi="Cambria Math" w:cs="Arial"/>
                              </w:rPr>
                              <m:t>AUC</m:t>
                            </m:r>
                          </m:sub>
                        </m:sSub>
                      </m:e>
                    </m:d>
                  </m:e>
                </m:func>
              </m:e>
              <m:sup>
                <m:r>
                  <m:rPr>
                    <m:sty m:val="p"/>
                  </m:rPr>
                  <w:rPr>
                    <w:rFonts w:ascii="Cambria Math" w:hAnsi="Cambria Math" w:cs="Arial"/>
                  </w:rPr>
                  <m:t>2</m:t>
                </m:r>
              </m:sup>
            </m:sSup>
            <m:r>
              <m:rPr>
                <m:sty m:val="p"/>
              </m:rPr>
              <w:rPr>
                <w:rFonts w:ascii="Cambria Math" w:hAnsi="Cambria Math" w:cs="Arial"/>
              </w:rPr>
              <m:t>-</m:t>
            </m:r>
            <m:sSup>
              <m:sSupPr>
                <m:ctrlPr>
                  <w:rPr>
                    <w:rFonts w:ascii="Cambria Math" w:hAnsi="Cambria Math" w:cs="Arial"/>
                  </w:rPr>
                </m:ctrlPr>
              </m:sSupPr>
              <m:e>
                <m:func>
                  <m:funcPr>
                    <m:ctrlPr>
                      <w:rPr>
                        <w:rFonts w:ascii="Cambria Math" w:hAnsi="Cambria Math" w:cs="Arial"/>
                      </w:rPr>
                    </m:ctrlPr>
                  </m:funcPr>
                  <m:fName>
                    <m:r>
                      <m:rPr>
                        <m:sty m:val="p"/>
                      </m:rPr>
                      <w:rPr>
                        <w:rFonts w:ascii="Cambria Math" w:hAnsi="Cambria Math" w:cs="Arial"/>
                      </w:rPr>
                      <m:t>ln</m:t>
                    </m:r>
                  </m:fName>
                  <m:e>
                    <m:d>
                      <m:dPr>
                        <m:ctrlPr>
                          <w:rPr>
                            <w:rFonts w:ascii="Cambria Math" w:hAnsi="Cambria Math" w:cs="Arial"/>
                          </w:rPr>
                        </m:ctrlPr>
                      </m:dPr>
                      <m:e>
                        <m:sSub>
                          <m:sSubPr>
                            <m:ctrlPr>
                              <w:rPr>
                                <w:rFonts w:ascii="Cambria Math" w:hAnsi="Cambria Math" w:cs="Arial"/>
                              </w:rPr>
                            </m:ctrlPr>
                          </m:sSubPr>
                          <m:e>
                            <m:r>
                              <m:rPr>
                                <m:sty m:val="p"/>
                              </m:rPr>
                              <w:rPr>
                                <w:rFonts w:ascii="Cambria Math" w:hAnsi="Cambria Math" w:cs="Arial"/>
                              </w:rPr>
                              <m:t>GSD</m:t>
                            </m:r>
                          </m:e>
                          <m:sub>
                            <m:r>
                              <m:rPr>
                                <m:sty m:val="p"/>
                              </m:rPr>
                              <w:rPr>
                                <w:rFonts w:ascii="Cambria Math" w:hAnsi="Cambria Math" w:cs="Arial"/>
                              </w:rPr>
                              <m:t>BSA</m:t>
                            </m:r>
                          </m:sub>
                        </m:sSub>
                      </m:e>
                    </m:d>
                  </m:e>
                </m:func>
              </m:e>
              <m:sup>
                <m:r>
                  <m:rPr>
                    <m:sty m:val="p"/>
                  </m:rPr>
                  <w:rPr>
                    <w:rFonts w:ascii="Cambria Math" w:hAnsi="Cambria Math" w:cs="Arial"/>
                  </w:rPr>
                  <m:t>2</m:t>
                </m:r>
              </m:sup>
            </m:sSup>
          </m:e>
        </m:rad>
      </m:oMath>
      <w:r w:rsidR="00D416B3">
        <w:rPr>
          <w:rFonts w:ascii="Arial" w:hAnsi="Arial" w:cs="Arial"/>
        </w:rPr>
        <w:tab/>
      </w:r>
      <w:r w:rsidR="00D416B3">
        <w:rPr>
          <w:rFonts w:ascii="Arial" w:hAnsi="Arial" w:cs="Arial"/>
        </w:rPr>
        <w:tab/>
      </w:r>
      <w:r w:rsidR="00D416B3">
        <w:rPr>
          <w:rFonts w:ascii="Arial" w:hAnsi="Arial" w:cs="Arial"/>
        </w:rPr>
        <w:tab/>
      </w:r>
      <w:r w:rsidR="00D416B3">
        <w:rPr>
          <w:rFonts w:ascii="Arial" w:hAnsi="Arial" w:cs="Arial"/>
        </w:rPr>
        <w:tab/>
      </w:r>
      <w:r w:rsidR="00D416B3">
        <w:rPr>
          <w:rFonts w:ascii="Arial" w:hAnsi="Arial" w:cs="Arial"/>
        </w:rPr>
        <w:tab/>
      </w:r>
      <w:r w:rsidR="00D416B3">
        <w:rPr>
          <w:rFonts w:ascii="Arial" w:hAnsi="Arial" w:cs="Arial"/>
        </w:rPr>
        <w:tab/>
        <w:t>(</w:t>
      </w:r>
      <w:r w:rsidR="00DE71C6">
        <w:rPr>
          <w:rFonts w:ascii="Arial" w:hAnsi="Arial" w:cs="Arial"/>
        </w:rPr>
        <w:t>SI</w:t>
      </w:r>
      <w:r w:rsidR="00D416B3">
        <w:rPr>
          <w:rFonts w:ascii="Arial" w:hAnsi="Arial" w:cs="Arial"/>
        </w:rPr>
        <w:t>4)</w:t>
      </w:r>
    </w:p>
    <w:p w14:paraId="3601C39F" w14:textId="36871EAD" w:rsidR="00DE71C6" w:rsidRPr="00DE71C6" w:rsidRDefault="00DE71C6" w:rsidP="00DE71C6">
      <w:pPr>
        <w:spacing w:after="0" w:line="480" w:lineRule="auto"/>
        <w:rPr>
          <w:rFonts w:ascii="Arial" w:hAnsi="Arial" w:cs="Arial"/>
          <w:i/>
        </w:rPr>
      </w:pPr>
      <w:r>
        <w:rPr>
          <w:rFonts w:ascii="Arial" w:hAnsi="Arial" w:cs="Arial"/>
          <w:i/>
        </w:rPr>
        <w:t>Aggregation of individual studies into distributions</w:t>
      </w:r>
    </w:p>
    <w:p w14:paraId="78BB6AF8" w14:textId="5088674A" w:rsidR="00B11CE7" w:rsidRPr="00B11CE7" w:rsidRDefault="00B11CE7" w:rsidP="00B11CE7">
      <w:pPr>
        <w:spacing w:line="480" w:lineRule="auto"/>
        <w:rPr>
          <w:rFonts w:ascii="Arial" w:hAnsi="Arial" w:cs="Arial"/>
        </w:rPr>
      </w:pPr>
      <w:r>
        <w:rPr>
          <w:rFonts w:ascii="Arial" w:hAnsi="Arial" w:cs="Arial"/>
        </w:rPr>
        <w:t xml:space="preserve">For each subpopulation, the aggregated </w:t>
      </w:r>
      <w:r w:rsidR="00002AAC">
        <w:rPr>
          <w:rFonts w:ascii="Arial" w:hAnsi="Arial" w:cs="Arial"/>
        </w:rPr>
        <w:t>ln(GM</w:t>
      </w:r>
      <w:r w:rsidR="00002AAC" w:rsidRPr="00002AAC">
        <w:rPr>
          <w:rFonts w:ascii="Arial" w:hAnsi="Arial" w:cs="Arial"/>
          <w:vertAlign w:val="subscript"/>
        </w:rPr>
        <w:t>agg</w:t>
      </w:r>
      <w:r w:rsidRPr="00002AAC">
        <w:rPr>
          <w:rFonts w:ascii="Arial" w:hAnsi="Arial" w:cs="Arial"/>
        </w:rPr>
        <w:t>)</w:t>
      </w:r>
      <w:r w:rsidRPr="008301F1">
        <w:rPr>
          <w:rFonts w:ascii="Arial" w:hAnsi="Arial" w:cs="Arial"/>
          <w:vertAlign w:val="subscript"/>
        </w:rPr>
        <w:t xml:space="preserve"> </w:t>
      </w:r>
      <w:r>
        <w:rPr>
          <w:rFonts w:ascii="Arial" w:hAnsi="Arial" w:cs="Arial"/>
        </w:rPr>
        <w:t xml:space="preserve">was calculated from the </w:t>
      </w:r>
      <w:r w:rsidR="00002AAC">
        <w:rPr>
          <w:rFonts w:ascii="Arial" w:hAnsi="Arial" w:cs="Arial"/>
        </w:rPr>
        <w:t>ln(GM</w:t>
      </w:r>
      <w:r w:rsidRPr="00002AAC">
        <w:rPr>
          <w:rFonts w:ascii="Arial" w:hAnsi="Arial" w:cs="Arial"/>
          <w:vertAlign w:val="subscript"/>
        </w:rPr>
        <w:t>AUC</w:t>
      </w:r>
      <w:r w:rsidRPr="00002AAC">
        <w:rPr>
          <w:rFonts w:ascii="Arial" w:hAnsi="Arial" w:cs="Arial"/>
        </w:rPr>
        <w:t>)</w:t>
      </w:r>
      <w:r>
        <w:rPr>
          <w:rFonts w:ascii="Arial" w:hAnsi="Arial" w:cs="Arial"/>
        </w:rPr>
        <w:t xml:space="preserve"> values of the individual studies according to Equation SI5. Subsequently, the aggregated </w:t>
      </w:r>
      <w:r w:rsidR="00002AAC">
        <w:rPr>
          <w:rFonts w:ascii="Arial" w:hAnsi="Arial" w:cs="Arial"/>
        </w:rPr>
        <w:t>ln(GSD</w:t>
      </w:r>
      <w:r w:rsidR="00002AAC" w:rsidRPr="00002AAC">
        <w:rPr>
          <w:rFonts w:ascii="Arial" w:hAnsi="Arial" w:cs="Arial"/>
          <w:vertAlign w:val="subscript"/>
        </w:rPr>
        <w:t>agg</w:t>
      </w:r>
      <w:r w:rsidR="00002AAC">
        <w:rPr>
          <w:rFonts w:ascii="Arial" w:hAnsi="Arial" w:cs="Arial"/>
        </w:rPr>
        <w:t>)</w:t>
      </w:r>
      <w:r w:rsidRPr="008301F1">
        <w:rPr>
          <w:rFonts w:ascii="Arial" w:hAnsi="Arial" w:cs="Arial"/>
          <w:vertAlign w:val="subscript"/>
        </w:rPr>
        <w:t xml:space="preserve"> </w:t>
      </w:r>
      <w:r>
        <w:rPr>
          <w:rFonts w:ascii="Arial" w:hAnsi="Arial" w:cs="Arial"/>
        </w:rPr>
        <w:t xml:space="preserve">was calculated from the </w:t>
      </w:r>
      <w:r w:rsidR="00002AAC">
        <w:rPr>
          <w:rFonts w:ascii="Arial" w:hAnsi="Arial" w:cs="Arial"/>
        </w:rPr>
        <w:t>ln(GSD</w:t>
      </w:r>
      <w:r w:rsidRPr="00002AAC">
        <w:rPr>
          <w:rFonts w:ascii="Arial" w:hAnsi="Arial" w:cs="Arial"/>
          <w:vertAlign w:val="subscript"/>
        </w:rPr>
        <w:t>AUC</w:t>
      </w:r>
      <w:r w:rsidRPr="00002AAC">
        <w:rPr>
          <w:rFonts w:ascii="Arial" w:hAnsi="Arial" w:cs="Arial"/>
        </w:rPr>
        <w:t>)</w:t>
      </w:r>
      <w:r>
        <w:rPr>
          <w:rFonts w:ascii="Arial" w:hAnsi="Arial" w:cs="Arial"/>
        </w:rPr>
        <w:t xml:space="preserve"> values of the individual studies and the aggregated </w:t>
      </w:r>
      <w:r w:rsidR="00002AAC">
        <w:rPr>
          <w:rFonts w:ascii="Arial" w:hAnsi="Arial" w:cs="Arial"/>
        </w:rPr>
        <w:t>ln(GM</w:t>
      </w:r>
      <w:r w:rsidR="00002AAC" w:rsidRPr="00002AAC">
        <w:rPr>
          <w:rFonts w:ascii="Arial" w:hAnsi="Arial" w:cs="Arial"/>
          <w:vertAlign w:val="subscript"/>
        </w:rPr>
        <w:t>agg</w:t>
      </w:r>
      <w:r w:rsidR="00002AAC">
        <w:rPr>
          <w:rFonts w:ascii="Arial" w:hAnsi="Arial" w:cs="Arial"/>
        </w:rPr>
        <w:t>)</w:t>
      </w:r>
      <w:r w:rsidRPr="00002AAC">
        <w:rPr>
          <w:rFonts w:ascii="Arial" w:hAnsi="Arial" w:cs="Arial"/>
        </w:rPr>
        <w:t>.</w:t>
      </w:r>
    </w:p>
    <w:p w14:paraId="59E50D04" w14:textId="21D86F38" w:rsidR="00B11CE7" w:rsidRDefault="009377CE" w:rsidP="006B7B03">
      <w:pPr>
        <w:spacing w:after="0" w:line="480" w:lineRule="auto"/>
        <w:rPr>
          <w:rFonts w:ascii="Arial" w:hAnsi="Arial" w:cs="Arial"/>
        </w:rPr>
      </w:pPr>
      <m:oMath>
        <m:func>
          <m:funcPr>
            <m:ctrlPr>
              <w:rPr>
                <w:rFonts w:ascii="Cambria Math" w:hAnsi="Cambria Math" w:cs="Arial"/>
                <w:sz w:val="24"/>
              </w:rPr>
            </m:ctrlPr>
          </m:funcPr>
          <m:fName>
            <m:r>
              <m:rPr>
                <m:sty m:val="p"/>
              </m:rPr>
              <w:rPr>
                <w:rFonts w:ascii="Cambria Math" w:hAnsi="Cambria Math" w:cs="Arial"/>
                <w:sz w:val="24"/>
              </w:rPr>
              <m:t>ln</m:t>
            </m:r>
          </m:fName>
          <m:e>
            <m:d>
              <m:dPr>
                <m:ctrlPr>
                  <w:rPr>
                    <w:rFonts w:ascii="Cambria Math" w:hAnsi="Cambria Math" w:cs="Arial"/>
                    <w:sz w:val="24"/>
                  </w:rPr>
                </m:ctrlPr>
              </m:dPr>
              <m:e>
                <m:sSub>
                  <m:sSubPr>
                    <m:ctrlPr>
                      <w:rPr>
                        <w:rFonts w:ascii="Cambria Math" w:hAnsi="Cambria Math" w:cs="Arial"/>
                        <w:sz w:val="24"/>
                      </w:rPr>
                    </m:ctrlPr>
                  </m:sSubPr>
                  <m:e>
                    <m:r>
                      <m:rPr>
                        <m:sty m:val="p"/>
                      </m:rPr>
                      <w:rPr>
                        <w:rFonts w:ascii="Cambria Math" w:hAnsi="Cambria Math" w:cs="Arial"/>
                        <w:sz w:val="24"/>
                      </w:rPr>
                      <m:t>GM</m:t>
                    </m:r>
                  </m:e>
                  <m:sub>
                    <m:r>
                      <m:rPr>
                        <m:sty m:val="p"/>
                      </m:rPr>
                      <w:rPr>
                        <w:rFonts w:ascii="Cambria Math" w:hAnsi="Cambria Math" w:cs="Arial"/>
                        <w:sz w:val="24"/>
                      </w:rPr>
                      <m:t>agg</m:t>
                    </m:r>
                  </m:sub>
                </m:sSub>
              </m:e>
            </m:d>
          </m:e>
        </m:func>
        <m:r>
          <m:rPr>
            <m:sty m:val="p"/>
          </m:rPr>
          <w:rPr>
            <w:rFonts w:ascii="Cambria Math" w:hAnsi="Cambria Math" w:cs="Arial"/>
            <w:sz w:val="24"/>
          </w:rPr>
          <m:t>=</m:t>
        </m:r>
        <m:f>
          <m:fPr>
            <m:type m:val="skw"/>
            <m:ctrlPr>
              <w:rPr>
                <w:rFonts w:ascii="Cambria Math" w:hAnsi="Cambria Math" w:cs="Arial"/>
                <w:sz w:val="24"/>
              </w:rPr>
            </m:ctrlPr>
          </m:fPr>
          <m:num>
            <m:nary>
              <m:naryPr>
                <m:chr m:val="∑"/>
                <m:limLoc m:val="undOvr"/>
                <m:ctrlPr>
                  <w:rPr>
                    <w:rFonts w:ascii="Cambria Math" w:hAnsi="Cambria Math" w:cs="Arial"/>
                    <w:sz w:val="24"/>
                  </w:rPr>
                </m:ctrlPr>
              </m:naryPr>
              <m:sub>
                <m:r>
                  <m:rPr>
                    <m:sty m:val="p"/>
                  </m:rPr>
                  <w:rPr>
                    <w:rFonts w:ascii="Cambria Math" w:hAnsi="Cambria Math" w:cs="Arial"/>
                    <w:sz w:val="24"/>
                  </w:rPr>
                  <m:t>x=1</m:t>
                </m:r>
              </m:sub>
              <m:sup>
                <m:r>
                  <m:rPr>
                    <m:sty m:val="p"/>
                  </m:rPr>
                  <w:rPr>
                    <w:rFonts w:ascii="Cambria Math" w:hAnsi="Cambria Math" w:cs="Arial"/>
                    <w:sz w:val="24"/>
                  </w:rPr>
                  <m:t>x=n</m:t>
                </m:r>
              </m:sup>
              <m:e>
                <m:d>
                  <m:dPr>
                    <m:ctrlPr>
                      <w:rPr>
                        <w:rFonts w:ascii="Cambria Math" w:hAnsi="Cambria Math" w:cs="Arial"/>
                        <w:sz w:val="24"/>
                      </w:rPr>
                    </m:ctrlPr>
                  </m:dPr>
                  <m:e>
                    <m:sSub>
                      <m:sSubPr>
                        <m:ctrlPr>
                          <w:rPr>
                            <w:rFonts w:ascii="Cambria Math" w:hAnsi="Cambria Math" w:cs="Arial"/>
                            <w:sz w:val="24"/>
                          </w:rPr>
                        </m:ctrlPr>
                      </m:sSubPr>
                      <m:e>
                        <m:r>
                          <m:rPr>
                            <m:sty m:val="p"/>
                          </m:rPr>
                          <w:rPr>
                            <w:rFonts w:ascii="Cambria Math" w:hAnsi="Cambria Math" w:cs="Arial"/>
                            <w:sz w:val="24"/>
                          </w:rPr>
                          <m:t>N</m:t>
                        </m:r>
                      </m:e>
                      <m:sub>
                        <m:r>
                          <m:rPr>
                            <m:sty m:val="p"/>
                          </m:rPr>
                          <w:rPr>
                            <w:rFonts w:ascii="Cambria Math" w:hAnsi="Cambria Math" w:cs="Arial"/>
                            <w:sz w:val="24"/>
                          </w:rPr>
                          <m:t>x</m:t>
                        </m:r>
                      </m:sub>
                    </m:sSub>
                    <m:r>
                      <m:rPr>
                        <m:sty m:val="p"/>
                      </m:rPr>
                      <w:rPr>
                        <w:rFonts w:ascii="Cambria Math" w:hAnsi="Cambria Math" w:cs="Arial"/>
                        <w:sz w:val="24"/>
                      </w:rPr>
                      <m:t>∙</m:t>
                    </m:r>
                    <m:func>
                      <m:funcPr>
                        <m:ctrlPr>
                          <w:rPr>
                            <w:rFonts w:ascii="Cambria Math" w:hAnsi="Cambria Math" w:cs="Arial"/>
                            <w:sz w:val="24"/>
                          </w:rPr>
                        </m:ctrlPr>
                      </m:funcPr>
                      <m:fName>
                        <m:r>
                          <m:rPr>
                            <m:sty m:val="p"/>
                          </m:rPr>
                          <w:rPr>
                            <w:rFonts w:ascii="Cambria Math" w:hAnsi="Cambria Math" w:cs="Arial"/>
                            <w:sz w:val="24"/>
                          </w:rPr>
                          <m:t>ln</m:t>
                        </m:r>
                      </m:fName>
                      <m:e>
                        <m:d>
                          <m:dPr>
                            <m:ctrlPr>
                              <w:rPr>
                                <w:rFonts w:ascii="Cambria Math" w:hAnsi="Cambria Math" w:cs="Arial"/>
                                <w:sz w:val="24"/>
                              </w:rPr>
                            </m:ctrlPr>
                          </m:dPr>
                          <m:e>
                            <m:sSub>
                              <m:sSubPr>
                                <m:ctrlPr>
                                  <w:rPr>
                                    <w:rFonts w:ascii="Cambria Math" w:hAnsi="Cambria Math" w:cs="Arial"/>
                                    <w:sz w:val="24"/>
                                  </w:rPr>
                                </m:ctrlPr>
                              </m:sSubPr>
                              <m:e>
                                <m:r>
                                  <m:rPr>
                                    <m:sty m:val="p"/>
                                  </m:rPr>
                                  <w:rPr>
                                    <w:rFonts w:ascii="Cambria Math" w:hAnsi="Cambria Math" w:cs="Arial"/>
                                    <w:sz w:val="24"/>
                                  </w:rPr>
                                  <m:t>GM</m:t>
                                </m:r>
                              </m:e>
                              <m:sub>
                                <m:r>
                                  <m:rPr>
                                    <m:sty m:val="p"/>
                                  </m:rPr>
                                  <w:rPr>
                                    <w:rFonts w:ascii="Cambria Math" w:hAnsi="Cambria Math" w:cs="Arial"/>
                                    <w:sz w:val="24"/>
                                  </w:rPr>
                                  <m:t>x</m:t>
                                </m:r>
                              </m:sub>
                            </m:sSub>
                          </m:e>
                        </m:d>
                      </m:e>
                    </m:func>
                  </m:e>
                </m:d>
              </m:e>
            </m:nary>
          </m:num>
          <m:den>
            <m:nary>
              <m:naryPr>
                <m:chr m:val="∑"/>
                <m:limLoc m:val="undOvr"/>
                <m:ctrlPr>
                  <w:rPr>
                    <w:rFonts w:ascii="Cambria Math" w:hAnsi="Cambria Math" w:cs="Arial"/>
                    <w:sz w:val="24"/>
                  </w:rPr>
                </m:ctrlPr>
              </m:naryPr>
              <m:sub>
                <m:r>
                  <m:rPr>
                    <m:sty m:val="p"/>
                  </m:rPr>
                  <w:rPr>
                    <w:rFonts w:ascii="Cambria Math" w:hAnsi="Cambria Math" w:cs="Arial"/>
                    <w:sz w:val="24"/>
                  </w:rPr>
                  <m:t>x=1</m:t>
                </m:r>
              </m:sub>
              <m:sup>
                <m:r>
                  <m:rPr>
                    <m:sty m:val="p"/>
                  </m:rPr>
                  <w:rPr>
                    <w:rFonts w:ascii="Cambria Math" w:hAnsi="Cambria Math" w:cs="Arial"/>
                    <w:sz w:val="24"/>
                  </w:rPr>
                  <m:t>x=n</m:t>
                </m:r>
              </m:sup>
              <m:e>
                <m:sSub>
                  <m:sSubPr>
                    <m:ctrlPr>
                      <w:rPr>
                        <w:rFonts w:ascii="Cambria Math" w:hAnsi="Cambria Math" w:cs="Arial"/>
                        <w:sz w:val="24"/>
                      </w:rPr>
                    </m:ctrlPr>
                  </m:sSubPr>
                  <m:e>
                    <m:r>
                      <m:rPr>
                        <m:sty m:val="p"/>
                      </m:rPr>
                      <w:rPr>
                        <w:rFonts w:ascii="Cambria Math" w:hAnsi="Cambria Math" w:cs="Arial"/>
                        <w:sz w:val="24"/>
                      </w:rPr>
                      <m:t>N</m:t>
                    </m:r>
                  </m:e>
                  <m:sub>
                    <m:r>
                      <m:rPr>
                        <m:sty m:val="p"/>
                      </m:rPr>
                      <w:rPr>
                        <w:rFonts w:ascii="Cambria Math" w:hAnsi="Cambria Math" w:cs="Arial"/>
                        <w:sz w:val="24"/>
                      </w:rPr>
                      <m:t>x</m:t>
                    </m:r>
                  </m:sub>
                </m:sSub>
              </m:e>
            </m:nary>
          </m:den>
        </m:f>
      </m:oMath>
      <w:r w:rsidR="00B11CE7" w:rsidRPr="00002AAC">
        <w:rPr>
          <w:rFonts w:ascii="Arial" w:hAnsi="Arial" w:cs="Arial"/>
        </w:rPr>
        <w:tab/>
      </w:r>
      <w:r w:rsidR="00B11CE7" w:rsidRPr="00002AAC">
        <w:rPr>
          <w:rFonts w:ascii="Arial" w:hAnsi="Arial" w:cs="Arial"/>
        </w:rPr>
        <w:tab/>
      </w:r>
      <w:r w:rsidR="00B11CE7" w:rsidRPr="00002AAC">
        <w:rPr>
          <w:rFonts w:ascii="Arial" w:hAnsi="Arial" w:cs="Arial"/>
        </w:rPr>
        <w:tab/>
      </w:r>
      <w:r w:rsidR="00002AAC">
        <w:rPr>
          <w:rFonts w:ascii="Arial" w:hAnsi="Arial" w:cs="Arial"/>
        </w:rPr>
        <w:tab/>
      </w:r>
      <w:r w:rsidR="00002AAC">
        <w:rPr>
          <w:rFonts w:ascii="Arial" w:hAnsi="Arial" w:cs="Arial"/>
        </w:rPr>
        <w:tab/>
      </w:r>
      <w:r w:rsidR="00002AAC">
        <w:rPr>
          <w:rFonts w:ascii="Arial" w:hAnsi="Arial" w:cs="Arial"/>
        </w:rPr>
        <w:tab/>
      </w:r>
      <w:r w:rsidR="00002AAC">
        <w:rPr>
          <w:rFonts w:ascii="Arial" w:hAnsi="Arial" w:cs="Arial"/>
        </w:rPr>
        <w:tab/>
      </w:r>
      <w:r w:rsidR="00B11CE7">
        <w:rPr>
          <w:rFonts w:ascii="Arial" w:hAnsi="Arial" w:cs="Arial"/>
        </w:rPr>
        <w:t>(SI5)</w:t>
      </w:r>
    </w:p>
    <w:p w14:paraId="43312BB1" w14:textId="11C0AF76" w:rsidR="00B11CE7" w:rsidRPr="00C83C73" w:rsidRDefault="009377CE" w:rsidP="00B11CE7">
      <w:pPr>
        <w:spacing w:line="480" w:lineRule="auto"/>
        <w:rPr>
          <w:rFonts w:ascii="Arial" w:hAnsi="Arial" w:cs="Arial"/>
        </w:rPr>
      </w:pPr>
      <m:oMath>
        <m:func>
          <m:funcPr>
            <m:ctrlPr>
              <w:rPr>
                <w:rFonts w:ascii="Cambria Math" w:hAnsi="Cambria Math" w:cs="Arial"/>
                <w:sz w:val="24"/>
                <w:szCs w:val="18"/>
              </w:rPr>
            </m:ctrlPr>
          </m:funcPr>
          <m:fName>
            <m:r>
              <m:rPr>
                <m:sty m:val="p"/>
              </m:rPr>
              <w:rPr>
                <w:rFonts w:ascii="Cambria Math" w:hAnsi="Cambria Math" w:cs="Arial"/>
                <w:sz w:val="24"/>
                <w:szCs w:val="18"/>
              </w:rPr>
              <m:t>ln</m:t>
            </m:r>
          </m:fName>
          <m:e>
            <m:d>
              <m:dPr>
                <m:ctrlPr>
                  <w:rPr>
                    <w:rFonts w:ascii="Cambria Math" w:hAnsi="Cambria Math" w:cs="Arial"/>
                    <w:sz w:val="24"/>
                    <w:szCs w:val="18"/>
                  </w:rPr>
                </m:ctrlPr>
              </m:dPr>
              <m:e>
                <m:sSub>
                  <m:sSubPr>
                    <m:ctrlPr>
                      <w:rPr>
                        <w:rFonts w:ascii="Cambria Math" w:hAnsi="Cambria Math" w:cs="Arial"/>
                        <w:sz w:val="24"/>
                        <w:szCs w:val="18"/>
                      </w:rPr>
                    </m:ctrlPr>
                  </m:sSubPr>
                  <m:e>
                    <m:r>
                      <m:rPr>
                        <m:sty m:val="p"/>
                      </m:rPr>
                      <w:rPr>
                        <w:rFonts w:ascii="Cambria Math" w:hAnsi="Cambria Math" w:cs="Arial"/>
                        <w:sz w:val="24"/>
                        <w:szCs w:val="18"/>
                      </w:rPr>
                      <m:t>GSD</m:t>
                    </m:r>
                  </m:e>
                  <m:sub>
                    <m:r>
                      <m:rPr>
                        <m:sty m:val="p"/>
                      </m:rPr>
                      <w:rPr>
                        <w:rFonts w:ascii="Cambria Math" w:hAnsi="Cambria Math" w:cs="Arial"/>
                        <w:sz w:val="24"/>
                        <w:szCs w:val="18"/>
                      </w:rPr>
                      <m:t>agg</m:t>
                    </m:r>
                  </m:sub>
                </m:sSub>
              </m:e>
            </m:d>
          </m:e>
        </m:func>
        <m:r>
          <m:rPr>
            <m:sty m:val="p"/>
          </m:rPr>
          <w:rPr>
            <w:rFonts w:ascii="Cambria Math" w:hAnsi="Cambria Math" w:cs="Arial"/>
            <w:sz w:val="24"/>
            <w:szCs w:val="18"/>
          </w:rPr>
          <m:t>=</m:t>
        </m:r>
        <m:rad>
          <m:radPr>
            <m:degHide m:val="1"/>
            <m:ctrlPr>
              <w:rPr>
                <w:rFonts w:ascii="Cambria Math" w:hAnsi="Cambria Math" w:cs="Arial"/>
                <w:sz w:val="24"/>
                <w:szCs w:val="18"/>
              </w:rPr>
            </m:ctrlPr>
          </m:radPr>
          <m:deg/>
          <m:e>
            <m:f>
              <m:fPr>
                <m:ctrlPr>
                  <w:rPr>
                    <w:rFonts w:ascii="Cambria Math" w:hAnsi="Cambria Math" w:cs="Arial"/>
                    <w:sz w:val="24"/>
                    <w:szCs w:val="18"/>
                  </w:rPr>
                </m:ctrlPr>
              </m:fPr>
              <m:num>
                <m:nary>
                  <m:naryPr>
                    <m:chr m:val="∑"/>
                    <m:limLoc m:val="undOvr"/>
                    <m:ctrlPr>
                      <w:rPr>
                        <w:rFonts w:ascii="Cambria Math" w:hAnsi="Cambria Math" w:cs="Arial"/>
                        <w:sz w:val="24"/>
                        <w:szCs w:val="18"/>
                      </w:rPr>
                    </m:ctrlPr>
                  </m:naryPr>
                  <m:sub>
                    <m:r>
                      <m:rPr>
                        <m:sty m:val="p"/>
                      </m:rPr>
                      <w:rPr>
                        <w:rFonts w:ascii="Cambria Math" w:hAnsi="Cambria Math" w:cs="Arial"/>
                        <w:sz w:val="24"/>
                        <w:szCs w:val="18"/>
                      </w:rPr>
                      <m:t>x=1</m:t>
                    </m:r>
                  </m:sub>
                  <m:sup>
                    <m:r>
                      <m:rPr>
                        <m:sty m:val="p"/>
                      </m:rPr>
                      <w:rPr>
                        <w:rFonts w:ascii="Cambria Math" w:hAnsi="Cambria Math" w:cs="Arial"/>
                        <w:sz w:val="24"/>
                        <w:szCs w:val="18"/>
                      </w:rPr>
                      <m:t>x=n</m:t>
                    </m:r>
                  </m:sup>
                  <m:e>
                    <m:r>
                      <m:rPr>
                        <m:sty m:val="p"/>
                      </m:rPr>
                      <w:rPr>
                        <w:rFonts w:ascii="Cambria Math" w:hAnsi="Cambria Math" w:cs="Arial"/>
                        <w:sz w:val="24"/>
                        <w:szCs w:val="18"/>
                      </w:rPr>
                      <m:t xml:space="preserve"> </m:t>
                    </m:r>
                    <m:d>
                      <m:dPr>
                        <m:ctrlPr>
                          <w:rPr>
                            <w:rFonts w:ascii="Cambria Math" w:hAnsi="Cambria Math" w:cs="Arial"/>
                            <w:sz w:val="24"/>
                            <w:szCs w:val="18"/>
                          </w:rPr>
                        </m:ctrlPr>
                      </m:dPr>
                      <m:e>
                        <m:sSub>
                          <m:sSubPr>
                            <m:ctrlPr>
                              <w:rPr>
                                <w:rFonts w:ascii="Cambria Math" w:hAnsi="Cambria Math" w:cs="Arial"/>
                                <w:sz w:val="24"/>
                                <w:szCs w:val="18"/>
                              </w:rPr>
                            </m:ctrlPr>
                          </m:sSubPr>
                          <m:e>
                            <m:r>
                              <m:rPr>
                                <m:sty m:val="p"/>
                              </m:rPr>
                              <w:rPr>
                                <w:rFonts w:ascii="Cambria Math" w:hAnsi="Cambria Math" w:cs="Arial"/>
                                <w:sz w:val="24"/>
                                <w:szCs w:val="18"/>
                              </w:rPr>
                              <m:t>N</m:t>
                            </m:r>
                          </m:e>
                          <m:sub>
                            <m:r>
                              <m:rPr>
                                <m:sty m:val="p"/>
                              </m:rPr>
                              <w:rPr>
                                <w:rFonts w:ascii="Cambria Math" w:hAnsi="Cambria Math" w:cs="Arial"/>
                                <w:sz w:val="24"/>
                                <w:szCs w:val="18"/>
                              </w:rPr>
                              <m:t>x</m:t>
                            </m:r>
                          </m:sub>
                        </m:sSub>
                        <m:r>
                          <m:rPr>
                            <m:sty m:val="p"/>
                          </m:rPr>
                          <w:rPr>
                            <w:rFonts w:ascii="Cambria Math" w:hAnsi="Cambria Math" w:cs="Arial"/>
                            <w:sz w:val="24"/>
                            <w:szCs w:val="18"/>
                          </w:rPr>
                          <m:t>-1</m:t>
                        </m:r>
                      </m:e>
                    </m:d>
                    <m:r>
                      <m:rPr>
                        <m:sty m:val="p"/>
                      </m:rPr>
                      <w:rPr>
                        <w:rFonts w:ascii="Cambria Math" w:hAnsi="Cambria Math" w:cs="Arial"/>
                        <w:sz w:val="24"/>
                        <w:szCs w:val="18"/>
                      </w:rPr>
                      <m:t>∙</m:t>
                    </m:r>
                    <m:sSup>
                      <m:sSupPr>
                        <m:ctrlPr>
                          <w:rPr>
                            <w:rFonts w:ascii="Cambria Math" w:hAnsi="Cambria Math" w:cs="Arial"/>
                            <w:sz w:val="24"/>
                            <w:szCs w:val="18"/>
                          </w:rPr>
                        </m:ctrlPr>
                      </m:sSupPr>
                      <m:e>
                        <m:func>
                          <m:funcPr>
                            <m:ctrlPr>
                              <w:rPr>
                                <w:rFonts w:ascii="Cambria Math" w:hAnsi="Cambria Math" w:cs="Arial"/>
                                <w:sz w:val="24"/>
                                <w:szCs w:val="18"/>
                              </w:rPr>
                            </m:ctrlPr>
                          </m:funcPr>
                          <m:fName>
                            <m:r>
                              <m:rPr>
                                <m:sty m:val="p"/>
                              </m:rPr>
                              <w:rPr>
                                <w:rFonts w:ascii="Cambria Math" w:hAnsi="Cambria Math" w:cs="Arial"/>
                                <w:sz w:val="24"/>
                                <w:szCs w:val="18"/>
                              </w:rPr>
                              <m:t>ln</m:t>
                            </m:r>
                          </m:fName>
                          <m:e>
                            <m:d>
                              <m:dPr>
                                <m:ctrlPr>
                                  <w:rPr>
                                    <w:rFonts w:ascii="Cambria Math" w:hAnsi="Cambria Math" w:cs="Arial"/>
                                    <w:sz w:val="24"/>
                                    <w:szCs w:val="18"/>
                                  </w:rPr>
                                </m:ctrlPr>
                              </m:dPr>
                              <m:e>
                                <m:sSub>
                                  <m:sSubPr>
                                    <m:ctrlPr>
                                      <w:rPr>
                                        <w:rFonts w:ascii="Cambria Math" w:hAnsi="Cambria Math" w:cs="Arial"/>
                                        <w:sz w:val="24"/>
                                        <w:szCs w:val="18"/>
                                      </w:rPr>
                                    </m:ctrlPr>
                                  </m:sSubPr>
                                  <m:e>
                                    <m:r>
                                      <m:rPr>
                                        <m:sty m:val="p"/>
                                      </m:rPr>
                                      <w:rPr>
                                        <w:rFonts w:ascii="Cambria Math" w:hAnsi="Cambria Math" w:cs="Arial"/>
                                        <w:sz w:val="24"/>
                                        <w:szCs w:val="18"/>
                                      </w:rPr>
                                      <m:t>GSD</m:t>
                                    </m:r>
                                  </m:e>
                                  <m:sub>
                                    <m:r>
                                      <m:rPr>
                                        <m:sty m:val="p"/>
                                      </m:rPr>
                                      <w:rPr>
                                        <w:rFonts w:ascii="Cambria Math" w:hAnsi="Cambria Math" w:cs="Arial"/>
                                        <w:sz w:val="24"/>
                                        <w:szCs w:val="18"/>
                                      </w:rPr>
                                      <m:t>x</m:t>
                                    </m:r>
                                  </m:sub>
                                </m:sSub>
                              </m:e>
                            </m:d>
                          </m:e>
                        </m:func>
                      </m:e>
                      <m:sup>
                        <m:r>
                          <m:rPr>
                            <m:sty m:val="p"/>
                          </m:rPr>
                          <w:rPr>
                            <w:rFonts w:ascii="Cambria Math" w:hAnsi="Cambria Math" w:cs="Arial"/>
                            <w:sz w:val="24"/>
                            <w:szCs w:val="18"/>
                          </w:rPr>
                          <m:t>2</m:t>
                        </m:r>
                      </m:sup>
                    </m:sSup>
                    <m:r>
                      <m:rPr>
                        <m:sty m:val="p"/>
                      </m:rPr>
                      <w:rPr>
                        <w:rFonts w:ascii="Cambria Math" w:hAnsi="Cambria Math" w:cs="Arial"/>
                        <w:sz w:val="24"/>
                        <w:szCs w:val="18"/>
                      </w:rPr>
                      <m:t>+</m:t>
                    </m:r>
                    <m:sSub>
                      <m:sSubPr>
                        <m:ctrlPr>
                          <w:rPr>
                            <w:rFonts w:ascii="Cambria Math" w:hAnsi="Cambria Math" w:cs="Arial"/>
                            <w:sz w:val="24"/>
                            <w:szCs w:val="18"/>
                          </w:rPr>
                        </m:ctrlPr>
                      </m:sSubPr>
                      <m:e>
                        <m:r>
                          <m:rPr>
                            <m:sty m:val="p"/>
                          </m:rPr>
                          <w:rPr>
                            <w:rFonts w:ascii="Cambria Math" w:hAnsi="Cambria Math" w:cs="Arial"/>
                            <w:sz w:val="24"/>
                            <w:szCs w:val="18"/>
                          </w:rPr>
                          <m:t>N</m:t>
                        </m:r>
                      </m:e>
                      <m:sub>
                        <m:r>
                          <m:rPr>
                            <m:sty m:val="p"/>
                          </m:rPr>
                          <w:rPr>
                            <w:rFonts w:ascii="Cambria Math" w:hAnsi="Cambria Math" w:cs="Arial"/>
                            <w:sz w:val="24"/>
                            <w:szCs w:val="18"/>
                          </w:rPr>
                          <m:t>x</m:t>
                        </m:r>
                      </m:sub>
                    </m:sSub>
                    <m:r>
                      <m:rPr>
                        <m:sty m:val="p"/>
                      </m:rPr>
                      <w:rPr>
                        <w:rFonts w:ascii="Cambria Math" w:hAnsi="Cambria Math" w:cs="Arial"/>
                        <w:sz w:val="24"/>
                        <w:szCs w:val="18"/>
                      </w:rPr>
                      <m:t>∙</m:t>
                    </m:r>
                    <m:sSup>
                      <m:sSupPr>
                        <m:ctrlPr>
                          <w:rPr>
                            <w:rFonts w:ascii="Cambria Math" w:hAnsi="Cambria Math" w:cs="Arial"/>
                            <w:sz w:val="24"/>
                            <w:szCs w:val="18"/>
                          </w:rPr>
                        </m:ctrlPr>
                      </m:sSupPr>
                      <m:e>
                        <m:func>
                          <m:funcPr>
                            <m:ctrlPr>
                              <w:rPr>
                                <w:rFonts w:ascii="Cambria Math" w:hAnsi="Cambria Math" w:cs="Arial"/>
                                <w:sz w:val="24"/>
                                <w:szCs w:val="18"/>
                              </w:rPr>
                            </m:ctrlPr>
                          </m:funcPr>
                          <m:fName>
                            <m:r>
                              <m:rPr>
                                <m:sty m:val="p"/>
                              </m:rPr>
                              <w:rPr>
                                <w:rFonts w:ascii="Cambria Math" w:hAnsi="Cambria Math" w:cs="Arial"/>
                                <w:sz w:val="24"/>
                                <w:szCs w:val="18"/>
                              </w:rPr>
                              <m:t>ln</m:t>
                            </m:r>
                          </m:fName>
                          <m:e>
                            <m:d>
                              <m:dPr>
                                <m:ctrlPr>
                                  <w:rPr>
                                    <w:rFonts w:ascii="Cambria Math" w:hAnsi="Cambria Math" w:cs="Arial"/>
                                    <w:sz w:val="24"/>
                                    <w:szCs w:val="18"/>
                                  </w:rPr>
                                </m:ctrlPr>
                              </m:dPr>
                              <m:e>
                                <m:sSub>
                                  <m:sSubPr>
                                    <m:ctrlPr>
                                      <w:rPr>
                                        <w:rFonts w:ascii="Cambria Math" w:hAnsi="Cambria Math" w:cs="Arial"/>
                                        <w:sz w:val="24"/>
                                        <w:szCs w:val="18"/>
                                      </w:rPr>
                                    </m:ctrlPr>
                                  </m:sSubPr>
                                  <m:e>
                                    <m:r>
                                      <m:rPr>
                                        <m:sty m:val="p"/>
                                      </m:rPr>
                                      <w:rPr>
                                        <w:rFonts w:ascii="Cambria Math" w:hAnsi="Cambria Math" w:cs="Arial"/>
                                        <w:sz w:val="24"/>
                                        <w:szCs w:val="18"/>
                                      </w:rPr>
                                      <m:t>GM</m:t>
                                    </m:r>
                                  </m:e>
                                  <m:sub>
                                    <m:r>
                                      <m:rPr>
                                        <m:sty m:val="p"/>
                                      </m:rPr>
                                      <w:rPr>
                                        <w:rFonts w:ascii="Cambria Math" w:hAnsi="Cambria Math" w:cs="Arial"/>
                                        <w:sz w:val="24"/>
                                        <w:szCs w:val="18"/>
                                      </w:rPr>
                                      <m:t>x</m:t>
                                    </m:r>
                                  </m:sub>
                                </m:sSub>
                              </m:e>
                            </m:d>
                          </m:e>
                        </m:func>
                      </m:e>
                      <m:sup>
                        <m:r>
                          <m:rPr>
                            <m:sty m:val="p"/>
                          </m:rPr>
                          <w:rPr>
                            <w:rFonts w:ascii="Cambria Math" w:hAnsi="Cambria Math" w:cs="Arial"/>
                            <w:sz w:val="24"/>
                            <w:szCs w:val="18"/>
                          </w:rPr>
                          <m:t>2</m:t>
                        </m:r>
                      </m:sup>
                    </m:sSup>
                    <m:r>
                      <m:rPr>
                        <m:sty m:val="p"/>
                      </m:rPr>
                      <w:rPr>
                        <w:rFonts w:ascii="Cambria Math" w:hAnsi="Cambria Math" w:cs="Arial"/>
                        <w:sz w:val="24"/>
                        <w:szCs w:val="18"/>
                      </w:rPr>
                      <m:t>-2∙</m:t>
                    </m:r>
                    <m:sSub>
                      <m:sSubPr>
                        <m:ctrlPr>
                          <w:rPr>
                            <w:rFonts w:ascii="Cambria Math" w:hAnsi="Cambria Math" w:cs="Arial"/>
                            <w:sz w:val="24"/>
                            <w:szCs w:val="18"/>
                          </w:rPr>
                        </m:ctrlPr>
                      </m:sSubPr>
                      <m:e>
                        <m:r>
                          <m:rPr>
                            <m:sty m:val="p"/>
                          </m:rPr>
                          <w:rPr>
                            <w:rFonts w:ascii="Cambria Math" w:hAnsi="Cambria Math" w:cs="Arial"/>
                            <w:sz w:val="24"/>
                            <w:szCs w:val="18"/>
                          </w:rPr>
                          <m:t>N</m:t>
                        </m:r>
                      </m:e>
                      <m:sub>
                        <m:r>
                          <m:rPr>
                            <m:sty m:val="p"/>
                          </m:rPr>
                          <w:rPr>
                            <w:rFonts w:ascii="Cambria Math" w:hAnsi="Cambria Math" w:cs="Arial"/>
                            <w:sz w:val="24"/>
                            <w:szCs w:val="18"/>
                          </w:rPr>
                          <m:t>x</m:t>
                        </m:r>
                      </m:sub>
                    </m:sSub>
                    <m:r>
                      <m:rPr>
                        <m:sty m:val="p"/>
                      </m:rPr>
                      <w:rPr>
                        <w:rFonts w:ascii="Cambria Math" w:hAnsi="Cambria Math" w:cs="Arial"/>
                        <w:sz w:val="24"/>
                        <w:szCs w:val="18"/>
                      </w:rPr>
                      <m:t>∙</m:t>
                    </m:r>
                    <m:func>
                      <m:funcPr>
                        <m:ctrlPr>
                          <w:rPr>
                            <w:rFonts w:ascii="Cambria Math" w:hAnsi="Cambria Math" w:cs="Arial"/>
                            <w:sz w:val="24"/>
                            <w:szCs w:val="18"/>
                          </w:rPr>
                        </m:ctrlPr>
                      </m:funcPr>
                      <m:fName>
                        <m:r>
                          <m:rPr>
                            <m:sty m:val="p"/>
                          </m:rPr>
                          <w:rPr>
                            <w:rFonts w:ascii="Cambria Math" w:hAnsi="Cambria Math" w:cs="Arial"/>
                            <w:sz w:val="24"/>
                            <w:szCs w:val="18"/>
                          </w:rPr>
                          <m:t>ln</m:t>
                        </m:r>
                      </m:fName>
                      <m:e>
                        <m:d>
                          <m:dPr>
                            <m:ctrlPr>
                              <w:rPr>
                                <w:rFonts w:ascii="Cambria Math" w:hAnsi="Cambria Math" w:cs="Arial"/>
                                <w:sz w:val="24"/>
                                <w:szCs w:val="18"/>
                              </w:rPr>
                            </m:ctrlPr>
                          </m:dPr>
                          <m:e>
                            <m:sSub>
                              <m:sSubPr>
                                <m:ctrlPr>
                                  <w:rPr>
                                    <w:rFonts w:ascii="Cambria Math" w:hAnsi="Cambria Math" w:cs="Arial"/>
                                    <w:sz w:val="24"/>
                                    <w:szCs w:val="18"/>
                                  </w:rPr>
                                </m:ctrlPr>
                              </m:sSubPr>
                              <m:e>
                                <m:r>
                                  <m:rPr>
                                    <m:sty m:val="p"/>
                                  </m:rPr>
                                  <w:rPr>
                                    <w:rFonts w:ascii="Cambria Math" w:hAnsi="Cambria Math" w:cs="Arial"/>
                                    <w:sz w:val="24"/>
                                    <w:szCs w:val="18"/>
                                  </w:rPr>
                                  <m:t>GM</m:t>
                                </m:r>
                              </m:e>
                              <m:sub>
                                <m:r>
                                  <m:rPr>
                                    <m:sty m:val="p"/>
                                  </m:rPr>
                                  <w:rPr>
                                    <w:rFonts w:ascii="Cambria Math" w:hAnsi="Cambria Math" w:cs="Arial"/>
                                    <w:sz w:val="24"/>
                                    <w:szCs w:val="18"/>
                                  </w:rPr>
                                  <m:t>x</m:t>
                                </m:r>
                              </m:sub>
                            </m:sSub>
                          </m:e>
                        </m:d>
                      </m:e>
                    </m:func>
                    <m:r>
                      <m:rPr>
                        <m:sty m:val="p"/>
                      </m:rPr>
                      <w:rPr>
                        <w:rFonts w:ascii="Cambria Math" w:hAnsi="Cambria Math" w:cs="Arial"/>
                        <w:sz w:val="24"/>
                        <w:szCs w:val="18"/>
                      </w:rPr>
                      <m:t>∙</m:t>
                    </m:r>
                    <m:func>
                      <m:funcPr>
                        <m:ctrlPr>
                          <w:rPr>
                            <w:rFonts w:ascii="Cambria Math" w:hAnsi="Cambria Math" w:cs="Arial"/>
                            <w:sz w:val="24"/>
                            <w:szCs w:val="18"/>
                          </w:rPr>
                        </m:ctrlPr>
                      </m:funcPr>
                      <m:fName>
                        <m:r>
                          <m:rPr>
                            <m:sty m:val="p"/>
                          </m:rPr>
                          <w:rPr>
                            <w:rFonts w:ascii="Cambria Math" w:hAnsi="Cambria Math" w:cs="Arial"/>
                            <w:sz w:val="24"/>
                            <w:szCs w:val="18"/>
                          </w:rPr>
                          <m:t>ln</m:t>
                        </m:r>
                      </m:fName>
                      <m:e>
                        <m:d>
                          <m:dPr>
                            <m:ctrlPr>
                              <w:rPr>
                                <w:rFonts w:ascii="Cambria Math" w:hAnsi="Cambria Math" w:cs="Arial"/>
                                <w:sz w:val="24"/>
                                <w:szCs w:val="18"/>
                              </w:rPr>
                            </m:ctrlPr>
                          </m:dPr>
                          <m:e>
                            <m:sSub>
                              <m:sSubPr>
                                <m:ctrlPr>
                                  <w:rPr>
                                    <w:rFonts w:ascii="Cambria Math" w:hAnsi="Cambria Math" w:cs="Arial"/>
                                    <w:sz w:val="24"/>
                                    <w:szCs w:val="18"/>
                                  </w:rPr>
                                </m:ctrlPr>
                              </m:sSubPr>
                              <m:e>
                                <m:r>
                                  <m:rPr>
                                    <m:sty m:val="p"/>
                                  </m:rPr>
                                  <w:rPr>
                                    <w:rFonts w:ascii="Cambria Math" w:hAnsi="Cambria Math" w:cs="Arial"/>
                                    <w:sz w:val="24"/>
                                    <w:szCs w:val="18"/>
                                  </w:rPr>
                                  <m:t>GM</m:t>
                                </m:r>
                              </m:e>
                              <m:sub>
                                <m:r>
                                  <m:rPr>
                                    <m:sty m:val="p"/>
                                  </m:rPr>
                                  <w:rPr>
                                    <w:rFonts w:ascii="Cambria Math" w:hAnsi="Cambria Math" w:cs="Arial"/>
                                    <w:sz w:val="24"/>
                                    <w:szCs w:val="18"/>
                                  </w:rPr>
                                  <m:t>agg</m:t>
                                </m:r>
                              </m:sub>
                            </m:sSub>
                          </m:e>
                        </m:d>
                      </m:e>
                    </m:func>
                    <m:r>
                      <m:rPr>
                        <m:sty m:val="p"/>
                      </m:rPr>
                      <w:rPr>
                        <w:rFonts w:ascii="Cambria Math" w:hAnsi="Cambria Math" w:cs="Arial"/>
                        <w:sz w:val="24"/>
                        <w:szCs w:val="18"/>
                      </w:rPr>
                      <m:t>+</m:t>
                    </m:r>
                    <m:sSub>
                      <m:sSubPr>
                        <m:ctrlPr>
                          <w:rPr>
                            <w:rFonts w:ascii="Cambria Math" w:hAnsi="Cambria Math" w:cs="Arial"/>
                            <w:sz w:val="24"/>
                            <w:szCs w:val="18"/>
                          </w:rPr>
                        </m:ctrlPr>
                      </m:sSubPr>
                      <m:e>
                        <m:r>
                          <m:rPr>
                            <m:sty m:val="p"/>
                          </m:rPr>
                          <w:rPr>
                            <w:rFonts w:ascii="Cambria Math" w:hAnsi="Cambria Math" w:cs="Arial"/>
                            <w:sz w:val="24"/>
                            <w:szCs w:val="18"/>
                          </w:rPr>
                          <m:t>N</m:t>
                        </m:r>
                      </m:e>
                      <m:sub>
                        <m:r>
                          <m:rPr>
                            <m:sty m:val="p"/>
                          </m:rPr>
                          <w:rPr>
                            <w:rFonts w:ascii="Cambria Math" w:hAnsi="Cambria Math" w:cs="Arial"/>
                            <w:sz w:val="24"/>
                            <w:szCs w:val="18"/>
                          </w:rPr>
                          <m:t>x</m:t>
                        </m:r>
                      </m:sub>
                    </m:sSub>
                    <m:r>
                      <m:rPr>
                        <m:sty m:val="p"/>
                      </m:rPr>
                      <w:rPr>
                        <w:rFonts w:ascii="Cambria Math" w:hAnsi="Cambria Math" w:cs="Arial"/>
                        <w:sz w:val="24"/>
                        <w:szCs w:val="18"/>
                      </w:rPr>
                      <m:t>∙</m:t>
                    </m:r>
                    <m:sSup>
                      <m:sSupPr>
                        <m:ctrlPr>
                          <w:rPr>
                            <w:rFonts w:ascii="Cambria Math" w:hAnsi="Cambria Math" w:cs="Arial"/>
                            <w:sz w:val="24"/>
                            <w:szCs w:val="18"/>
                          </w:rPr>
                        </m:ctrlPr>
                      </m:sSupPr>
                      <m:e>
                        <m:func>
                          <m:funcPr>
                            <m:ctrlPr>
                              <w:rPr>
                                <w:rFonts w:ascii="Cambria Math" w:hAnsi="Cambria Math" w:cs="Arial"/>
                                <w:sz w:val="24"/>
                                <w:szCs w:val="18"/>
                              </w:rPr>
                            </m:ctrlPr>
                          </m:funcPr>
                          <m:fName>
                            <m:r>
                              <m:rPr>
                                <m:sty m:val="p"/>
                              </m:rPr>
                              <w:rPr>
                                <w:rFonts w:ascii="Cambria Math" w:hAnsi="Cambria Math" w:cs="Arial"/>
                                <w:sz w:val="24"/>
                                <w:szCs w:val="18"/>
                              </w:rPr>
                              <m:t>ln</m:t>
                            </m:r>
                          </m:fName>
                          <m:e>
                            <m:d>
                              <m:dPr>
                                <m:ctrlPr>
                                  <w:rPr>
                                    <w:rFonts w:ascii="Cambria Math" w:hAnsi="Cambria Math" w:cs="Arial"/>
                                    <w:sz w:val="24"/>
                                    <w:szCs w:val="18"/>
                                  </w:rPr>
                                </m:ctrlPr>
                              </m:dPr>
                              <m:e>
                                <m:sSub>
                                  <m:sSubPr>
                                    <m:ctrlPr>
                                      <w:rPr>
                                        <w:rFonts w:ascii="Cambria Math" w:hAnsi="Cambria Math" w:cs="Arial"/>
                                        <w:sz w:val="24"/>
                                        <w:szCs w:val="18"/>
                                      </w:rPr>
                                    </m:ctrlPr>
                                  </m:sSubPr>
                                  <m:e>
                                    <m:r>
                                      <m:rPr>
                                        <m:sty m:val="p"/>
                                      </m:rPr>
                                      <w:rPr>
                                        <w:rFonts w:ascii="Cambria Math" w:hAnsi="Cambria Math" w:cs="Arial"/>
                                        <w:sz w:val="24"/>
                                        <w:szCs w:val="18"/>
                                      </w:rPr>
                                      <m:t>GM</m:t>
                                    </m:r>
                                  </m:e>
                                  <m:sub>
                                    <m:r>
                                      <m:rPr>
                                        <m:sty m:val="p"/>
                                      </m:rPr>
                                      <w:rPr>
                                        <w:rFonts w:ascii="Cambria Math" w:hAnsi="Cambria Math" w:cs="Arial"/>
                                        <w:sz w:val="24"/>
                                        <w:szCs w:val="18"/>
                                      </w:rPr>
                                      <m:t>agg</m:t>
                                    </m:r>
                                  </m:sub>
                                </m:sSub>
                              </m:e>
                            </m:d>
                          </m:e>
                        </m:func>
                      </m:e>
                      <m:sup>
                        <m:r>
                          <m:rPr>
                            <m:sty m:val="p"/>
                          </m:rPr>
                          <w:rPr>
                            <w:rFonts w:ascii="Cambria Math" w:hAnsi="Cambria Math" w:cs="Arial"/>
                            <w:sz w:val="24"/>
                            <w:szCs w:val="18"/>
                          </w:rPr>
                          <m:t>2</m:t>
                        </m:r>
                      </m:sup>
                    </m:sSup>
                  </m:e>
                </m:nary>
              </m:num>
              <m:den>
                <m:d>
                  <m:dPr>
                    <m:ctrlPr>
                      <w:rPr>
                        <w:rFonts w:ascii="Cambria Math" w:hAnsi="Cambria Math" w:cs="Arial"/>
                        <w:sz w:val="24"/>
                        <w:szCs w:val="18"/>
                      </w:rPr>
                    </m:ctrlPr>
                  </m:dPr>
                  <m:e>
                    <m:nary>
                      <m:naryPr>
                        <m:chr m:val="∑"/>
                        <m:limLoc m:val="undOvr"/>
                        <m:ctrlPr>
                          <w:rPr>
                            <w:rFonts w:ascii="Cambria Math" w:hAnsi="Cambria Math" w:cs="Arial"/>
                            <w:sz w:val="24"/>
                            <w:szCs w:val="18"/>
                          </w:rPr>
                        </m:ctrlPr>
                      </m:naryPr>
                      <m:sub>
                        <m:r>
                          <m:rPr>
                            <m:sty m:val="p"/>
                          </m:rPr>
                          <w:rPr>
                            <w:rFonts w:ascii="Cambria Math" w:hAnsi="Cambria Math" w:cs="Arial"/>
                            <w:sz w:val="24"/>
                            <w:szCs w:val="18"/>
                          </w:rPr>
                          <m:t>x=1</m:t>
                        </m:r>
                      </m:sub>
                      <m:sup>
                        <m:r>
                          <m:rPr>
                            <m:sty m:val="p"/>
                          </m:rPr>
                          <w:rPr>
                            <w:rFonts w:ascii="Cambria Math" w:hAnsi="Cambria Math" w:cs="Arial"/>
                            <w:sz w:val="24"/>
                            <w:szCs w:val="18"/>
                          </w:rPr>
                          <m:t>x=n</m:t>
                        </m:r>
                      </m:sup>
                      <m:e>
                        <m:sSub>
                          <m:sSubPr>
                            <m:ctrlPr>
                              <w:rPr>
                                <w:rFonts w:ascii="Cambria Math" w:hAnsi="Cambria Math" w:cs="Arial"/>
                                <w:sz w:val="24"/>
                                <w:szCs w:val="18"/>
                              </w:rPr>
                            </m:ctrlPr>
                          </m:sSubPr>
                          <m:e>
                            <m:r>
                              <m:rPr>
                                <m:sty m:val="p"/>
                              </m:rPr>
                              <w:rPr>
                                <w:rFonts w:ascii="Cambria Math" w:hAnsi="Cambria Math" w:cs="Arial"/>
                                <w:sz w:val="24"/>
                                <w:szCs w:val="18"/>
                              </w:rPr>
                              <m:t>N</m:t>
                            </m:r>
                          </m:e>
                          <m:sub>
                            <m:r>
                              <m:rPr>
                                <m:sty m:val="p"/>
                              </m:rPr>
                              <w:rPr>
                                <w:rFonts w:ascii="Cambria Math" w:hAnsi="Cambria Math" w:cs="Arial"/>
                                <w:sz w:val="24"/>
                                <w:szCs w:val="18"/>
                              </w:rPr>
                              <m:t>x</m:t>
                            </m:r>
                          </m:sub>
                        </m:sSub>
                      </m:e>
                    </m:nary>
                  </m:e>
                </m:d>
                <m:r>
                  <m:rPr>
                    <m:sty m:val="p"/>
                  </m:rPr>
                  <w:rPr>
                    <w:rFonts w:ascii="Cambria Math" w:hAnsi="Cambria Math" w:cs="Arial"/>
                    <w:sz w:val="24"/>
                    <w:szCs w:val="18"/>
                  </w:rPr>
                  <m:t>-1</m:t>
                </m:r>
              </m:den>
            </m:f>
          </m:e>
        </m:rad>
        <m:r>
          <m:rPr>
            <m:sty m:val="p"/>
          </m:rPr>
          <w:rPr>
            <w:rFonts w:ascii="Cambria Math" w:hAnsi="Cambria Math" w:cs="Arial"/>
            <w:sz w:val="24"/>
            <w:szCs w:val="18"/>
          </w:rPr>
          <m:t xml:space="preserve"> </m:t>
        </m:r>
      </m:oMath>
      <w:r w:rsidR="006B7B03">
        <w:rPr>
          <w:rFonts w:ascii="Arial" w:hAnsi="Arial" w:cs="Arial"/>
          <w:sz w:val="16"/>
        </w:rPr>
        <w:tab/>
      </w:r>
      <w:r w:rsidR="00B11CE7" w:rsidRPr="00F01F96">
        <w:rPr>
          <w:rFonts w:ascii="Arial" w:hAnsi="Arial" w:cs="Arial"/>
        </w:rPr>
        <w:t>(</w:t>
      </w:r>
      <w:r w:rsidR="00B11CE7">
        <w:rPr>
          <w:rFonts w:ascii="Arial" w:hAnsi="Arial" w:cs="Arial"/>
        </w:rPr>
        <w:t>SI6</w:t>
      </w:r>
      <w:r w:rsidR="00B11CE7" w:rsidRPr="00F01F96">
        <w:rPr>
          <w:rFonts w:ascii="Arial" w:hAnsi="Arial" w:cs="Arial"/>
        </w:rPr>
        <w:t>)</w:t>
      </w:r>
    </w:p>
    <w:p w14:paraId="50660BF4" w14:textId="68EC15AD" w:rsidR="00B11CE7" w:rsidRDefault="00B11CE7" w:rsidP="00B11CE7">
      <w:pPr>
        <w:spacing w:line="480" w:lineRule="auto"/>
        <w:rPr>
          <w:rFonts w:ascii="Arial" w:hAnsi="Arial" w:cs="Arial"/>
        </w:rPr>
      </w:pPr>
      <w:r>
        <w:rPr>
          <w:rFonts w:ascii="Arial" w:hAnsi="Arial" w:cs="Arial"/>
        </w:rPr>
        <w:t xml:space="preserve">with </w:t>
      </w:r>
      <w:r w:rsidR="006B7B03">
        <w:rPr>
          <w:rFonts w:ascii="Arial" w:hAnsi="Arial" w:cs="Arial"/>
        </w:rPr>
        <w:t>ln(</w:t>
      </w:r>
      <w:r>
        <w:rPr>
          <w:rFonts w:ascii="Arial" w:hAnsi="Arial" w:cs="Arial"/>
        </w:rPr>
        <w:t>GM</w:t>
      </w:r>
      <w:r w:rsidRPr="00F01F96">
        <w:rPr>
          <w:rFonts w:ascii="Arial" w:hAnsi="Arial" w:cs="Arial"/>
          <w:vertAlign w:val="subscript"/>
        </w:rPr>
        <w:t>agg</w:t>
      </w:r>
      <w:r w:rsidR="006B7B03">
        <w:rPr>
          <w:rFonts w:ascii="Arial" w:hAnsi="Arial" w:cs="Arial"/>
        </w:rPr>
        <w:t>)</w:t>
      </w:r>
      <w:r>
        <w:rPr>
          <w:rFonts w:ascii="Arial" w:hAnsi="Arial" w:cs="Arial"/>
        </w:rPr>
        <w:t xml:space="preserve"> and </w:t>
      </w:r>
      <w:r w:rsidR="006B7B03">
        <w:rPr>
          <w:rFonts w:ascii="Arial" w:hAnsi="Arial" w:cs="Arial"/>
        </w:rPr>
        <w:t>ln(</w:t>
      </w:r>
      <w:r>
        <w:rPr>
          <w:rFonts w:ascii="Arial" w:hAnsi="Arial" w:cs="Arial"/>
        </w:rPr>
        <w:t>GSD</w:t>
      </w:r>
      <w:r w:rsidRPr="00F01F96">
        <w:rPr>
          <w:rFonts w:ascii="Arial" w:hAnsi="Arial" w:cs="Arial"/>
          <w:vertAlign w:val="subscript"/>
        </w:rPr>
        <w:t>agg</w:t>
      </w:r>
      <w:r w:rsidR="006B7B03">
        <w:rPr>
          <w:rFonts w:ascii="Arial" w:hAnsi="Arial" w:cs="Arial"/>
        </w:rPr>
        <w:t>)</w:t>
      </w:r>
      <w:r>
        <w:rPr>
          <w:rFonts w:ascii="Arial" w:hAnsi="Arial" w:cs="Arial"/>
        </w:rPr>
        <w:t xml:space="preserve"> being the aggregated </w:t>
      </w:r>
      <w:r w:rsidR="006B7B03">
        <w:rPr>
          <w:rFonts w:ascii="Arial" w:hAnsi="Arial" w:cs="Arial"/>
        </w:rPr>
        <w:t>ln(GM</w:t>
      </w:r>
      <w:r w:rsidRPr="006B7B03">
        <w:rPr>
          <w:rFonts w:ascii="Arial" w:hAnsi="Arial" w:cs="Arial"/>
          <w:vertAlign w:val="subscript"/>
        </w:rPr>
        <w:t>AUC</w:t>
      </w:r>
      <w:r w:rsidRPr="006B7B03">
        <w:rPr>
          <w:rFonts w:ascii="Arial" w:hAnsi="Arial" w:cs="Arial"/>
        </w:rPr>
        <w:t>)</w:t>
      </w:r>
      <w:r w:rsidRPr="008301F1">
        <w:rPr>
          <w:rFonts w:ascii="Arial" w:hAnsi="Arial" w:cs="Arial"/>
          <w:vertAlign w:val="subscript"/>
        </w:rPr>
        <w:t xml:space="preserve"> </w:t>
      </w:r>
      <w:r>
        <w:rPr>
          <w:rFonts w:ascii="Arial" w:hAnsi="Arial" w:cs="Arial"/>
        </w:rPr>
        <w:t xml:space="preserve">and </w:t>
      </w:r>
      <w:r w:rsidR="006B7B03">
        <w:rPr>
          <w:rFonts w:ascii="Arial" w:hAnsi="Arial" w:cs="Arial"/>
        </w:rPr>
        <w:t>ln(GSD</w:t>
      </w:r>
      <w:r w:rsidRPr="006B7B03">
        <w:rPr>
          <w:rFonts w:ascii="Arial" w:hAnsi="Arial" w:cs="Arial"/>
          <w:vertAlign w:val="subscript"/>
        </w:rPr>
        <w:t>AUC</w:t>
      </w:r>
      <w:r w:rsidRPr="006B7B03">
        <w:rPr>
          <w:rFonts w:ascii="Arial" w:hAnsi="Arial" w:cs="Arial"/>
        </w:rPr>
        <w:t>)</w:t>
      </w:r>
      <w:r w:rsidR="00247EB8">
        <w:rPr>
          <w:rFonts w:ascii="Arial" w:hAnsi="Arial" w:cs="Arial"/>
        </w:rPr>
        <w:t xml:space="preserve"> values</w:t>
      </w:r>
      <w:r>
        <w:rPr>
          <w:rFonts w:ascii="Arial" w:hAnsi="Arial" w:cs="Arial"/>
        </w:rPr>
        <w:t>, respectively; n being the number of individual studies available; and N</w:t>
      </w:r>
      <w:r>
        <w:rPr>
          <w:rFonts w:ascii="Arial" w:hAnsi="Arial" w:cs="Arial"/>
          <w:vertAlign w:val="subscript"/>
        </w:rPr>
        <w:t>x</w:t>
      </w:r>
      <w:r>
        <w:rPr>
          <w:rFonts w:ascii="Arial" w:hAnsi="Arial" w:cs="Arial"/>
        </w:rPr>
        <w:t xml:space="preserve"> being the number of participants in study x. </w:t>
      </w:r>
    </w:p>
    <w:p w14:paraId="288F07B3" w14:textId="64F6F6EC" w:rsidR="00405A5E" w:rsidRPr="00405A5E" w:rsidRDefault="00B11CE7" w:rsidP="00405A5E">
      <w:pPr>
        <w:spacing w:line="480" w:lineRule="auto"/>
        <w:rPr>
          <w:rFonts w:ascii="Arial" w:hAnsi="Arial" w:cs="Arial"/>
        </w:rPr>
      </w:pPr>
      <w:r>
        <w:rPr>
          <w:rFonts w:ascii="Arial" w:hAnsi="Arial" w:cs="Arial"/>
        </w:rPr>
        <w:t>With a similar approach, the median AUC</w:t>
      </w:r>
      <w:r w:rsidR="00407A22">
        <w:rPr>
          <w:rFonts w:ascii="Arial" w:hAnsi="Arial" w:cs="Arial"/>
        </w:rPr>
        <w:t xml:space="preserve"> value in the general population is calculated from the aggregated </w:t>
      </w:r>
      <w:r w:rsidR="006B7B03">
        <w:rPr>
          <w:rFonts w:ascii="Arial" w:hAnsi="Arial" w:cs="Arial"/>
        </w:rPr>
        <w:t>ln(GM</w:t>
      </w:r>
      <w:r w:rsidR="006B7B03" w:rsidRPr="006B7B03">
        <w:rPr>
          <w:rFonts w:ascii="Arial" w:hAnsi="Arial" w:cs="Arial"/>
          <w:vertAlign w:val="subscript"/>
        </w:rPr>
        <w:t>agg</w:t>
      </w:r>
      <w:r w:rsidR="00407A22" w:rsidRPr="006B7B03">
        <w:rPr>
          <w:rFonts w:ascii="Arial" w:hAnsi="Arial" w:cs="Arial"/>
        </w:rPr>
        <w:t>)</w:t>
      </w:r>
      <w:r w:rsidR="00407A22">
        <w:rPr>
          <w:rFonts w:ascii="Arial" w:hAnsi="Arial" w:cs="Arial"/>
        </w:rPr>
        <w:t xml:space="preserve"> and </w:t>
      </w:r>
      <w:r w:rsidR="006B7B03">
        <w:rPr>
          <w:rFonts w:ascii="Arial" w:hAnsi="Arial" w:cs="Arial"/>
        </w:rPr>
        <w:t>ln(GSD</w:t>
      </w:r>
      <w:r w:rsidR="006B7B03" w:rsidRPr="006B7B03">
        <w:rPr>
          <w:rFonts w:ascii="Arial" w:hAnsi="Arial" w:cs="Arial"/>
          <w:vertAlign w:val="subscript"/>
        </w:rPr>
        <w:t>agg</w:t>
      </w:r>
      <w:r w:rsidR="00407A22" w:rsidRPr="006B7B03">
        <w:rPr>
          <w:rFonts w:ascii="Arial" w:hAnsi="Arial" w:cs="Arial"/>
        </w:rPr>
        <w:t>)</w:t>
      </w:r>
      <w:r w:rsidR="00407A22">
        <w:rPr>
          <w:rFonts w:ascii="Arial" w:hAnsi="Arial" w:cs="Arial"/>
        </w:rPr>
        <w:t xml:space="preserve"> values of the subpopulations. The </w:t>
      </w:r>
      <w:r w:rsidR="006B7B03">
        <w:rPr>
          <w:rFonts w:ascii="Arial" w:hAnsi="Arial" w:cs="Arial"/>
        </w:rPr>
        <w:t>ln(GM</w:t>
      </w:r>
      <w:r w:rsidR="00407A22" w:rsidRPr="006B7B03">
        <w:rPr>
          <w:rFonts w:ascii="Arial" w:hAnsi="Arial" w:cs="Arial"/>
        </w:rPr>
        <w:t>)</w:t>
      </w:r>
      <w:r w:rsidR="00407A22">
        <w:rPr>
          <w:rFonts w:ascii="Arial" w:hAnsi="Arial" w:cs="Arial"/>
        </w:rPr>
        <w:t xml:space="preserve"> for the general population is calculated via Equation SI5, and subsequently back-transformed to the normal scale to represent the median AUC value. In this case, n represents the number of subpopulations defined and N</w:t>
      </w:r>
      <w:r w:rsidR="00407A22" w:rsidRPr="00F01F96">
        <w:rPr>
          <w:rFonts w:ascii="Arial" w:hAnsi="Arial" w:cs="Arial"/>
          <w:vertAlign w:val="subscript"/>
        </w:rPr>
        <w:t>x</w:t>
      </w:r>
      <w:r w:rsidR="00407A22">
        <w:rPr>
          <w:rFonts w:ascii="Arial" w:hAnsi="Arial" w:cs="Arial"/>
        </w:rPr>
        <w:t xml:space="preserve"> represents the contribution of subpopulation x to the total population. In our case study, we used the demographics of the Dutch population to derive these contributions </w:t>
      </w:r>
      <w:r w:rsidR="00407A22">
        <w:rPr>
          <w:rFonts w:ascii="Arial" w:hAnsi="Arial" w:cs="Arial"/>
        </w:rPr>
        <w:fldChar w:fldCharType="begin"/>
      </w:r>
      <w:r w:rsidR="00407A22">
        <w:rPr>
          <w:rFonts w:ascii="Arial" w:hAnsi="Arial" w:cs="Arial"/>
        </w:rPr>
        <w:instrText xml:space="preserve"> ADDIN EN.CITE &lt;EndNote&gt;&lt;Cite&gt;&lt;Author&gt;CBS&lt;/Author&gt;&lt;Year&gt;2012&lt;/Year&gt;&lt;RecNum&gt;6328&lt;/RecNum&gt;&lt;DisplayText&gt;(CBS, 2012)&lt;/DisplayText&gt;&lt;record&gt;&lt;rec-number&gt;6328&lt;/rec-number&gt;&lt;foreign-keys&gt;&lt;key app="EN" db-id="95zfvevpm0pd5hewwazxt0vwpvx99t9zxds5" timestamp="1351678896"&gt;6328&lt;/key&gt;&lt;/foreign-keys&gt;&lt;ref-type name="Online Database"&gt;45&lt;/ref-type&gt;&lt;contributors&gt;&lt;authors&gt;&lt;author&gt;CBS&lt;/author&gt;&lt;/authors&gt;&lt;/contributors&gt;&lt;titles&gt;&lt;title&gt;Bevolking; geslacht, leeftijd en burgerlijke staat, 1 januari&lt;/title&gt;&lt;/titles&gt;&lt;edition&gt;05-07-2012&lt;/edition&gt;&lt;dates&gt;&lt;year&gt;2012&lt;/year&gt;&lt;pub-dates&gt;&lt;date&gt;31-10-2012&lt;/date&gt;&lt;/pub-dates&gt;&lt;/dates&gt;&lt;pub-location&gt;Den Haag/Heerlen, the Netherlands&lt;/pub-location&gt;&lt;publisher&gt;Centraal Bureau voor Statistiek&lt;/publisher&gt;&lt;urls&gt;&lt;related-urls&gt;&lt;url&gt;http://statline.cbs.nl/StatWeb/publication/?VW=T&amp;amp;DM=SLNL&amp;amp;PA=7461BEV&amp;amp;D1=0&amp;amp;D2=1-2&amp;amp;D3=0-100&amp;amp;D4=0,10,20,30,40,50,l&amp;amp;HD=121031-1118&amp;amp;HDR=T,G3&amp;amp;STB=G1,G2&lt;/url&gt;&lt;/related-urls&gt;&lt;/urls&gt;&lt;/record&gt;&lt;/Cite&gt;&lt;/EndNote&gt;</w:instrText>
      </w:r>
      <w:r w:rsidR="00407A22">
        <w:rPr>
          <w:rFonts w:ascii="Arial" w:hAnsi="Arial" w:cs="Arial"/>
        </w:rPr>
        <w:fldChar w:fldCharType="separate"/>
      </w:r>
      <w:r w:rsidR="00407A22">
        <w:rPr>
          <w:rFonts w:ascii="Arial" w:hAnsi="Arial" w:cs="Arial"/>
          <w:noProof/>
        </w:rPr>
        <w:t>(</w:t>
      </w:r>
      <w:hyperlink w:anchor="_ENREF_18" w:tooltip="CBS, 2012 #6328" w:history="1">
        <w:r w:rsidR="00286517">
          <w:rPr>
            <w:rFonts w:ascii="Arial" w:hAnsi="Arial" w:cs="Arial"/>
            <w:noProof/>
          </w:rPr>
          <w:t>CBS, 2012</w:t>
        </w:r>
      </w:hyperlink>
      <w:r w:rsidR="00407A22">
        <w:rPr>
          <w:rFonts w:ascii="Arial" w:hAnsi="Arial" w:cs="Arial"/>
          <w:noProof/>
        </w:rPr>
        <w:t>)</w:t>
      </w:r>
      <w:r w:rsidR="00407A22">
        <w:rPr>
          <w:rFonts w:ascii="Arial" w:hAnsi="Arial" w:cs="Arial"/>
        </w:rPr>
        <w:fldChar w:fldCharType="end"/>
      </w:r>
      <w:r w:rsidR="00407A22">
        <w:rPr>
          <w:rFonts w:ascii="Arial" w:hAnsi="Arial" w:cs="Arial"/>
        </w:rPr>
        <w:t>.</w:t>
      </w:r>
    </w:p>
    <w:p w14:paraId="55B84321" w14:textId="3ED470BB" w:rsidR="00405A5E" w:rsidRPr="00415E97" w:rsidRDefault="00405A5E" w:rsidP="00405A5E">
      <w:pPr>
        <w:pStyle w:val="Heading2"/>
        <w:spacing w:line="480" w:lineRule="auto"/>
        <w:rPr>
          <w:rFonts w:ascii="Arial" w:hAnsi="Arial" w:cs="Arial"/>
          <w:color w:val="000000" w:themeColor="text1"/>
          <w:sz w:val="22"/>
          <w:szCs w:val="22"/>
        </w:rPr>
      </w:pPr>
      <w:bookmarkStart w:id="5" w:name="_Toc430094150"/>
      <w:bookmarkStart w:id="6" w:name="_Toc430725539"/>
      <w:r w:rsidRPr="00415E97">
        <w:rPr>
          <w:rFonts w:ascii="Arial" w:hAnsi="Arial" w:cs="Arial"/>
          <w:color w:val="000000" w:themeColor="text1"/>
          <w:sz w:val="22"/>
          <w:szCs w:val="22"/>
        </w:rPr>
        <w:lastRenderedPageBreak/>
        <w:t>SI</w:t>
      </w:r>
      <w:r>
        <w:rPr>
          <w:rFonts w:ascii="Arial" w:hAnsi="Arial" w:cs="Arial"/>
          <w:color w:val="000000" w:themeColor="text1"/>
          <w:sz w:val="22"/>
          <w:szCs w:val="22"/>
        </w:rPr>
        <w:t>2</w:t>
      </w:r>
      <w:r w:rsidRPr="00415E97">
        <w:rPr>
          <w:rFonts w:ascii="Arial" w:hAnsi="Arial" w:cs="Arial"/>
          <w:color w:val="000000" w:themeColor="text1"/>
          <w:sz w:val="22"/>
          <w:szCs w:val="22"/>
        </w:rPr>
        <w:t xml:space="preserve">. Interindividual variability in </w:t>
      </w:r>
      <w:r>
        <w:rPr>
          <w:rFonts w:ascii="Arial" w:hAnsi="Arial" w:cs="Arial"/>
          <w:color w:val="000000" w:themeColor="text1"/>
          <w:sz w:val="22"/>
          <w:szCs w:val="22"/>
        </w:rPr>
        <w:t>toxicodynamics – calculations</w:t>
      </w:r>
      <w:bookmarkEnd w:id="5"/>
      <w:bookmarkEnd w:id="6"/>
    </w:p>
    <w:p w14:paraId="74716AFD" w14:textId="7A6CBF6E" w:rsidR="00F360C8" w:rsidRDefault="00BB6C78" w:rsidP="00BB6C78">
      <w:pPr>
        <w:spacing w:line="480" w:lineRule="auto"/>
        <w:rPr>
          <w:rFonts w:ascii="Arial" w:hAnsi="Arial" w:cs="Arial"/>
        </w:rPr>
      </w:pPr>
      <w:r>
        <w:rPr>
          <w:rFonts w:ascii="Arial" w:hAnsi="Arial" w:cs="Arial"/>
        </w:rPr>
        <w:t xml:space="preserve">For each of the studies reported by </w:t>
      </w:r>
      <w:hyperlink w:anchor="_ENREF_85" w:tooltip="Renwick, 1998 #68" w:history="1">
        <w:r w:rsidR="00286517">
          <w:rPr>
            <w:rFonts w:ascii="Arial" w:hAnsi="Arial" w:cs="Arial"/>
          </w:rPr>
          <w:fldChar w:fldCharType="begin"/>
        </w:r>
        <w:r w:rsidR="00286517">
          <w:rPr>
            <w:rFonts w:ascii="Arial" w:hAnsi="Arial" w:cs="Arial"/>
          </w:rPr>
          <w:instrText xml:space="preserve"> ADDIN EN.CITE &lt;EndNote&gt;&lt;Cite AuthorYear="1"&gt;&lt;Author&gt;Renwick&lt;/Author&gt;&lt;Year&gt;1998&lt;/Year&gt;&lt;RecNum&gt;68&lt;/RecNum&gt;&lt;DisplayText&gt;Renwick and Lazarus (1998)&lt;/DisplayText&gt;&lt;record&gt;&lt;rec-number&gt;68&lt;/rec-number&gt;&lt;foreign-keys&gt;&lt;key app="EN" db-id="95zfvevpm0pd5hewwazxt0vwpvx99t9zxds5" timestamp="1343132417"&gt;68&lt;/key&gt;&lt;/foreign-keys&gt;&lt;ref-type name="Journal Article"&gt;17&lt;/ref-type&gt;&lt;contributors&gt;&lt;authors&gt;&lt;author&gt;Renwick, A. G.&lt;/author&gt;&lt;author&gt;Lazarus, N. R.&lt;/author&gt;&lt;/authors&gt;&lt;/contributors&gt;&lt;titles&gt;&lt;title&gt;Human Variability and Noncancer Risk Assessment— An Analysis of the Default Uncertainty Factor&lt;/title&gt;&lt;secondary-title&gt;Regul Toxicol Pharmacol&lt;/secondary-title&gt;&lt;/titles&gt;&lt;periodical&gt;&lt;full-title&gt;Regul Toxicol Pharmacol&lt;/full-title&gt;&lt;abbr-1&gt;Regulatory toxicology and pharmacology : RTP&lt;/abbr-1&gt;&lt;/periodical&gt;&lt;pages&gt;3-20&lt;/pages&gt;&lt;volume&gt;27&lt;/volume&gt;&lt;number&gt;1&lt;/number&gt;&lt;keywords&gt;&lt;keyword&gt;uncertainty factor&lt;/keyword&gt;&lt;keyword&gt;human variability&lt;/keyword&gt;&lt;keyword&gt;toxicokinetics&lt;/keyword&gt;&lt;keyword&gt;toxicodynamics&lt;/keyword&gt;&lt;keyword&gt;interindividual differences&lt;/keyword&gt;&lt;/keywords&gt;&lt;dates&gt;&lt;year&gt;1998&lt;/year&gt;&lt;/dates&gt;&lt;isbn&gt;0273-2300&lt;/isbn&gt;&lt;urls&gt;&lt;related-urls&gt;&lt;url&gt;http://www.sciencedirect.com/science/article/pii/S0273230097911958&lt;/url&gt;&lt;/related-urls&gt;&lt;/urls&gt;&lt;electronic-resource-num&gt;10.1006/rtph.1997.1195&lt;/electronic-resource-num&gt;&lt;/record&gt;&lt;/Cite&gt;&lt;/EndNote&gt;</w:instrText>
        </w:r>
        <w:r w:rsidR="00286517">
          <w:rPr>
            <w:rFonts w:ascii="Arial" w:hAnsi="Arial" w:cs="Arial"/>
          </w:rPr>
          <w:fldChar w:fldCharType="separate"/>
        </w:r>
        <w:r w:rsidR="00286517">
          <w:rPr>
            <w:rFonts w:ascii="Arial" w:hAnsi="Arial" w:cs="Arial"/>
            <w:noProof/>
          </w:rPr>
          <w:t>Renwick and Lazarus (1998)</w:t>
        </w:r>
        <w:r w:rsidR="00286517">
          <w:rPr>
            <w:rFonts w:ascii="Arial" w:hAnsi="Arial" w:cs="Arial"/>
          </w:rPr>
          <w:fldChar w:fldCharType="end"/>
        </w:r>
      </w:hyperlink>
      <w:r>
        <w:rPr>
          <w:rFonts w:ascii="Arial" w:hAnsi="Arial" w:cs="Arial"/>
        </w:rPr>
        <w:t xml:space="preserve">, a log(GSD) was calculated, describing the interindividual variability in toxicodynamics. Then, </w:t>
      </w:r>
      <w:r w:rsidR="00B55621">
        <w:rPr>
          <w:rFonts w:ascii="Arial" w:hAnsi="Arial" w:cs="Arial"/>
        </w:rPr>
        <w:t xml:space="preserve">each of </w:t>
      </w:r>
      <w:r>
        <w:rPr>
          <w:rFonts w:ascii="Arial" w:hAnsi="Arial" w:cs="Arial"/>
        </w:rPr>
        <w:t xml:space="preserve">these log(GSD)s  </w:t>
      </w:r>
      <w:r w:rsidR="00B55621">
        <w:rPr>
          <w:rFonts w:ascii="Arial" w:hAnsi="Arial" w:cs="Arial"/>
        </w:rPr>
        <w:t>was</w:t>
      </w:r>
      <w:r>
        <w:rPr>
          <w:rFonts w:ascii="Arial" w:hAnsi="Arial" w:cs="Arial"/>
        </w:rPr>
        <w:t xml:space="preserve"> assigned to an</w:t>
      </w:r>
      <w:r w:rsidRPr="00BB6C78">
        <w:rPr>
          <w:rFonts w:ascii="Arial" w:hAnsi="Arial" w:cs="Arial"/>
        </w:rPr>
        <w:t xml:space="preserve"> </w:t>
      </w:r>
      <w:r w:rsidRPr="00F165AE">
        <w:rPr>
          <w:rFonts w:ascii="Arial" w:hAnsi="Arial" w:cs="Arial"/>
        </w:rPr>
        <w:t xml:space="preserve">AOP </w:t>
      </w:r>
      <w:r>
        <w:rPr>
          <w:rFonts w:ascii="Arial" w:hAnsi="Arial" w:cs="Arial"/>
        </w:rPr>
        <w:t xml:space="preserve">derived </w:t>
      </w:r>
      <w:r w:rsidRPr="00F165AE">
        <w:rPr>
          <w:rFonts w:ascii="Arial" w:hAnsi="Arial" w:cs="Arial"/>
        </w:rPr>
        <w:t>via the Small Molecule Pathway Da</w:t>
      </w:r>
      <w:r>
        <w:rPr>
          <w:rFonts w:ascii="Arial" w:hAnsi="Arial" w:cs="Arial"/>
        </w:rPr>
        <w:t xml:space="preserve">tabase (at </w:t>
      </w:r>
      <w:hyperlink r:id="rId8" w:history="1">
        <w:r w:rsidRPr="00622B08">
          <w:rPr>
            <w:rStyle w:val="Hyperlink"/>
            <w:rFonts w:ascii="Arial" w:hAnsi="Arial" w:cs="Arial"/>
          </w:rPr>
          <w:t>http://www.smpdb.ca</w:t>
        </w:r>
      </w:hyperlink>
      <w:r>
        <w:rPr>
          <w:rFonts w:ascii="Arial" w:hAnsi="Arial" w:cs="Arial"/>
        </w:rPr>
        <w:t xml:space="preserve">). </w:t>
      </w:r>
      <w:r w:rsidR="00B55621">
        <w:rPr>
          <w:rFonts w:ascii="Arial" w:hAnsi="Arial" w:cs="Arial"/>
        </w:rPr>
        <w:t xml:space="preserve">We assume that substances sharing the same AOP, i.e., </w:t>
      </w:r>
      <w:r w:rsidR="00B55621" w:rsidRPr="00F165AE">
        <w:rPr>
          <w:rFonts w:ascii="Arial" w:hAnsi="Arial" w:cs="Arial"/>
        </w:rPr>
        <w:t>with the same human (drug) target and physiological effect</w:t>
      </w:r>
      <w:r w:rsidR="00B55621">
        <w:rPr>
          <w:rFonts w:ascii="Arial" w:hAnsi="Arial" w:cs="Arial"/>
        </w:rPr>
        <w:t xml:space="preserve">, also show the same </w:t>
      </w:r>
      <w:r w:rsidR="00B55621" w:rsidRPr="00F165AE">
        <w:rPr>
          <w:rFonts w:ascii="Arial" w:hAnsi="Arial" w:cs="Arial"/>
        </w:rPr>
        <w:t>extent of interindividual variability</w:t>
      </w:r>
      <w:r w:rsidR="00B55621">
        <w:rPr>
          <w:rFonts w:ascii="Arial" w:hAnsi="Arial" w:cs="Arial"/>
        </w:rPr>
        <w:t xml:space="preserve"> in </w:t>
      </w:r>
      <w:r w:rsidR="00B55621" w:rsidRPr="00F165AE">
        <w:rPr>
          <w:rFonts w:ascii="Arial" w:hAnsi="Arial" w:cs="Arial"/>
        </w:rPr>
        <w:t>their t</w:t>
      </w:r>
      <w:r w:rsidR="00B55621">
        <w:rPr>
          <w:rFonts w:ascii="Arial" w:hAnsi="Arial" w:cs="Arial"/>
        </w:rPr>
        <w:t>oxicodynamics. Therefore, w</w:t>
      </w:r>
      <w:r>
        <w:rPr>
          <w:rFonts w:ascii="Arial" w:hAnsi="Arial" w:cs="Arial"/>
        </w:rPr>
        <w:t>hen multiple log(GSD)</w:t>
      </w:r>
      <w:r w:rsidR="00B55621">
        <w:rPr>
          <w:rFonts w:ascii="Arial" w:hAnsi="Arial" w:cs="Arial"/>
        </w:rPr>
        <w:t xml:space="preserve">s are assigned to one AOP, they should </w:t>
      </w:r>
      <w:r w:rsidR="00DC2DED">
        <w:rPr>
          <w:rFonts w:ascii="Arial" w:hAnsi="Arial" w:cs="Arial"/>
        </w:rPr>
        <w:t>theoretically have the same value</w:t>
      </w:r>
      <w:r w:rsidR="00B55621">
        <w:rPr>
          <w:rFonts w:ascii="Arial" w:hAnsi="Arial" w:cs="Arial"/>
        </w:rPr>
        <w:t xml:space="preserve">. In practice, this </w:t>
      </w:r>
      <w:r w:rsidR="008F32D3">
        <w:rPr>
          <w:rFonts w:ascii="Arial" w:hAnsi="Arial" w:cs="Arial"/>
        </w:rPr>
        <w:t>is</w:t>
      </w:r>
      <w:r w:rsidR="00B55621">
        <w:rPr>
          <w:rFonts w:ascii="Arial" w:hAnsi="Arial" w:cs="Arial"/>
        </w:rPr>
        <w:t xml:space="preserve"> </w:t>
      </w:r>
      <w:r w:rsidR="00CF6F41">
        <w:rPr>
          <w:rFonts w:ascii="Arial" w:hAnsi="Arial" w:cs="Arial"/>
        </w:rPr>
        <w:t>n</w:t>
      </w:r>
      <w:r w:rsidR="008F32D3">
        <w:rPr>
          <w:rFonts w:ascii="Arial" w:hAnsi="Arial" w:cs="Arial"/>
        </w:rPr>
        <w:t>ot</w:t>
      </w:r>
      <w:r w:rsidR="00CF6F41">
        <w:rPr>
          <w:rFonts w:ascii="Arial" w:hAnsi="Arial" w:cs="Arial"/>
        </w:rPr>
        <w:t xml:space="preserve"> always the case. </w:t>
      </w:r>
      <w:r w:rsidR="008F32D3">
        <w:rPr>
          <w:rFonts w:ascii="Arial" w:hAnsi="Arial" w:cs="Arial"/>
        </w:rPr>
        <w:t>We then used t</w:t>
      </w:r>
      <w:r w:rsidR="00B55621">
        <w:rPr>
          <w:rFonts w:ascii="Arial" w:hAnsi="Arial" w:cs="Arial"/>
        </w:rPr>
        <w:t xml:space="preserve">he GM </w:t>
      </w:r>
      <w:r w:rsidR="00F360C8">
        <w:rPr>
          <w:rFonts w:ascii="Arial" w:hAnsi="Arial" w:cs="Arial"/>
        </w:rPr>
        <w:t>of</w:t>
      </w:r>
      <w:r w:rsidR="00CF6F41">
        <w:rPr>
          <w:rFonts w:ascii="Arial" w:hAnsi="Arial" w:cs="Arial"/>
        </w:rPr>
        <w:t xml:space="preserve"> </w:t>
      </w:r>
      <w:r w:rsidR="008F32D3">
        <w:rPr>
          <w:rFonts w:ascii="Arial" w:hAnsi="Arial" w:cs="Arial"/>
        </w:rPr>
        <w:t xml:space="preserve">these </w:t>
      </w:r>
      <w:r w:rsidR="00CF6F41">
        <w:rPr>
          <w:rFonts w:ascii="Arial" w:hAnsi="Arial" w:cs="Arial"/>
        </w:rPr>
        <w:t>multiple</w:t>
      </w:r>
      <w:r w:rsidR="00B55621">
        <w:rPr>
          <w:rFonts w:ascii="Arial" w:hAnsi="Arial" w:cs="Arial"/>
        </w:rPr>
        <w:t xml:space="preserve"> log(GSD)</w:t>
      </w:r>
      <w:r w:rsidR="00CF6F41">
        <w:rPr>
          <w:rFonts w:ascii="Arial" w:hAnsi="Arial" w:cs="Arial"/>
        </w:rPr>
        <w:t>s</w:t>
      </w:r>
      <w:r w:rsidR="00F25978">
        <w:rPr>
          <w:rFonts w:ascii="Arial" w:hAnsi="Arial" w:cs="Arial"/>
        </w:rPr>
        <w:t>, i.e., GM</w:t>
      </w:r>
      <w:r w:rsidR="00F25978" w:rsidRPr="00F25978">
        <w:rPr>
          <w:rFonts w:ascii="Arial" w:hAnsi="Arial" w:cs="Arial"/>
          <w:vertAlign w:val="subscript"/>
        </w:rPr>
        <w:t>lo</w:t>
      </w:r>
      <w:r w:rsidR="00F25978">
        <w:rPr>
          <w:rFonts w:ascii="Arial" w:hAnsi="Arial" w:cs="Arial"/>
          <w:vertAlign w:val="subscript"/>
        </w:rPr>
        <w:t>g(GSD)</w:t>
      </w:r>
      <w:r w:rsidR="008F32D3">
        <w:rPr>
          <w:rFonts w:ascii="Arial" w:hAnsi="Arial" w:cs="Arial"/>
        </w:rPr>
        <w:t>,</w:t>
      </w:r>
      <w:r w:rsidR="00B55621">
        <w:rPr>
          <w:rFonts w:ascii="Arial" w:hAnsi="Arial" w:cs="Arial"/>
        </w:rPr>
        <w:t xml:space="preserve"> </w:t>
      </w:r>
      <w:r w:rsidR="00DC2DED">
        <w:rPr>
          <w:rFonts w:ascii="Arial" w:hAnsi="Arial" w:cs="Arial"/>
        </w:rPr>
        <w:t>to describe</w:t>
      </w:r>
      <w:r w:rsidR="00B55621">
        <w:rPr>
          <w:rFonts w:ascii="Arial" w:hAnsi="Arial" w:cs="Arial"/>
        </w:rPr>
        <w:t xml:space="preserve"> the interindividual variability in toxicodynamics for that specific AOP.</w:t>
      </w:r>
      <w:r w:rsidR="00DC2DED">
        <w:rPr>
          <w:rFonts w:ascii="Arial" w:hAnsi="Arial" w:cs="Arial"/>
        </w:rPr>
        <w:t xml:space="preserve"> The GSD of </w:t>
      </w:r>
      <w:r w:rsidR="008F32D3">
        <w:rPr>
          <w:rFonts w:ascii="Arial" w:hAnsi="Arial" w:cs="Arial"/>
        </w:rPr>
        <w:t>the</w:t>
      </w:r>
      <w:r w:rsidR="00DC2DED">
        <w:rPr>
          <w:rFonts w:ascii="Arial" w:hAnsi="Arial" w:cs="Arial"/>
        </w:rPr>
        <w:t xml:space="preserve"> log(GSD)s, i.e., GSD</w:t>
      </w:r>
      <w:r w:rsidR="00DC2DED">
        <w:rPr>
          <w:rFonts w:ascii="Arial" w:hAnsi="Arial" w:cs="Arial"/>
          <w:vertAlign w:val="subscript"/>
        </w:rPr>
        <w:t>log(GSD)</w:t>
      </w:r>
      <w:r w:rsidR="00DC2DED">
        <w:rPr>
          <w:rFonts w:ascii="Arial" w:hAnsi="Arial" w:cs="Arial"/>
          <w:vertAlign w:val="subscript"/>
        </w:rPr>
        <w:softHyphen/>
      </w:r>
      <w:r w:rsidR="00DC2DED">
        <w:rPr>
          <w:rFonts w:ascii="Arial" w:hAnsi="Arial" w:cs="Arial"/>
        </w:rPr>
        <w:t xml:space="preserve">, </w:t>
      </w:r>
      <w:r w:rsidR="00247EB8">
        <w:rPr>
          <w:rFonts w:ascii="Arial" w:hAnsi="Arial" w:cs="Arial"/>
        </w:rPr>
        <w:t>then describes the variation between these multiple log(GSD)s.</w:t>
      </w:r>
      <w:r w:rsidR="00DC2DED">
        <w:rPr>
          <w:rFonts w:ascii="Arial" w:hAnsi="Arial" w:cs="Arial"/>
        </w:rPr>
        <w:t xml:space="preserve"> </w:t>
      </w:r>
    </w:p>
    <w:p w14:paraId="11E2EF66" w14:textId="08234490" w:rsidR="008F32D3" w:rsidRPr="008F32D3" w:rsidRDefault="00F360C8" w:rsidP="008F32D3">
      <w:pPr>
        <w:spacing w:line="480" w:lineRule="auto"/>
        <w:rPr>
          <w:rFonts w:ascii="Arial" w:hAnsi="Arial" w:cs="Arial"/>
        </w:rPr>
      </w:pPr>
      <w:r>
        <w:rPr>
          <w:rFonts w:ascii="Arial" w:hAnsi="Arial" w:cs="Arial"/>
        </w:rPr>
        <w:t xml:space="preserve">According to </w:t>
      </w:r>
      <w:hyperlink w:anchor="_ENREF_49" w:tooltip="Hattis, 2007 #12230" w:history="1">
        <w:r w:rsidR="00286517">
          <w:rPr>
            <w:rFonts w:ascii="Arial" w:hAnsi="Arial" w:cs="Arial"/>
          </w:rPr>
          <w:fldChar w:fldCharType="begin"/>
        </w:r>
        <w:r w:rsidR="00286517">
          <w:rPr>
            <w:rFonts w:ascii="Arial" w:hAnsi="Arial" w:cs="Arial"/>
          </w:rPr>
          <w:instrText xml:space="preserve"> ADDIN EN.CITE &lt;EndNote&gt;&lt;Cite AuthorYear="1"&gt;&lt;Author&gt;Hattis&lt;/Author&gt;&lt;Year&gt;2007&lt;/Year&gt;&lt;RecNum&gt;12230&lt;/RecNum&gt;&lt;DisplayText&gt;Hattis and Lynch (2007)&lt;/DisplayText&gt;&lt;record&gt;&lt;rec-number&gt;12230&lt;/rec-number&gt;&lt;foreign-keys&gt;&lt;key app="EN" db-id="95zfvevpm0pd5hewwazxt0vwpvx99t9zxds5" timestamp="1426000661"&gt;12230&lt;/key&gt;&lt;/foreign-keys&gt;&lt;ref-type name="Book Section"&gt;5&lt;/ref-type&gt;&lt;contributors&gt;&lt;authors&gt;&lt;author&gt;Hattis, D.&lt;/author&gt;&lt;author&gt;Lynch, M.K.&lt;/author&gt;&lt;/authors&gt;&lt;secondary-authors&gt;&lt;author&gt;Lipscomb, J.C.&lt;/author&gt;&lt;author&gt;Ohanian, E.V.&lt;/author&gt;&lt;/secondary-authors&gt;&lt;/contributors&gt;&lt;titles&gt;&lt;title&gt;Empirically observed distributions of pharmacokinetic and pharmacodynamic variability in humans - Implications for the derivation of single point component uncertainty factors providing equivalent protection as existing RfDs.&lt;/title&gt;&lt;secondary-title&gt;Toxicokinetics in risk assessment.&lt;/secondary-title&gt;&lt;/titles&gt;&lt;pages&gt;69-93&lt;/pages&gt;&lt;dates&gt;&lt;year&gt;2007&lt;/year&gt;&lt;/dates&gt;&lt;publisher&gt;Informa Healthcare USA, Inc.&lt;/publisher&gt;&lt;urls&gt;&lt;/urls&gt;&lt;/record&gt;&lt;/Cite&gt;&lt;/EndNote&gt;</w:instrText>
        </w:r>
        <w:r w:rsidR="00286517">
          <w:rPr>
            <w:rFonts w:ascii="Arial" w:hAnsi="Arial" w:cs="Arial"/>
          </w:rPr>
          <w:fldChar w:fldCharType="separate"/>
        </w:r>
        <w:r w:rsidR="00286517">
          <w:rPr>
            <w:rFonts w:ascii="Arial" w:hAnsi="Arial" w:cs="Arial"/>
            <w:noProof/>
          </w:rPr>
          <w:t>Hattis and Lynch (2007)</w:t>
        </w:r>
        <w:r w:rsidR="00286517">
          <w:rPr>
            <w:rFonts w:ascii="Arial" w:hAnsi="Arial" w:cs="Arial"/>
          </w:rPr>
          <w:fldChar w:fldCharType="end"/>
        </w:r>
      </w:hyperlink>
      <w:r>
        <w:rPr>
          <w:rFonts w:ascii="Arial" w:hAnsi="Arial" w:cs="Arial"/>
        </w:rPr>
        <w:t>, the log(GSD)s of multiple substances follow a lognormal dis</w:t>
      </w:r>
      <w:r w:rsidR="00F25978">
        <w:rPr>
          <w:rFonts w:ascii="Arial" w:hAnsi="Arial" w:cs="Arial"/>
        </w:rPr>
        <w:t xml:space="preserve">tribution. Therefore, the natural logarithms </w:t>
      </w:r>
      <w:r w:rsidR="00DC2DED">
        <w:rPr>
          <w:rFonts w:ascii="Arial" w:hAnsi="Arial" w:cs="Arial"/>
        </w:rPr>
        <w:t>of the AOP-specific GM</w:t>
      </w:r>
      <w:r w:rsidR="00DC2DED">
        <w:rPr>
          <w:rFonts w:ascii="Arial" w:hAnsi="Arial" w:cs="Arial"/>
          <w:vertAlign w:val="subscript"/>
        </w:rPr>
        <w:t>log(GSD)</w:t>
      </w:r>
      <w:r w:rsidR="00DC2DED">
        <w:rPr>
          <w:rFonts w:ascii="Arial" w:hAnsi="Arial" w:cs="Arial"/>
        </w:rPr>
        <w:t xml:space="preserve"> and GSD</w:t>
      </w:r>
      <w:r w:rsidR="00DC2DED">
        <w:rPr>
          <w:rFonts w:ascii="Arial" w:hAnsi="Arial" w:cs="Arial"/>
          <w:vertAlign w:val="subscript"/>
        </w:rPr>
        <w:t>log(GSD)</w:t>
      </w:r>
      <w:r w:rsidR="00DC2DED">
        <w:rPr>
          <w:rFonts w:ascii="Arial" w:hAnsi="Arial" w:cs="Arial"/>
        </w:rPr>
        <w:t xml:space="preserve"> </w:t>
      </w:r>
      <w:r w:rsidR="00247EB8">
        <w:rPr>
          <w:rFonts w:ascii="Arial" w:hAnsi="Arial" w:cs="Arial"/>
        </w:rPr>
        <w:t xml:space="preserve">values </w:t>
      </w:r>
      <w:r w:rsidR="00F25978">
        <w:rPr>
          <w:rFonts w:ascii="Arial" w:hAnsi="Arial" w:cs="Arial"/>
        </w:rPr>
        <w:t xml:space="preserve">were used to </w:t>
      </w:r>
      <w:r w:rsidR="008F32D3">
        <w:rPr>
          <w:rFonts w:ascii="Arial" w:hAnsi="Arial" w:cs="Arial"/>
        </w:rPr>
        <w:t xml:space="preserve">aggregate uncertainties into this </w:t>
      </w:r>
      <w:r w:rsidR="00F25978">
        <w:rPr>
          <w:rFonts w:ascii="Arial" w:hAnsi="Arial" w:cs="Arial"/>
        </w:rPr>
        <w:t>lognormal distribution</w:t>
      </w:r>
      <w:r w:rsidR="008F32D3">
        <w:rPr>
          <w:rFonts w:ascii="Arial" w:hAnsi="Arial" w:cs="Arial"/>
        </w:rPr>
        <w:t xml:space="preserve"> (Equations SI7 and SI8).</w:t>
      </w:r>
      <w:r w:rsidR="008F32D3" w:rsidRPr="008F32D3">
        <w:rPr>
          <w:rFonts w:ascii="Arial" w:hAnsi="Arial" w:cs="Arial"/>
        </w:rPr>
        <w:t xml:space="preserve"> </w:t>
      </w:r>
      <w:r w:rsidR="008F32D3">
        <w:rPr>
          <w:rFonts w:ascii="Arial" w:hAnsi="Arial" w:cs="Arial"/>
        </w:rPr>
        <w:t>The resulting GM</w:t>
      </w:r>
      <w:r w:rsidR="008F32D3">
        <w:rPr>
          <w:rFonts w:ascii="Arial" w:hAnsi="Arial" w:cs="Arial"/>
          <w:vertAlign w:val="subscript"/>
        </w:rPr>
        <w:t>agg</w:t>
      </w:r>
      <w:r w:rsidR="008F32D3">
        <w:rPr>
          <w:rFonts w:ascii="Arial" w:hAnsi="Arial" w:cs="Arial"/>
        </w:rPr>
        <w:t xml:space="preserve"> and GSD</w:t>
      </w:r>
      <w:r w:rsidR="008F32D3">
        <w:rPr>
          <w:rFonts w:ascii="Arial" w:hAnsi="Arial" w:cs="Arial"/>
          <w:vertAlign w:val="subscript"/>
        </w:rPr>
        <w:t>agg</w:t>
      </w:r>
      <w:r w:rsidR="008F32D3">
        <w:rPr>
          <w:rFonts w:ascii="Arial" w:hAnsi="Arial" w:cs="Arial"/>
        </w:rPr>
        <w:t xml:space="preserve"> describe</w:t>
      </w:r>
      <w:r w:rsidR="008F32D3" w:rsidRPr="008F32D3">
        <w:rPr>
          <w:rFonts w:ascii="Arial" w:hAnsi="Arial" w:cs="Arial"/>
        </w:rPr>
        <w:t xml:space="preserve"> </w:t>
      </w:r>
      <w:r w:rsidR="008F32D3">
        <w:rPr>
          <w:rFonts w:ascii="Arial" w:hAnsi="Arial" w:cs="Arial"/>
        </w:rPr>
        <w:t>the d</w:t>
      </w:r>
      <w:r w:rsidR="008F32D3" w:rsidRPr="00F165AE">
        <w:rPr>
          <w:rFonts w:ascii="Arial" w:hAnsi="Arial" w:cs="Arial"/>
        </w:rPr>
        <w:t xml:space="preserve">istribution </w:t>
      </w:r>
      <w:r w:rsidR="008F32D3">
        <w:rPr>
          <w:rFonts w:ascii="Arial" w:hAnsi="Arial" w:cs="Arial"/>
        </w:rPr>
        <w:t xml:space="preserve">that </w:t>
      </w:r>
      <w:r w:rsidR="008F32D3" w:rsidRPr="00F165AE">
        <w:rPr>
          <w:rFonts w:ascii="Arial" w:hAnsi="Arial" w:cs="Arial"/>
        </w:rPr>
        <w:t xml:space="preserve">reflects </w:t>
      </w:r>
      <w:r w:rsidR="008F32D3">
        <w:rPr>
          <w:rFonts w:ascii="Arial" w:hAnsi="Arial" w:cs="Arial"/>
        </w:rPr>
        <w:t xml:space="preserve">both </w:t>
      </w:r>
      <w:r w:rsidR="008F32D3" w:rsidRPr="00F165AE">
        <w:rPr>
          <w:rFonts w:ascii="Arial" w:hAnsi="Arial" w:cs="Arial"/>
        </w:rPr>
        <w:t>the variation between AOPs</w:t>
      </w:r>
      <w:r w:rsidR="008F32D3">
        <w:rPr>
          <w:rFonts w:ascii="Arial" w:hAnsi="Arial" w:cs="Arial"/>
        </w:rPr>
        <w:t xml:space="preserve"> in their log(GSD)s</w:t>
      </w:r>
      <w:r w:rsidR="008F32D3" w:rsidRPr="00F165AE">
        <w:rPr>
          <w:rFonts w:ascii="Arial" w:hAnsi="Arial" w:cs="Arial"/>
        </w:rPr>
        <w:t>,</w:t>
      </w:r>
      <w:r w:rsidR="008F32D3">
        <w:rPr>
          <w:rFonts w:ascii="Arial" w:hAnsi="Arial" w:cs="Arial"/>
        </w:rPr>
        <w:t xml:space="preserve"> and the uncertainty in these log(GSD)s due to limited data availability. As such, the distribution </w:t>
      </w:r>
      <w:r w:rsidR="008F32D3" w:rsidRPr="00F165AE">
        <w:rPr>
          <w:rFonts w:ascii="Arial" w:hAnsi="Arial" w:cs="Arial"/>
        </w:rPr>
        <w:t xml:space="preserve">reflects the </w:t>
      </w:r>
      <w:r w:rsidR="008F32D3">
        <w:rPr>
          <w:rFonts w:ascii="Arial" w:hAnsi="Arial" w:cs="Arial"/>
        </w:rPr>
        <w:t xml:space="preserve">additional </w:t>
      </w:r>
      <w:r w:rsidR="008F32D3" w:rsidRPr="00F165AE">
        <w:rPr>
          <w:rFonts w:ascii="Arial" w:hAnsi="Arial" w:cs="Arial"/>
        </w:rPr>
        <w:t xml:space="preserve">uncertainty that is introduced when the interindividual variability in toxicodynamics is estimated for any unspecified AOP. </w:t>
      </w:r>
      <w:r w:rsidR="008F32D3">
        <w:rPr>
          <w:rFonts w:ascii="Arial" w:hAnsi="Arial" w:cs="Arial"/>
        </w:rPr>
        <w:t xml:space="preserve"> </w:t>
      </w:r>
    </w:p>
    <w:p w14:paraId="5BC93233" w14:textId="7B880DA5" w:rsidR="00F25978" w:rsidRDefault="009377CE" w:rsidP="00BB6C78">
      <w:pPr>
        <w:spacing w:line="480" w:lineRule="auto"/>
        <w:rPr>
          <w:rFonts w:ascii="Arial" w:hAnsi="Arial" w:cs="Arial"/>
          <w:sz w:val="24"/>
        </w:rPr>
      </w:pPr>
      <m:oMath>
        <m:func>
          <m:funcPr>
            <m:ctrlPr>
              <w:rPr>
                <w:rFonts w:ascii="Cambria Math" w:hAnsi="Cambria Math" w:cs="Arial"/>
                <w:sz w:val="28"/>
              </w:rPr>
            </m:ctrlPr>
          </m:funcPr>
          <m:fName>
            <m:r>
              <m:rPr>
                <m:sty m:val="p"/>
              </m:rPr>
              <w:rPr>
                <w:rFonts w:ascii="Cambria Math" w:hAnsi="Cambria Math" w:cs="Arial"/>
                <w:sz w:val="28"/>
              </w:rPr>
              <m:t>ln</m:t>
            </m:r>
          </m:fName>
          <m:e>
            <m:d>
              <m:dPr>
                <m:ctrlPr>
                  <w:rPr>
                    <w:rFonts w:ascii="Cambria Math" w:hAnsi="Cambria Math" w:cs="Arial"/>
                    <w:sz w:val="28"/>
                  </w:rPr>
                </m:ctrlPr>
              </m:dPr>
              <m:e>
                <m:sSub>
                  <m:sSubPr>
                    <m:ctrlPr>
                      <w:rPr>
                        <w:rFonts w:ascii="Cambria Math" w:hAnsi="Cambria Math" w:cs="Arial"/>
                        <w:sz w:val="28"/>
                      </w:rPr>
                    </m:ctrlPr>
                  </m:sSubPr>
                  <m:e>
                    <m:r>
                      <m:rPr>
                        <m:sty m:val="p"/>
                      </m:rPr>
                      <w:rPr>
                        <w:rFonts w:ascii="Cambria Math" w:hAnsi="Cambria Math" w:cs="Arial"/>
                        <w:sz w:val="28"/>
                      </w:rPr>
                      <m:t>GM</m:t>
                    </m:r>
                  </m:e>
                  <m:sub>
                    <m:r>
                      <m:rPr>
                        <m:sty m:val="p"/>
                      </m:rPr>
                      <w:rPr>
                        <w:rFonts w:ascii="Cambria Math" w:hAnsi="Cambria Math" w:cs="Arial"/>
                        <w:sz w:val="28"/>
                      </w:rPr>
                      <m:t>agg</m:t>
                    </m:r>
                  </m:sub>
                </m:sSub>
              </m:e>
            </m:d>
          </m:e>
        </m:func>
        <m:r>
          <m:rPr>
            <m:sty m:val="p"/>
          </m:rPr>
          <w:rPr>
            <w:rFonts w:ascii="Cambria Math" w:hAnsi="Cambria Math" w:cs="Arial"/>
            <w:sz w:val="28"/>
          </w:rPr>
          <m:t>=</m:t>
        </m:r>
        <m:f>
          <m:fPr>
            <m:type m:val="skw"/>
            <m:ctrlPr>
              <w:rPr>
                <w:rFonts w:ascii="Cambria Math" w:hAnsi="Cambria Math" w:cs="Arial"/>
                <w:sz w:val="28"/>
              </w:rPr>
            </m:ctrlPr>
          </m:fPr>
          <m:num>
            <m:nary>
              <m:naryPr>
                <m:chr m:val="∑"/>
                <m:limLoc m:val="undOvr"/>
                <m:ctrlPr>
                  <w:rPr>
                    <w:rFonts w:ascii="Cambria Math" w:hAnsi="Cambria Math" w:cs="Arial"/>
                    <w:sz w:val="28"/>
                  </w:rPr>
                </m:ctrlPr>
              </m:naryPr>
              <m:sub>
                <m:r>
                  <m:rPr>
                    <m:sty m:val="p"/>
                  </m:rPr>
                  <w:rPr>
                    <w:rFonts w:ascii="Cambria Math" w:hAnsi="Cambria Math" w:cs="Arial"/>
                    <w:sz w:val="28"/>
                  </w:rPr>
                  <m:t>x=1</m:t>
                </m:r>
              </m:sub>
              <m:sup>
                <m:r>
                  <m:rPr>
                    <m:sty m:val="p"/>
                  </m:rPr>
                  <w:rPr>
                    <w:rFonts w:ascii="Cambria Math" w:hAnsi="Cambria Math" w:cs="Arial"/>
                    <w:sz w:val="28"/>
                  </w:rPr>
                  <m:t>x=n</m:t>
                </m:r>
              </m:sup>
              <m:e>
                <m:func>
                  <m:funcPr>
                    <m:ctrlPr>
                      <w:rPr>
                        <w:rFonts w:ascii="Cambria Math" w:hAnsi="Cambria Math" w:cs="Arial"/>
                        <w:sz w:val="28"/>
                      </w:rPr>
                    </m:ctrlPr>
                  </m:funcPr>
                  <m:fName>
                    <m:r>
                      <m:rPr>
                        <m:sty m:val="p"/>
                      </m:rPr>
                      <w:rPr>
                        <w:rFonts w:ascii="Cambria Math" w:hAnsi="Cambria Math" w:cs="Arial"/>
                        <w:sz w:val="28"/>
                      </w:rPr>
                      <m:t>ln</m:t>
                    </m:r>
                  </m:fName>
                  <m:e>
                    <m:d>
                      <m:dPr>
                        <m:ctrlPr>
                          <w:rPr>
                            <w:rFonts w:ascii="Cambria Math" w:hAnsi="Cambria Math" w:cs="Arial"/>
                            <w:sz w:val="28"/>
                          </w:rPr>
                        </m:ctrlPr>
                      </m:dPr>
                      <m:e>
                        <m:sSub>
                          <m:sSubPr>
                            <m:ctrlPr>
                              <w:rPr>
                                <w:rFonts w:ascii="Cambria Math" w:hAnsi="Cambria Math" w:cs="Arial"/>
                                <w:sz w:val="28"/>
                              </w:rPr>
                            </m:ctrlPr>
                          </m:sSubPr>
                          <m:e>
                            <m:r>
                              <m:rPr>
                                <m:sty m:val="p"/>
                              </m:rPr>
                              <w:rPr>
                                <w:rFonts w:ascii="Cambria Math" w:hAnsi="Cambria Math" w:cs="Arial"/>
                                <w:sz w:val="28"/>
                              </w:rPr>
                              <m:t>GM</m:t>
                            </m:r>
                          </m:e>
                          <m:sub>
                            <m:func>
                              <m:funcPr>
                                <m:ctrlPr>
                                  <w:rPr>
                                    <w:rFonts w:ascii="Cambria Math" w:hAnsi="Cambria Math" w:cs="Arial"/>
                                    <w:sz w:val="28"/>
                                  </w:rPr>
                                </m:ctrlPr>
                              </m:funcPr>
                              <m:fName>
                                <m:r>
                                  <m:rPr>
                                    <m:sty m:val="p"/>
                                  </m:rPr>
                                  <w:rPr>
                                    <w:rFonts w:ascii="Cambria Math" w:hAnsi="Cambria Math" w:cs="Arial"/>
                                    <w:sz w:val="28"/>
                                  </w:rPr>
                                  <m:t>log</m:t>
                                </m:r>
                              </m:fName>
                              <m:e>
                                <m:d>
                                  <m:dPr>
                                    <m:ctrlPr>
                                      <w:rPr>
                                        <w:rFonts w:ascii="Cambria Math" w:hAnsi="Cambria Math" w:cs="Arial"/>
                                        <w:sz w:val="28"/>
                                      </w:rPr>
                                    </m:ctrlPr>
                                  </m:dPr>
                                  <m:e>
                                    <m:r>
                                      <m:rPr>
                                        <m:sty m:val="p"/>
                                      </m:rPr>
                                      <w:rPr>
                                        <w:rFonts w:ascii="Cambria Math" w:hAnsi="Cambria Math" w:cs="Arial"/>
                                        <w:sz w:val="28"/>
                                      </w:rPr>
                                      <m:t>GSD</m:t>
                                    </m:r>
                                  </m:e>
                                </m:d>
                              </m:e>
                            </m:func>
                            <m:r>
                              <m:rPr>
                                <m:sty m:val="p"/>
                              </m:rPr>
                              <w:rPr>
                                <w:rFonts w:ascii="Cambria Math" w:hAnsi="Cambria Math" w:cs="Arial"/>
                                <w:sz w:val="28"/>
                              </w:rPr>
                              <m:t>,x</m:t>
                            </m:r>
                          </m:sub>
                        </m:sSub>
                      </m:e>
                    </m:d>
                  </m:e>
                </m:func>
              </m:e>
            </m:nary>
          </m:num>
          <m:den>
            <m:r>
              <m:rPr>
                <m:sty m:val="p"/>
              </m:rPr>
              <w:rPr>
                <w:rFonts w:ascii="Cambria Math" w:hAnsi="Cambria Math" w:cs="Arial"/>
                <w:sz w:val="28"/>
              </w:rPr>
              <m:t>n</m:t>
            </m:r>
          </m:den>
        </m:f>
      </m:oMath>
      <w:r w:rsidR="00247EB8">
        <w:rPr>
          <w:rFonts w:ascii="Arial" w:hAnsi="Arial" w:cs="Arial"/>
          <w:sz w:val="24"/>
        </w:rPr>
        <w:tab/>
      </w:r>
      <w:r w:rsidR="00247EB8">
        <w:rPr>
          <w:rFonts w:ascii="Arial" w:hAnsi="Arial" w:cs="Arial"/>
          <w:sz w:val="24"/>
        </w:rPr>
        <w:tab/>
      </w:r>
      <w:r w:rsidR="00247EB8">
        <w:rPr>
          <w:rFonts w:ascii="Arial" w:hAnsi="Arial" w:cs="Arial"/>
          <w:sz w:val="24"/>
        </w:rPr>
        <w:tab/>
      </w:r>
      <w:r w:rsidR="00247EB8">
        <w:rPr>
          <w:rFonts w:ascii="Arial" w:hAnsi="Arial" w:cs="Arial"/>
          <w:sz w:val="24"/>
        </w:rPr>
        <w:tab/>
      </w:r>
      <w:r w:rsidR="00247EB8">
        <w:rPr>
          <w:rFonts w:ascii="Arial" w:hAnsi="Arial" w:cs="Arial"/>
          <w:sz w:val="24"/>
        </w:rPr>
        <w:tab/>
      </w:r>
      <w:r w:rsidR="008F32D3">
        <w:rPr>
          <w:rFonts w:ascii="Arial" w:hAnsi="Arial" w:cs="Arial"/>
          <w:sz w:val="24"/>
        </w:rPr>
        <w:tab/>
      </w:r>
      <w:r w:rsidR="00247EB8">
        <w:rPr>
          <w:rFonts w:ascii="Arial" w:hAnsi="Arial" w:cs="Arial"/>
          <w:sz w:val="24"/>
        </w:rPr>
        <w:t>(SI7)</w:t>
      </w:r>
    </w:p>
    <w:p w14:paraId="4041067B" w14:textId="64E86254" w:rsidR="00247EB8" w:rsidRPr="00110B21" w:rsidRDefault="009377CE" w:rsidP="00BB6C78">
      <w:pPr>
        <w:spacing w:line="480" w:lineRule="auto"/>
        <w:rPr>
          <w:rFonts w:ascii="Arial" w:hAnsi="Arial" w:cs="Arial"/>
        </w:rPr>
      </w:pPr>
      <m:oMath>
        <m:func>
          <m:funcPr>
            <m:ctrlPr>
              <w:rPr>
                <w:rFonts w:ascii="Cambria Math" w:hAnsi="Cambria Math" w:cs="Arial"/>
                <w:sz w:val="28"/>
              </w:rPr>
            </m:ctrlPr>
          </m:funcPr>
          <m:fName>
            <m:r>
              <m:rPr>
                <m:sty m:val="p"/>
              </m:rPr>
              <w:rPr>
                <w:rFonts w:ascii="Cambria Math" w:hAnsi="Cambria Math" w:cs="Arial"/>
                <w:sz w:val="28"/>
              </w:rPr>
              <m:t>ln</m:t>
            </m:r>
          </m:fName>
          <m:e>
            <m:d>
              <m:dPr>
                <m:ctrlPr>
                  <w:rPr>
                    <w:rFonts w:ascii="Cambria Math" w:hAnsi="Cambria Math" w:cs="Arial"/>
                    <w:sz w:val="28"/>
                  </w:rPr>
                </m:ctrlPr>
              </m:dPr>
              <m:e>
                <m:sSub>
                  <m:sSubPr>
                    <m:ctrlPr>
                      <w:rPr>
                        <w:rFonts w:ascii="Cambria Math" w:hAnsi="Cambria Math" w:cs="Arial"/>
                        <w:sz w:val="28"/>
                      </w:rPr>
                    </m:ctrlPr>
                  </m:sSubPr>
                  <m:e>
                    <m:r>
                      <m:rPr>
                        <m:sty m:val="p"/>
                      </m:rPr>
                      <w:rPr>
                        <w:rFonts w:ascii="Cambria Math" w:hAnsi="Cambria Math" w:cs="Arial"/>
                        <w:sz w:val="28"/>
                      </w:rPr>
                      <m:t>GSD</m:t>
                    </m:r>
                  </m:e>
                  <m:sub>
                    <m:r>
                      <m:rPr>
                        <m:sty m:val="p"/>
                      </m:rPr>
                      <w:rPr>
                        <w:rFonts w:ascii="Cambria Math" w:hAnsi="Cambria Math" w:cs="Arial"/>
                        <w:sz w:val="28"/>
                      </w:rPr>
                      <m:t>agg</m:t>
                    </m:r>
                  </m:sub>
                </m:sSub>
              </m:e>
            </m:d>
          </m:e>
        </m:func>
        <m:r>
          <m:rPr>
            <m:sty m:val="p"/>
          </m:rPr>
          <w:rPr>
            <w:rFonts w:ascii="Cambria Math" w:hAnsi="Cambria Math" w:cs="Arial"/>
            <w:sz w:val="28"/>
          </w:rPr>
          <m:t>=</m:t>
        </m:r>
        <m:f>
          <m:fPr>
            <m:ctrlPr>
              <w:rPr>
                <w:rFonts w:ascii="Cambria Math" w:hAnsi="Cambria Math" w:cs="Arial"/>
                <w:sz w:val="28"/>
              </w:rPr>
            </m:ctrlPr>
          </m:fPr>
          <m:num>
            <m:nary>
              <m:naryPr>
                <m:chr m:val="∑"/>
                <m:limLoc m:val="undOvr"/>
                <m:ctrlPr>
                  <w:rPr>
                    <w:rFonts w:ascii="Cambria Math" w:hAnsi="Cambria Math" w:cs="Arial"/>
                    <w:sz w:val="28"/>
                  </w:rPr>
                </m:ctrlPr>
              </m:naryPr>
              <m:sub>
                <m:r>
                  <m:rPr>
                    <m:sty m:val="p"/>
                  </m:rPr>
                  <w:rPr>
                    <w:rFonts w:ascii="Cambria Math" w:hAnsi="Cambria Math" w:cs="Arial"/>
                    <w:sz w:val="28"/>
                  </w:rPr>
                  <m:t>x=1</m:t>
                </m:r>
              </m:sub>
              <m:sup>
                <m:r>
                  <m:rPr>
                    <m:sty m:val="p"/>
                  </m:rPr>
                  <w:rPr>
                    <w:rFonts w:ascii="Cambria Math" w:hAnsi="Cambria Math" w:cs="Arial"/>
                    <w:sz w:val="28"/>
                  </w:rPr>
                  <m:t>x=n</m:t>
                </m:r>
              </m:sup>
              <m:e>
                <m:sSup>
                  <m:sSupPr>
                    <m:ctrlPr>
                      <w:rPr>
                        <w:rFonts w:ascii="Cambria Math" w:hAnsi="Cambria Math" w:cs="Arial"/>
                        <w:sz w:val="28"/>
                      </w:rPr>
                    </m:ctrlPr>
                  </m:sSupPr>
                  <m:e>
                    <m:d>
                      <m:dPr>
                        <m:ctrlPr>
                          <w:rPr>
                            <w:rFonts w:ascii="Cambria Math" w:hAnsi="Cambria Math" w:cs="Arial"/>
                            <w:sz w:val="28"/>
                          </w:rPr>
                        </m:ctrlPr>
                      </m:dPr>
                      <m:e>
                        <m:f>
                          <m:fPr>
                            <m:type m:val="lin"/>
                            <m:ctrlPr>
                              <w:rPr>
                                <w:rFonts w:ascii="Cambria Math" w:hAnsi="Cambria Math" w:cs="Arial"/>
                                <w:sz w:val="28"/>
                              </w:rPr>
                            </m:ctrlPr>
                          </m:fPr>
                          <m:num>
                            <m:func>
                              <m:funcPr>
                                <m:ctrlPr>
                                  <w:rPr>
                                    <w:rFonts w:ascii="Cambria Math" w:hAnsi="Cambria Math" w:cs="Arial"/>
                                    <w:sz w:val="28"/>
                                  </w:rPr>
                                </m:ctrlPr>
                              </m:funcPr>
                              <m:fName>
                                <m:r>
                                  <m:rPr>
                                    <m:sty m:val="p"/>
                                  </m:rPr>
                                  <w:rPr>
                                    <w:rFonts w:ascii="Cambria Math" w:hAnsi="Cambria Math" w:cs="Arial"/>
                                    <w:sz w:val="28"/>
                                  </w:rPr>
                                  <m:t>ln</m:t>
                                </m:r>
                              </m:fName>
                              <m:e>
                                <m:d>
                                  <m:dPr>
                                    <m:ctrlPr>
                                      <w:rPr>
                                        <w:rFonts w:ascii="Cambria Math" w:hAnsi="Cambria Math" w:cs="Arial"/>
                                        <w:sz w:val="28"/>
                                      </w:rPr>
                                    </m:ctrlPr>
                                  </m:dPr>
                                  <m:e>
                                    <m:sSub>
                                      <m:sSubPr>
                                        <m:ctrlPr>
                                          <w:rPr>
                                            <w:rFonts w:ascii="Cambria Math" w:hAnsi="Cambria Math" w:cs="Arial"/>
                                            <w:sz w:val="28"/>
                                          </w:rPr>
                                        </m:ctrlPr>
                                      </m:sSubPr>
                                      <m:e>
                                        <m:r>
                                          <m:rPr>
                                            <m:sty m:val="p"/>
                                          </m:rPr>
                                          <w:rPr>
                                            <w:rFonts w:ascii="Cambria Math" w:hAnsi="Cambria Math" w:cs="Arial"/>
                                            <w:sz w:val="28"/>
                                          </w:rPr>
                                          <m:t>GSD</m:t>
                                        </m:r>
                                      </m:e>
                                      <m:sub>
                                        <m:func>
                                          <m:funcPr>
                                            <m:ctrlPr>
                                              <w:rPr>
                                                <w:rFonts w:ascii="Cambria Math" w:hAnsi="Cambria Math" w:cs="Arial"/>
                                                <w:sz w:val="28"/>
                                              </w:rPr>
                                            </m:ctrlPr>
                                          </m:funcPr>
                                          <m:fName>
                                            <m:r>
                                              <m:rPr>
                                                <m:sty m:val="p"/>
                                              </m:rPr>
                                              <w:rPr>
                                                <w:rFonts w:ascii="Cambria Math" w:hAnsi="Cambria Math" w:cs="Arial"/>
                                                <w:sz w:val="28"/>
                                              </w:rPr>
                                              <m:t>log</m:t>
                                            </m:r>
                                          </m:fName>
                                          <m:e>
                                            <m:d>
                                              <m:dPr>
                                                <m:ctrlPr>
                                                  <w:rPr>
                                                    <w:rFonts w:ascii="Cambria Math" w:hAnsi="Cambria Math" w:cs="Arial"/>
                                                    <w:sz w:val="28"/>
                                                  </w:rPr>
                                                </m:ctrlPr>
                                              </m:dPr>
                                              <m:e>
                                                <m:r>
                                                  <m:rPr>
                                                    <m:sty m:val="p"/>
                                                  </m:rPr>
                                                  <w:rPr>
                                                    <w:rFonts w:ascii="Cambria Math" w:hAnsi="Cambria Math" w:cs="Arial"/>
                                                    <w:sz w:val="28"/>
                                                  </w:rPr>
                                                  <m:t>GSD</m:t>
                                                </m:r>
                                              </m:e>
                                            </m:d>
                                          </m:e>
                                        </m:func>
                                        <m:r>
                                          <m:rPr>
                                            <m:sty m:val="p"/>
                                          </m:rPr>
                                          <w:rPr>
                                            <w:rFonts w:ascii="Cambria Math" w:hAnsi="Cambria Math" w:cs="Arial"/>
                                            <w:sz w:val="28"/>
                                          </w:rPr>
                                          <m:t>,x</m:t>
                                        </m:r>
                                      </m:sub>
                                    </m:sSub>
                                  </m:e>
                                </m:d>
                              </m:e>
                            </m:func>
                          </m:num>
                          <m:den>
                            <m:rad>
                              <m:radPr>
                                <m:degHide m:val="1"/>
                                <m:ctrlPr>
                                  <w:rPr>
                                    <w:rFonts w:ascii="Cambria Math" w:hAnsi="Cambria Math" w:cs="Arial"/>
                                    <w:sz w:val="28"/>
                                  </w:rPr>
                                </m:ctrlPr>
                              </m:radPr>
                              <m:deg/>
                              <m:e>
                                <m:sSub>
                                  <m:sSubPr>
                                    <m:ctrlPr>
                                      <w:rPr>
                                        <w:rFonts w:ascii="Cambria Math" w:hAnsi="Cambria Math" w:cs="Arial"/>
                                        <w:sz w:val="28"/>
                                      </w:rPr>
                                    </m:ctrlPr>
                                  </m:sSubPr>
                                  <m:e>
                                    <m:r>
                                      <m:rPr>
                                        <m:sty m:val="p"/>
                                      </m:rPr>
                                      <w:rPr>
                                        <w:rFonts w:ascii="Cambria Math" w:hAnsi="Cambria Math" w:cs="Arial"/>
                                        <w:sz w:val="28"/>
                                      </w:rPr>
                                      <m:t>N</m:t>
                                    </m:r>
                                  </m:e>
                                  <m:sub>
                                    <m:r>
                                      <m:rPr>
                                        <m:sty m:val="p"/>
                                      </m:rPr>
                                      <w:rPr>
                                        <w:rFonts w:ascii="Cambria Math" w:hAnsi="Cambria Math" w:cs="Arial"/>
                                        <w:sz w:val="28"/>
                                      </w:rPr>
                                      <m:t>x</m:t>
                                    </m:r>
                                  </m:sub>
                                </m:sSub>
                              </m:e>
                            </m:rad>
                          </m:den>
                        </m:f>
                      </m:e>
                    </m:d>
                  </m:e>
                  <m:sup>
                    <m:r>
                      <m:rPr>
                        <m:sty m:val="p"/>
                      </m:rPr>
                      <w:rPr>
                        <w:rFonts w:ascii="Cambria Math" w:hAnsi="Cambria Math" w:cs="Arial"/>
                        <w:sz w:val="28"/>
                      </w:rPr>
                      <m:t>2</m:t>
                    </m:r>
                  </m:sup>
                </m:sSup>
                <m:r>
                  <m:rPr>
                    <m:sty m:val="p"/>
                  </m:rPr>
                  <w:rPr>
                    <w:rFonts w:ascii="Cambria Math" w:hAnsi="Cambria Math" w:cs="Arial"/>
                    <w:sz w:val="28"/>
                  </w:rPr>
                  <m:t>+</m:t>
                </m:r>
                <m:sSup>
                  <m:sSupPr>
                    <m:ctrlPr>
                      <w:rPr>
                        <w:rFonts w:ascii="Cambria Math" w:hAnsi="Cambria Math" w:cs="Arial"/>
                        <w:sz w:val="28"/>
                      </w:rPr>
                    </m:ctrlPr>
                  </m:sSupPr>
                  <m:e>
                    <m:d>
                      <m:dPr>
                        <m:ctrlPr>
                          <w:rPr>
                            <w:rFonts w:ascii="Cambria Math" w:hAnsi="Cambria Math" w:cs="Arial"/>
                            <w:sz w:val="28"/>
                          </w:rPr>
                        </m:ctrlPr>
                      </m:dPr>
                      <m:e>
                        <m:func>
                          <m:funcPr>
                            <m:ctrlPr>
                              <w:rPr>
                                <w:rFonts w:ascii="Cambria Math" w:hAnsi="Cambria Math" w:cs="Arial"/>
                                <w:sz w:val="28"/>
                              </w:rPr>
                            </m:ctrlPr>
                          </m:funcPr>
                          <m:fName>
                            <m:r>
                              <m:rPr>
                                <m:sty m:val="p"/>
                              </m:rPr>
                              <w:rPr>
                                <w:rFonts w:ascii="Cambria Math" w:hAnsi="Cambria Math" w:cs="Arial"/>
                                <w:sz w:val="28"/>
                              </w:rPr>
                              <m:t>ln</m:t>
                            </m:r>
                          </m:fName>
                          <m:e>
                            <m:d>
                              <m:dPr>
                                <m:ctrlPr>
                                  <w:rPr>
                                    <w:rFonts w:ascii="Cambria Math" w:hAnsi="Cambria Math" w:cs="Arial"/>
                                    <w:sz w:val="28"/>
                                  </w:rPr>
                                </m:ctrlPr>
                              </m:dPr>
                              <m:e>
                                <m:sSub>
                                  <m:sSubPr>
                                    <m:ctrlPr>
                                      <w:rPr>
                                        <w:rFonts w:ascii="Cambria Math" w:hAnsi="Cambria Math" w:cs="Arial"/>
                                        <w:sz w:val="28"/>
                                      </w:rPr>
                                    </m:ctrlPr>
                                  </m:sSubPr>
                                  <m:e>
                                    <m:r>
                                      <m:rPr>
                                        <m:sty m:val="p"/>
                                      </m:rPr>
                                      <w:rPr>
                                        <w:rFonts w:ascii="Cambria Math" w:hAnsi="Cambria Math" w:cs="Arial"/>
                                        <w:sz w:val="28"/>
                                      </w:rPr>
                                      <m:t>GM</m:t>
                                    </m:r>
                                  </m:e>
                                  <m:sub>
                                    <m:func>
                                      <m:funcPr>
                                        <m:ctrlPr>
                                          <w:rPr>
                                            <w:rFonts w:ascii="Cambria Math" w:hAnsi="Cambria Math" w:cs="Arial"/>
                                            <w:sz w:val="28"/>
                                          </w:rPr>
                                        </m:ctrlPr>
                                      </m:funcPr>
                                      <m:fName>
                                        <m:r>
                                          <m:rPr>
                                            <m:sty m:val="p"/>
                                          </m:rPr>
                                          <w:rPr>
                                            <w:rFonts w:ascii="Cambria Math" w:hAnsi="Cambria Math" w:cs="Arial"/>
                                            <w:sz w:val="28"/>
                                          </w:rPr>
                                          <m:t>log</m:t>
                                        </m:r>
                                      </m:fName>
                                      <m:e>
                                        <m:d>
                                          <m:dPr>
                                            <m:ctrlPr>
                                              <w:rPr>
                                                <w:rFonts w:ascii="Cambria Math" w:hAnsi="Cambria Math" w:cs="Arial"/>
                                                <w:sz w:val="28"/>
                                              </w:rPr>
                                            </m:ctrlPr>
                                          </m:dPr>
                                          <m:e>
                                            <m:r>
                                              <m:rPr>
                                                <m:sty m:val="p"/>
                                              </m:rPr>
                                              <w:rPr>
                                                <w:rFonts w:ascii="Cambria Math" w:hAnsi="Cambria Math" w:cs="Arial"/>
                                                <w:sz w:val="28"/>
                                              </w:rPr>
                                              <m:t>GSD</m:t>
                                            </m:r>
                                          </m:e>
                                        </m:d>
                                      </m:e>
                                    </m:func>
                                  </m:sub>
                                </m:sSub>
                              </m:e>
                            </m:d>
                          </m:e>
                        </m:func>
                        <m:r>
                          <m:rPr>
                            <m:sty m:val="p"/>
                          </m:rPr>
                          <w:rPr>
                            <w:rFonts w:ascii="Cambria Math" w:hAnsi="Cambria Math" w:cs="Arial"/>
                            <w:sz w:val="28"/>
                          </w:rPr>
                          <m:t>-</m:t>
                        </m:r>
                        <m:func>
                          <m:funcPr>
                            <m:ctrlPr>
                              <w:rPr>
                                <w:rFonts w:ascii="Cambria Math" w:hAnsi="Cambria Math" w:cs="Arial"/>
                                <w:sz w:val="28"/>
                              </w:rPr>
                            </m:ctrlPr>
                          </m:funcPr>
                          <m:fName>
                            <m:r>
                              <m:rPr>
                                <m:sty m:val="p"/>
                              </m:rPr>
                              <w:rPr>
                                <w:rFonts w:ascii="Cambria Math" w:hAnsi="Cambria Math" w:cs="Arial"/>
                                <w:sz w:val="28"/>
                              </w:rPr>
                              <m:t>ln</m:t>
                            </m:r>
                          </m:fName>
                          <m:e>
                            <m:d>
                              <m:dPr>
                                <m:ctrlPr>
                                  <w:rPr>
                                    <w:rFonts w:ascii="Cambria Math" w:hAnsi="Cambria Math" w:cs="Arial"/>
                                    <w:sz w:val="28"/>
                                  </w:rPr>
                                </m:ctrlPr>
                              </m:dPr>
                              <m:e>
                                <m:sSub>
                                  <m:sSubPr>
                                    <m:ctrlPr>
                                      <w:rPr>
                                        <w:rFonts w:ascii="Cambria Math" w:hAnsi="Cambria Math" w:cs="Arial"/>
                                        <w:sz w:val="28"/>
                                      </w:rPr>
                                    </m:ctrlPr>
                                  </m:sSubPr>
                                  <m:e>
                                    <m:r>
                                      <m:rPr>
                                        <m:sty m:val="p"/>
                                      </m:rPr>
                                      <w:rPr>
                                        <w:rFonts w:ascii="Cambria Math" w:hAnsi="Cambria Math" w:cs="Arial"/>
                                        <w:sz w:val="28"/>
                                      </w:rPr>
                                      <m:t>GM</m:t>
                                    </m:r>
                                  </m:e>
                                  <m:sub>
                                    <m:r>
                                      <m:rPr>
                                        <m:sty m:val="p"/>
                                      </m:rPr>
                                      <w:rPr>
                                        <w:rFonts w:ascii="Cambria Math" w:hAnsi="Cambria Math" w:cs="Arial"/>
                                        <w:sz w:val="28"/>
                                      </w:rPr>
                                      <m:t>agg</m:t>
                                    </m:r>
                                  </m:sub>
                                </m:sSub>
                              </m:e>
                            </m:d>
                          </m:e>
                        </m:func>
                      </m:e>
                    </m:d>
                  </m:e>
                  <m:sup>
                    <m:r>
                      <m:rPr>
                        <m:sty m:val="p"/>
                      </m:rPr>
                      <w:rPr>
                        <w:rFonts w:ascii="Cambria Math" w:hAnsi="Cambria Math" w:cs="Arial"/>
                        <w:sz w:val="28"/>
                      </w:rPr>
                      <m:t>2</m:t>
                    </m:r>
                  </m:sup>
                </m:sSup>
              </m:e>
            </m:nary>
          </m:num>
          <m:den>
            <m:r>
              <m:rPr>
                <m:sty m:val="p"/>
              </m:rPr>
              <w:rPr>
                <w:rFonts w:ascii="Cambria Math" w:hAnsi="Cambria Math" w:cs="Arial"/>
                <w:sz w:val="28"/>
              </w:rPr>
              <m:t>n-1</m:t>
            </m:r>
          </m:den>
        </m:f>
      </m:oMath>
      <w:r w:rsidR="00110B21">
        <w:rPr>
          <w:rFonts w:ascii="Arial" w:hAnsi="Arial" w:cs="Arial"/>
          <w:sz w:val="24"/>
        </w:rPr>
        <w:tab/>
      </w:r>
      <w:r w:rsidR="00110B21">
        <w:rPr>
          <w:rFonts w:ascii="Arial" w:hAnsi="Arial" w:cs="Arial"/>
          <w:sz w:val="24"/>
        </w:rPr>
        <w:tab/>
        <w:t>(SI8)</w:t>
      </w:r>
    </w:p>
    <w:p w14:paraId="2389C0B6" w14:textId="1D00356D" w:rsidR="00405A5E" w:rsidRDefault="00F25978" w:rsidP="001E57F2">
      <w:pPr>
        <w:spacing w:line="480" w:lineRule="auto"/>
        <w:rPr>
          <w:rFonts w:ascii="Arial" w:hAnsi="Arial" w:cs="Arial"/>
        </w:rPr>
      </w:pPr>
      <w:r>
        <w:rPr>
          <w:rFonts w:ascii="Arial" w:hAnsi="Arial" w:cs="Arial"/>
        </w:rPr>
        <w:lastRenderedPageBreak/>
        <w:t>with ln(GM</w:t>
      </w:r>
      <w:r w:rsidRPr="00F01F96">
        <w:rPr>
          <w:rFonts w:ascii="Arial" w:hAnsi="Arial" w:cs="Arial"/>
          <w:vertAlign w:val="subscript"/>
        </w:rPr>
        <w:t>agg</w:t>
      </w:r>
      <w:r>
        <w:rPr>
          <w:rFonts w:ascii="Arial" w:hAnsi="Arial" w:cs="Arial"/>
        </w:rPr>
        <w:t>) and ln(GSD</w:t>
      </w:r>
      <w:r w:rsidRPr="00F01F96">
        <w:rPr>
          <w:rFonts w:ascii="Arial" w:hAnsi="Arial" w:cs="Arial"/>
          <w:vertAlign w:val="subscript"/>
        </w:rPr>
        <w:t>agg</w:t>
      </w:r>
      <w:r>
        <w:rPr>
          <w:rFonts w:ascii="Arial" w:hAnsi="Arial" w:cs="Arial"/>
        </w:rPr>
        <w:t>) being the aggregated ln(GM</w:t>
      </w:r>
      <w:r>
        <w:rPr>
          <w:rFonts w:ascii="Arial" w:hAnsi="Arial" w:cs="Arial"/>
          <w:vertAlign w:val="subscript"/>
        </w:rPr>
        <w:t>log(GSD)</w:t>
      </w:r>
      <w:r w:rsidRPr="006B7B03">
        <w:rPr>
          <w:rFonts w:ascii="Arial" w:hAnsi="Arial" w:cs="Arial"/>
        </w:rPr>
        <w:t>)</w:t>
      </w:r>
      <w:r w:rsidRPr="008301F1">
        <w:rPr>
          <w:rFonts w:ascii="Arial" w:hAnsi="Arial" w:cs="Arial"/>
          <w:vertAlign w:val="subscript"/>
        </w:rPr>
        <w:t xml:space="preserve"> </w:t>
      </w:r>
      <w:r>
        <w:rPr>
          <w:rFonts w:ascii="Arial" w:hAnsi="Arial" w:cs="Arial"/>
        </w:rPr>
        <w:t>and ln(GSD</w:t>
      </w:r>
      <w:r w:rsidR="008F32D3">
        <w:rPr>
          <w:rFonts w:ascii="Arial" w:hAnsi="Arial" w:cs="Arial"/>
          <w:vertAlign w:val="subscript"/>
        </w:rPr>
        <w:t>log(GSD)</w:t>
      </w:r>
      <w:r w:rsidRPr="006B7B03">
        <w:rPr>
          <w:rFonts w:ascii="Arial" w:hAnsi="Arial" w:cs="Arial"/>
        </w:rPr>
        <w:t>)</w:t>
      </w:r>
      <w:r>
        <w:rPr>
          <w:rFonts w:ascii="Arial" w:hAnsi="Arial" w:cs="Arial"/>
        </w:rPr>
        <w:t>, respec</w:t>
      </w:r>
      <w:r w:rsidR="008F32D3">
        <w:rPr>
          <w:rFonts w:ascii="Arial" w:hAnsi="Arial" w:cs="Arial"/>
        </w:rPr>
        <w:t>tively; n being the number of AOPs</w:t>
      </w:r>
      <w:r>
        <w:rPr>
          <w:rFonts w:ascii="Arial" w:hAnsi="Arial" w:cs="Arial"/>
        </w:rPr>
        <w:t xml:space="preserve"> </w:t>
      </w:r>
      <w:r w:rsidR="008F32D3">
        <w:rPr>
          <w:rFonts w:ascii="Arial" w:hAnsi="Arial" w:cs="Arial"/>
        </w:rPr>
        <w:t>defined</w:t>
      </w:r>
      <w:r>
        <w:rPr>
          <w:rFonts w:ascii="Arial" w:hAnsi="Arial" w:cs="Arial"/>
        </w:rPr>
        <w:t>; and N</w:t>
      </w:r>
      <w:r>
        <w:rPr>
          <w:rFonts w:ascii="Arial" w:hAnsi="Arial" w:cs="Arial"/>
          <w:vertAlign w:val="subscript"/>
        </w:rPr>
        <w:t>x</w:t>
      </w:r>
      <w:r>
        <w:rPr>
          <w:rFonts w:ascii="Arial" w:hAnsi="Arial" w:cs="Arial"/>
        </w:rPr>
        <w:t xml:space="preserve"> being the number of </w:t>
      </w:r>
      <w:r w:rsidR="008F32D3">
        <w:rPr>
          <w:rFonts w:ascii="Arial" w:hAnsi="Arial" w:cs="Arial"/>
        </w:rPr>
        <w:t>studies available per AOP x.</w:t>
      </w:r>
      <w:r w:rsidR="002C7526">
        <w:rPr>
          <w:rFonts w:ascii="Arial" w:hAnsi="Arial" w:cs="Arial"/>
        </w:rPr>
        <w:br w:type="page"/>
      </w:r>
    </w:p>
    <w:p w14:paraId="3AFA211B" w14:textId="77777777" w:rsidR="002C7526" w:rsidRDefault="00405A5E" w:rsidP="006F487C">
      <w:pPr>
        <w:pStyle w:val="Heading2"/>
        <w:spacing w:line="480" w:lineRule="auto"/>
        <w:rPr>
          <w:rFonts w:ascii="Arial" w:hAnsi="Arial" w:cs="Arial"/>
          <w:color w:val="000000" w:themeColor="text1"/>
          <w:sz w:val="22"/>
          <w:szCs w:val="22"/>
        </w:rPr>
      </w:pPr>
      <w:bookmarkStart w:id="7" w:name="_Toc430094151"/>
      <w:bookmarkStart w:id="8" w:name="_Toc430725540"/>
      <w:r w:rsidRPr="00415E97">
        <w:rPr>
          <w:rFonts w:ascii="Arial" w:hAnsi="Arial" w:cs="Arial"/>
          <w:color w:val="000000" w:themeColor="text1"/>
          <w:sz w:val="22"/>
          <w:szCs w:val="22"/>
        </w:rPr>
        <w:lastRenderedPageBreak/>
        <w:t>SI</w:t>
      </w:r>
      <w:r>
        <w:rPr>
          <w:rFonts w:ascii="Arial" w:hAnsi="Arial" w:cs="Arial"/>
          <w:color w:val="000000" w:themeColor="text1"/>
          <w:sz w:val="22"/>
          <w:szCs w:val="22"/>
        </w:rPr>
        <w:t>3</w:t>
      </w:r>
      <w:r w:rsidRPr="00415E97">
        <w:rPr>
          <w:rFonts w:ascii="Arial" w:hAnsi="Arial" w:cs="Arial"/>
          <w:color w:val="000000" w:themeColor="text1"/>
          <w:sz w:val="22"/>
          <w:szCs w:val="22"/>
        </w:rPr>
        <w:t xml:space="preserve">. </w:t>
      </w:r>
      <w:r>
        <w:rPr>
          <w:rFonts w:ascii="Arial" w:hAnsi="Arial" w:cs="Arial"/>
          <w:color w:val="000000" w:themeColor="text1"/>
          <w:sz w:val="22"/>
          <w:szCs w:val="22"/>
        </w:rPr>
        <w:t>Additional results</w:t>
      </w:r>
      <w:bookmarkEnd w:id="7"/>
      <w:bookmarkEnd w:id="8"/>
    </w:p>
    <w:p w14:paraId="6F249157" w14:textId="77777777" w:rsidR="00A4141F" w:rsidRDefault="00A4141F" w:rsidP="00A4141F">
      <w:pPr>
        <w:rPr>
          <w:rFonts w:ascii="Arial" w:hAnsi="Arial" w:cs="Arial"/>
        </w:rPr>
      </w:pPr>
      <w:r>
        <w:rPr>
          <w:rFonts w:ascii="Arial" w:hAnsi="Arial" w:cs="Arial"/>
          <w:noProof/>
          <w:lang w:val="en-GB" w:eastAsia="en-GB"/>
        </w:rPr>
        <w:drawing>
          <wp:inline distT="0" distB="0" distL="0" distR="0" wp14:anchorId="3A7B921D" wp14:editId="31A146B7">
            <wp:extent cx="5726430" cy="3280410"/>
            <wp:effectExtent l="0" t="0" r="7620" b="0"/>
            <wp:docPr id="23" name="Picture 23" descr="Z:\Rik_Oldenkamp\PHARMAS\ADI onzekerheid variabiliteit\Publications\Manuscript\Resubmission\Commentaar A&amp;M\Figures\2015-05-04_Figure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Rik_Oldenkamp\PHARMAS\ADI onzekerheid variabiliteit\Publications\Manuscript\Resubmission\Commentaar A&amp;M\Figures\2015-05-04_Figure4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6430" cy="3280410"/>
                    </a:xfrm>
                    <a:prstGeom prst="rect">
                      <a:avLst/>
                    </a:prstGeom>
                    <a:noFill/>
                    <a:ln>
                      <a:noFill/>
                    </a:ln>
                  </pic:spPr>
                </pic:pic>
              </a:graphicData>
            </a:graphic>
          </wp:inline>
        </w:drawing>
      </w:r>
    </w:p>
    <w:p w14:paraId="68E89E27" w14:textId="77777777" w:rsidR="00A4141F" w:rsidRDefault="00A4141F" w:rsidP="00A4141F">
      <w:pPr>
        <w:rPr>
          <w:rFonts w:ascii="Arial" w:hAnsi="Arial" w:cs="Arial"/>
        </w:rPr>
      </w:pPr>
      <w:r>
        <w:rPr>
          <w:rFonts w:ascii="Arial" w:hAnsi="Arial" w:cs="Arial"/>
          <w:noProof/>
          <w:lang w:val="en-GB" w:eastAsia="en-GB"/>
        </w:rPr>
        <w:drawing>
          <wp:inline distT="0" distB="0" distL="0" distR="0" wp14:anchorId="1322AEB4" wp14:editId="3494E929">
            <wp:extent cx="5726430" cy="3280410"/>
            <wp:effectExtent l="0" t="0" r="7620" b="0"/>
            <wp:docPr id="24" name="Picture 24" descr="Z:\Rik_Oldenkamp\PHARMAS\ADI onzekerheid variabiliteit\Publications\Manuscript\Resubmission\Commentaar A&amp;M\Figures\2015-05-04_Figure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Rik_Oldenkamp\PHARMAS\ADI onzekerheid variabiliteit\Publications\Manuscript\Resubmission\Commentaar A&amp;M\Figures\2015-05-04_Figure4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6430" cy="3280410"/>
                    </a:xfrm>
                    <a:prstGeom prst="rect">
                      <a:avLst/>
                    </a:prstGeom>
                    <a:noFill/>
                    <a:ln>
                      <a:noFill/>
                    </a:ln>
                  </pic:spPr>
                </pic:pic>
              </a:graphicData>
            </a:graphic>
          </wp:inline>
        </w:drawing>
      </w:r>
    </w:p>
    <w:p w14:paraId="3F083F92" w14:textId="77777777" w:rsidR="00A4141F" w:rsidRDefault="00A4141F" w:rsidP="00A4141F">
      <w:pPr>
        <w:rPr>
          <w:rFonts w:ascii="Arial" w:hAnsi="Arial" w:cs="Arial"/>
        </w:rPr>
      </w:pPr>
      <w:r>
        <w:rPr>
          <w:rFonts w:ascii="Arial" w:hAnsi="Arial" w:cs="Arial"/>
          <w:noProof/>
          <w:lang w:val="en-GB" w:eastAsia="en-GB"/>
        </w:rPr>
        <w:lastRenderedPageBreak/>
        <w:drawing>
          <wp:inline distT="0" distB="0" distL="0" distR="0" wp14:anchorId="4FC1A575" wp14:editId="52F551FE">
            <wp:extent cx="5726430" cy="3280410"/>
            <wp:effectExtent l="0" t="0" r="7620" b="0"/>
            <wp:docPr id="25" name="Picture 25" descr="Z:\Rik_Oldenkamp\PHARMAS\ADI onzekerheid variabiliteit\Publications\Manuscript\Resubmission\Commentaar A&amp;M\Figures\2015-05-04_Figure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Rik_Oldenkamp\PHARMAS\ADI onzekerheid variabiliteit\Publications\Manuscript\Resubmission\Commentaar A&amp;M\Figures\2015-05-04_Figure4C.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6430" cy="3280410"/>
                    </a:xfrm>
                    <a:prstGeom prst="rect">
                      <a:avLst/>
                    </a:prstGeom>
                    <a:noFill/>
                    <a:ln>
                      <a:noFill/>
                    </a:ln>
                  </pic:spPr>
                </pic:pic>
              </a:graphicData>
            </a:graphic>
          </wp:inline>
        </w:drawing>
      </w:r>
    </w:p>
    <w:p w14:paraId="4E299461" w14:textId="35E51164" w:rsidR="00D306A9" w:rsidRDefault="00D306A9" w:rsidP="00B921F8">
      <w:pPr>
        <w:spacing w:line="480" w:lineRule="auto"/>
        <w:rPr>
          <w:rFonts w:ascii="Arial" w:hAnsi="Arial" w:cs="Arial"/>
          <w:i/>
        </w:rPr>
      </w:pPr>
      <w:r>
        <w:rPr>
          <w:rFonts w:ascii="Arial" w:hAnsi="Arial" w:cs="Arial"/>
          <w:i/>
        </w:rPr>
        <w:t>Figure SI</w:t>
      </w:r>
      <w:r w:rsidR="006F487C">
        <w:rPr>
          <w:rFonts w:ascii="Arial" w:hAnsi="Arial" w:cs="Arial"/>
          <w:i/>
        </w:rPr>
        <w:t>1</w:t>
      </w:r>
      <w:r>
        <w:rPr>
          <w:rFonts w:ascii="Arial" w:hAnsi="Arial" w:cs="Arial"/>
          <w:i/>
        </w:rPr>
        <w:t xml:space="preserve">. </w:t>
      </w:r>
      <w:r w:rsidR="006F487C">
        <w:rPr>
          <w:rFonts w:ascii="Arial" w:hAnsi="Arial" w:cs="Arial"/>
          <w:i/>
        </w:rPr>
        <w:t xml:space="preserve">Derivation of a HEL for methotrexate (endpoint: white blood cell count, </w:t>
      </w:r>
      <w:r w:rsidR="00A4141F">
        <w:rPr>
          <w:rFonts w:ascii="Arial" w:hAnsi="Arial" w:cs="Arial"/>
          <w:i/>
        </w:rPr>
        <w:t xml:space="preserve">exponential </w:t>
      </w:r>
      <w:r w:rsidR="006F487C">
        <w:rPr>
          <w:rFonts w:ascii="Arial" w:hAnsi="Arial" w:cs="Arial"/>
          <w:i/>
        </w:rPr>
        <w:t>dose-response model</w:t>
      </w:r>
      <w:r w:rsidR="00F93D14">
        <w:rPr>
          <w:rFonts w:ascii="Arial" w:hAnsi="Arial" w:cs="Arial"/>
          <w:i/>
        </w:rPr>
        <w:t>, CES of 5% decrease</w:t>
      </w:r>
      <w:r w:rsidR="006F487C">
        <w:rPr>
          <w:rFonts w:ascii="Arial" w:hAnsi="Arial" w:cs="Arial"/>
          <w:i/>
        </w:rPr>
        <w:t xml:space="preserve">) at a protection level of 99% and a confidence level of 95%, based on either the </w:t>
      </w:r>
      <w:r w:rsidR="006F487C" w:rsidRPr="009A6570">
        <w:rPr>
          <w:rFonts w:ascii="Arial" w:hAnsi="Arial" w:cs="Arial"/>
          <w:i/>
        </w:rPr>
        <w:t>adult (A</w:t>
      </w:r>
      <w:r w:rsidR="006F487C">
        <w:rPr>
          <w:rFonts w:ascii="Arial" w:hAnsi="Arial" w:cs="Arial"/>
          <w:i/>
        </w:rPr>
        <w:t>; blue lines</w:t>
      </w:r>
      <w:r w:rsidR="006F487C" w:rsidRPr="009A6570">
        <w:rPr>
          <w:rFonts w:ascii="Arial" w:hAnsi="Arial" w:cs="Arial"/>
          <w:i/>
        </w:rPr>
        <w:t xml:space="preserve">) </w:t>
      </w:r>
      <w:r w:rsidR="006F487C">
        <w:rPr>
          <w:rFonts w:ascii="Arial" w:hAnsi="Arial" w:cs="Arial"/>
          <w:i/>
        </w:rPr>
        <w:t>or children</w:t>
      </w:r>
      <w:r w:rsidR="006F487C" w:rsidRPr="009A6570">
        <w:rPr>
          <w:rFonts w:ascii="Arial" w:hAnsi="Arial" w:cs="Arial"/>
          <w:i/>
        </w:rPr>
        <w:t xml:space="preserve"> </w:t>
      </w:r>
      <w:r w:rsidR="006F487C">
        <w:rPr>
          <w:rFonts w:ascii="Arial" w:hAnsi="Arial" w:cs="Arial"/>
          <w:i/>
        </w:rPr>
        <w:t xml:space="preserve">subpopulation </w:t>
      </w:r>
      <w:r w:rsidR="006F487C" w:rsidRPr="009A6570">
        <w:rPr>
          <w:rFonts w:ascii="Arial" w:hAnsi="Arial" w:cs="Arial"/>
          <w:i/>
        </w:rPr>
        <w:t>(B</w:t>
      </w:r>
      <w:r w:rsidR="006F487C">
        <w:rPr>
          <w:rFonts w:ascii="Arial" w:hAnsi="Arial" w:cs="Arial"/>
          <w:i/>
        </w:rPr>
        <w:t>; red lines</w:t>
      </w:r>
      <w:r w:rsidR="006F487C" w:rsidRPr="009A6570">
        <w:rPr>
          <w:rFonts w:ascii="Arial" w:hAnsi="Arial" w:cs="Arial"/>
          <w:i/>
        </w:rPr>
        <w:t>)</w:t>
      </w:r>
      <w:r w:rsidR="006F487C">
        <w:rPr>
          <w:rFonts w:ascii="Arial" w:hAnsi="Arial" w:cs="Arial"/>
          <w:i/>
        </w:rPr>
        <w:t xml:space="preserve">, or based on default uncertainty distributions only (C: grey lines) </w:t>
      </w:r>
      <w:r>
        <w:rPr>
          <w:rFonts w:ascii="Arial" w:hAnsi="Arial" w:cs="Arial"/>
          <w:i/>
        </w:rPr>
        <w:fldChar w:fldCharType="begin"/>
      </w:r>
      <w:r w:rsidR="00135F65">
        <w:rPr>
          <w:rFonts w:ascii="Arial" w:hAnsi="Arial" w:cs="Arial"/>
          <w:i/>
        </w:rPr>
        <w:instrText xml:space="preserve"> ADDIN EN.CITE &lt;EndNote&gt;&lt;Cite&gt;&lt;Author&gt;WHO&lt;/Author&gt;&lt;Year&gt;2014&lt;/Year&gt;&lt;RecNum&gt;12209&lt;/RecNum&gt;&lt;DisplayText&gt;(WHO, 2014)&lt;/DisplayText&gt;&lt;record&gt;&lt;rec-number&gt;12209&lt;/rec-number&gt;&lt;foreign-keys&gt;&lt;key app="EN" db-id="95zfvevpm0pd5hewwazxt0vwpvx99t9zxds5" timestamp="1421233340"&gt;12209&lt;/key&gt;&lt;/foreign-keys&gt;&lt;ref-type name="Report"&gt;27&lt;/ref-type&gt;&lt;contributors&gt;&lt;authors&gt;&lt;author&gt;WHO&lt;/author&gt;&lt;/authors&gt;&lt;/contributors&gt;&lt;titles&gt;&lt;title&gt;Guidance Document on Evaluating and Expressing Uncertainty in Hazard Characterization&lt;/title&gt;&lt;/titles&gt;&lt;dates&gt;&lt;year&gt;2014&lt;/year&gt;&lt;/dates&gt;&lt;publisher&gt;WHO, IPCS Harmonization Project; no. 11&lt;/publisher&gt;&lt;urls&gt;&lt;/urls&gt;&lt;/record&gt;&lt;/Cite&gt;&lt;/EndNote&gt;</w:instrText>
      </w:r>
      <w:r>
        <w:rPr>
          <w:rFonts w:ascii="Arial" w:hAnsi="Arial" w:cs="Arial"/>
          <w:i/>
        </w:rPr>
        <w:fldChar w:fldCharType="separate"/>
      </w:r>
      <w:r>
        <w:rPr>
          <w:rFonts w:ascii="Arial" w:hAnsi="Arial" w:cs="Arial"/>
          <w:i/>
          <w:noProof/>
        </w:rPr>
        <w:t>(</w:t>
      </w:r>
      <w:hyperlink w:anchor="_ENREF_111" w:tooltip="WHO, 2014 #12209" w:history="1">
        <w:r w:rsidR="00286517">
          <w:rPr>
            <w:rFonts w:ascii="Arial" w:hAnsi="Arial" w:cs="Arial"/>
            <w:i/>
            <w:noProof/>
          </w:rPr>
          <w:t>WHO, 2014</w:t>
        </w:r>
      </w:hyperlink>
      <w:r>
        <w:rPr>
          <w:rFonts w:ascii="Arial" w:hAnsi="Arial" w:cs="Arial"/>
          <w:i/>
          <w:noProof/>
        </w:rPr>
        <w:t>)</w:t>
      </w:r>
      <w:r>
        <w:rPr>
          <w:rFonts w:ascii="Arial" w:hAnsi="Arial" w:cs="Arial"/>
          <w:i/>
        </w:rPr>
        <w:fldChar w:fldCharType="end"/>
      </w:r>
      <w:r>
        <w:rPr>
          <w:rFonts w:ascii="Arial" w:hAnsi="Arial" w:cs="Arial"/>
          <w:i/>
        </w:rPr>
        <w:t>.</w:t>
      </w:r>
      <w:r w:rsidR="006F487C" w:rsidRPr="006F487C">
        <w:rPr>
          <w:rFonts w:ascii="Arial" w:hAnsi="Arial" w:cs="Arial"/>
          <w:i/>
        </w:rPr>
        <w:t xml:space="preserve"> </w:t>
      </w:r>
      <w:r w:rsidR="006F487C">
        <w:rPr>
          <w:rFonts w:ascii="Arial" w:hAnsi="Arial" w:cs="Arial"/>
          <w:i/>
        </w:rPr>
        <w:t>Solid line: kernel probability density function (PDF) of uncertainty distribution of HD</w:t>
      </w:r>
      <w:r w:rsidR="006F487C" w:rsidRPr="00D74B53">
        <w:rPr>
          <w:rFonts w:ascii="Arial" w:hAnsi="Arial" w:cs="Arial"/>
          <w:i/>
          <w:vertAlign w:val="subscript"/>
        </w:rPr>
        <w:t>M</w:t>
      </w:r>
      <w:r w:rsidR="006F487C">
        <w:rPr>
          <w:rFonts w:ascii="Arial" w:hAnsi="Arial" w:cs="Arial"/>
          <w:i/>
          <w:vertAlign w:val="superscript"/>
        </w:rPr>
        <w:t>0.01</w:t>
      </w:r>
      <w:r w:rsidR="006F487C">
        <w:rPr>
          <w:rFonts w:ascii="Arial" w:hAnsi="Arial" w:cs="Arial"/>
          <w:i/>
        </w:rPr>
        <w:t>; d</w:t>
      </w:r>
      <w:r w:rsidR="006F487C" w:rsidRPr="009A6570">
        <w:rPr>
          <w:rFonts w:ascii="Arial" w:hAnsi="Arial" w:cs="Arial"/>
          <w:i/>
        </w:rPr>
        <w:t>otted lines:</w:t>
      </w:r>
      <w:r w:rsidR="006F487C">
        <w:rPr>
          <w:rFonts w:ascii="Arial" w:hAnsi="Arial" w:cs="Arial"/>
          <w:i/>
        </w:rPr>
        <w:t xml:space="preserve"> kernel PDF of uncertainty distribution of HD</w:t>
      </w:r>
      <w:r w:rsidR="006F487C">
        <w:rPr>
          <w:rFonts w:ascii="Arial" w:hAnsi="Arial" w:cs="Arial"/>
          <w:i/>
          <w:vertAlign w:val="subscript"/>
        </w:rPr>
        <w:t>M</w:t>
      </w:r>
      <w:r w:rsidR="006F487C">
        <w:rPr>
          <w:rFonts w:ascii="Arial" w:hAnsi="Arial" w:cs="Arial"/>
          <w:i/>
          <w:vertAlign w:val="superscript"/>
        </w:rPr>
        <w:t>0.5</w:t>
      </w:r>
      <w:r w:rsidR="006F487C">
        <w:rPr>
          <w:rFonts w:ascii="Arial" w:hAnsi="Arial" w:cs="Arial"/>
          <w:i/>
        </w:rPr>
        <w:t>. These kernel PDFs represent 92% of all possible HD</w:t>
      </w:r>
      <w:r w:rsidR="006F487C" w:rsidRPr="001050DD">
        <w:rPr>
          <w:rFonts w:ascii="Arial" w:hAnsi="Arial" w:cs="Arial"/>
          <w:i/>
          <w:vertAlign w:val="subscript"/>
        </w:rPr>
        <w:t>M</w:t>
      </w:r>
      <w:r w:rsidR="006F487C">
        <w:rPr>
          <w:rFonts w:ascii="Arial" w:hAnsi="Arial" w:cs="Arial"/>
          <w:i/>
        </w:rPr>
        <w:t xml:space="preserve">s, because 8% of the iterations resulted in an </w:t>
      </w:r>
      <w:r w:rsidR="006F487C" w:rsidRPr="001050DD">
        <w:rPr>
          <w:rFonts w:ascii="Arial" w:hAnsi="Arial" w:cs="Arial"/>
          <w:i/>
        </w:rPr>
        <w:t>infinitely large PoD</w:t>
      </w:r>
      <w:r w:rsidR="006F487C">
        <w:rPr>
          <w:rFonts w:ascii="Arial" w:hAnsi="Arial" w:cs="Arial"/>
          <w:i/>
        </w:rPr>
        <w:t xml:space="preserve"> (see Section 2.2.1). IV: in</w:t>
      </w:r>
      <w:r w:rsidR="006F487C" w:rsidRPr="009A6570">
        <w:rPr>
          <w:rFonts w:ascii="Arial" w:hAnsi="Arial" w:cs="Arial"/>
          <w:i/>
        </w:rPr>
        <w:t>terindividual variability</w:t>
      </w:r>
      <w:r w:rsidR="006F487C">
        <w:rPr>
          <w:rFonts w:ascii="Arial" w:hAnsi="Arial" w:cs="Arial"/>
          <w:i/>
        </w:rPr>
        <w:t xml:space="preserve"> as the ratio between median HD</w:t>
      </w:r>
      <w:r w:rsidR="006F487C" w:rsidRPr="00D74B53">
        <w:rPr>
          <w:rFonts w:ascii="Arial" w:hAnsi="Arial" w:cs="Arial"/>
          <w:i/>
          <w:vertAlign w:val="subscript"/>
        </w:rPr>
        <w:t>M</w:t>
      </w:r>
      <w:r w:rsidR="006F487C">
        <w:rPr>
          <w:rFonts w:ascii="Arial" w:hAnsi="Arial" w:cs="Arial"/>
          <w:i/>
          <w:vertAlign w:val="superscript"/>
        </w:rPr>
        <w:t>0.5</w:t>
      </w:r>
      <w:r w:rsidR="006F487C">
        <w:rPr>
          <w:rFonts w:ascii="Arial" w:hAnsi="Arial" w:cs="Arial"/>
          <w:i/>
          <w:vertAlign w:val="subscript"/>
        </w:rPr>
        <w:t xml:space="preserve"> </w:t>
      </w:r>
      <w:r w:rsidR="006F487C">
        <w:rPr>
          <w:rFonts w:ascii="Arial" w:hAnsi="Arial" w:cs="Arial"/>
          <w:i/>
        </w:rPr>
        <w:t>and median HD</w:t>
      </w:r>
      <w:r w:rsidR="006F487C">
        <w:rPr>
          <w:rFonts w:ascii="Arial" w:hAnsi="Arial" w:cs="Arial"/>
          <w:i/>
          <w:vertAlign w:val="subscript"/>
        </w:rPr>
        <w:t>M</w:t>
      </w:r>
      <w:r w:rsidR="006F487C">
        <w:rPr>
          <w:rFonts w:ascii="Arial" w:hAnsi="Arial" w:cs="Arial"/>
          <w:i/>
          <w:vertAlign w:val="superscript"/>
        </w:rPr>
        <w:t>0.01</w:t>
      </w:r>
      <w:r w:rsidR="006F487C">
        <w:rPr>
          <w:rFonts w:ascii="Arial" w:hAnsi="Arial" w:cs="Arial"/>
          <w:i/>
        </w:rPr>
        <w:t>; U</w:t>
      </w:r>
      <w:r w:rsidR="006F487C">
        <w:rPr>
          <w:rFonts w:ascii="Arial" w:hAnsi="Arial" w:cs="Arial"/>
          <w:i/>
          <w:vertAlign w:val="subscript"/>
        </w:rPr>
        <w:t>1P</w:t>
      </w:r>
      <w:r w:rsidR="006F487C">
        <w:rPr>
          <w:rFonts w:ascii="Arial" w:hAnsi="Arial" w:cs="Arial"/>
          <w:i/>
        </w:rPr>
        <w:t>:</w:t>
      </w:r>
      <w:r w:rsidR="006F487C" w:rsidRPr="009A6570">
        <w:rPr>
          <w:rFonts w:ascii="Arial" w:hAnsi="Arial" w:cs="Arial"/>
          <w:i/>
        </w:rPr>
        <w:t xml:space="preserve"> </w:t>
      </w:r>
      <w:r w:rsidR="006F487C">
        <w:rPr>
          <w:rFonts w:ascii="Arial" w:hAnsi="Arial" w:cs="Arial"/>
          <w:i/>
        </w:rPr>
        <w:t>uncertainty</w:t>
      </w:r>
      <w:r w:rsidR="006F487C" w:rsidRPr="009A6570">
        <w:rPr>
          <w:rFonts w:ascii="Arial" w:hAnsi="Arial" w:cs="Arial"/>
          <w:i/>
        </w:rPr>
        <w:t xml:space="preserve"> </w:t>
      </w:r>
      <w:r w:rsidR="006F487C">
        <w:rPr>
          <w:rFonts w:ascii="Arial" w:hAnsi="Arial" w:cs="Arial"/>
          <w:i/>
        </w:rPr>
        <w:t>as the ratio between median HD</w:t>
      </w:r>
      <w:r w:rsidR="006F487C">
        <w:rPr>
          <w:rFonts w:ascii="Arial" w:hAnsi="Arial" w:cs="Arial"/>
          <w:i/>
          <w:vertAlign w:val="subscript"/>
        </w:rPr>
        <w:t>M</w:t>
      </w:r>
      <w:r w:rsidR="006F487C">
        <w:rPr>
          <w:rFonts w:ascii="Arial" w:hAnsi="Arial" w:cs="Arial"/>
          <w:i/>
          <w:vertAlign w:val="superscript"/>
        </w:rPr>
        <w:t>0.01</w:t>
      </w:r>
      <w:r w:rsidR="006F487C">
        <w:rPr>
          <w:rFonts w:ascii="Arial" w:hAnsi="Arial" w:cs="Arial"/>
          <w:i/>
        </w:rPr>
        <w:t xml:space="preserve"> and 1</w:t>
      </w:r>
      <w:r w:rsidR="006F487C" w:rsidRPr="005073FF">
        <w:rPr>
          <w:rFonts w:ascii="Arial" w:hAnsi="Arial" w:cs="Arial"/>
          <w:i/>
          <w:vertAlign w:val="superscript"/>
        </w:rPr>
        <w:t>st</w:t>
      </w:r>
      <w:r w:rsidR="006F487C">
        <w:rPr>
          <w:rFonts w:ascii="Arial" w:hAnsi="Arial" w:cs="Arial"/>
          <w:i/>
        </w:rPr>
        <w:t xml:space="preserve"> percentile of HD</w:t>
      </w:r>
      <w:r w:rsidR="006F487C">
        <w:rPr>
          <w:rFonts w:ascii="Arial" w:hAnsi="Arial" w:cs="Arial"/>
          <w:i/>
          <w:vertAlign w:val="subscript"/>
        </w:rPr>
        <w:t>M</w:t>
      </w:r>
      <w:r w:rsidR="006F487C">
        <w:rPr>
          <w:rFonts w:ascii="Arial" w:hAnsi="Arial" w:cs="Arial"/>
          <w:i/>
          <w:vertAlign w:val="superscript"/>
        </w:rPr>
        <w:t>0.01</w:t>
      </w:r>
      <w:r w:rsidR="006F487C">
        <w:rPr>
          <w:rFonts w:ascii="Arial" w:hAnsi="Arial" w:cs="Arial"/>
          <w:i/>
          <w:vertAlign w:val="subscript"/>
        </w:rPr>
        <w:t xml:space="preserve"> </w:t>
      </w:r>
      <w:r w:rsidR="00B921F8">
        <w:rPr>
          <w:rFonts w:ascii="Arial" w:hAnsi="Arial" w:cs="Arial"/>
          <w:i/>
        </w:rPr>
        <w:t>kernel PDF.</w:t>
      </w:r>
    </w:p>
    <w:p w14:paraId="1DE3538C" w14:textId="77777777" w:rsidR="00A4141F" w:rsidRDefault="00A4141F" w:rsidP="00A4141F">
      <w:pPr>
        <w:spacing w:after="0" w:line="480" w:lineRule="auto"/>
        <w:rPr>
          <w:rFonts w:ascii="Arial" w:hAnsi="Arial" w:cs="Arial"/>
          <w:i/>
        </w:rPr>
      </w:pPr>
      <w:r>
        <w:rPr>
          <w:rFonts w:ascii="Arial" w:hAnsi="Arial" w:cs="Arial"/>
          <w:i/>
          <w:noProof/>
          <w:lang w:val="en-GB" w:eastAsia="en-GB"/>
        </w:rPr>
        <w:lastRenderedPageBreak/>
        <w:drawing>
          <wp:inline distT="0" distB="0" distL="0" distR="0" wp14:anchorId="7D4C2740" wp14:editId="6D8AB1E4">
            <wp:extent cx="5726430" cy="3280410"/>
            <wp:effectExtent l="0" t="0" r="7620" b="0"/>
            <wp:docPr id="38" name="Picture 38" descr="Z:\Rik_Oldenkamp\PHARMAS\ADI onzekerheid variabiliteit\Publications\Manuscript\Resubmission\Commentaar A&amp;M\Figures\FigureSI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Rik_Oldenkamp\PHARMAS\ADI onzekerheid variabiliteit\Publications\Manuscript\Resubmission\Commentaar A&amp;M\Figures\FigureSI3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6430" cy="3280410"/>
                    </a:xfrm>
                    <a:prstGeom prst="rect">
                      <a:avLst/>
                    </a:prstGeom>
                    <a:noFill/>
                    <a:ln>
                      <a:noFill/>
                    </a:ln>
                  </pic:spPr>
                </pic:pic>
              </a:graphicData>
            </a:graphic>
          </wp:inline>
        </w:drawing>
      </w:r>
    </w:p>
    <w:p w14:paraId="3508EB5D" w14:textId="77777777" w:rsidR="00A4141F" w:rsidRDefault="00A4141F" w:rsidP="00A4141F">
      <w:pPr>
        <w:spacing w:after="0" w:line="480" w:lineRule="auto"/>
        <w:rPr>
          <w:rFonts w:ascii="Arial" w:hAnsi="Arial" w:cs="Arial"/>
          <w:i/>
        </w:rPr>
      </w:pPr>
      <w:r>
        <w:rPr>
          <w:rFonts w:ascii="Arial" w:hAnsi="Arial" w:cs="Arial"/>
          <w:i/>
          <w:noProof/>
          <w:lang w:val="en-GB" w:eastAsia="en-GB"/>
        </w:rPr>
        <w:drawing>
          <wp:inline distT="0" distB="0" distL="0" distR="0" wp14:anchorId="7CD76A8A" wp14:editId="6F1F33EE">
            <wp:extent cx="5726430" cy="3280410"/>
            <wp:effectExtent l="0" t="0" r="7620" b="0"/>
            <wp:docPr id="39" name="Picture 39" descr="Z:\Rik_Oldenkamp\PHARMAS\ADI onzekerheid variabiliteit\Publications\Manuscript\Resubmission\Commentaar A&amp;M\Figures\FigureSI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Rik_Oldenkamp\PHARMAS\ADI onzekerheid variabiliteit\Publications\Manuscript\Resubmission\Commentaar A&amp;M\Figures\FigureSI3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6430" cy="3280410"/>
                    </a:xfrm>
                    <a:prstGeom prst="rect">
                      <a:avLst/>
                    </a:prstGeom>
                    <a:noFill/>
                    <a:ln>
                      <a:noFill/>
                    </a:ln>
                  </pic:spPr>
                </pic:pic>
              </a:graphicData>
            </a:graphic>
          </wp:inline>
        </w:drawing>
      </w:r>
    </w:p>
    <w:p w14:paraId="323A2FE5" w14:textId="77777777" w:rsidR="00A4141F" w:rsidRDefault="00A4141F" w:rsidP="00A4141F">
      <w:pPr>
        <w:spacing w:after="0" w:line="480" w:lineRule="auto"/>
        <w:rPr>
          <w:rFonts w:ascii="Arial" w:hAnsi="Arial" w:cs="Arial"/>
          <w:i/>
        </w:rPr>
      </w:pPr>
      <w:r>
        <w:rPr>
          <w:rFonts w:ascii="Arial" w:hAnsi="Arial" w:cs="Arial"/>
          <w:i/>
          <w:noProof/>
          <w:lang w:val="en-GB" w:eastAsia="en-GB"/>
        </w:rPr>
        <w:lastRenderedPageBreak/>
        <w:drawing>
          <wp:inline distT="0" distB="0" distL="0" distR="0" wp14:anchorId="1B181EC9" wp14:editId="0761B919">
            <wp:extent cx="5726430" cy="3280410"/>
            <wp:effectExtent l="0" t="0" r="7620" b="0"/>
            <wp:docPr id="40" name="Picture 40" descr="Z:\Rik_Oldenkamp\PHARMAS\ADI onzekerheid variabiliteit\Publications\Manuscript\Resubmission\Commentaar A&amp;M\Figures\FigureSI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Rik_Oldenkamp\PHARMAS\ADI onzekerheid variabiliteit\Publications\Manuscript\Resubmission\Commentaar A&amp;M\Figures\FigureSI3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6430" cy="3280410"/>
                    </a:xfrm>
                    <a:prstGeom prst="rect">
                      <a:avLst/>
                    </a:prstGeom>
                    <a:noFill/>
                    <a:ln>
                      <a:noFill/>
                    </a:ln>
                  </pic:spPr>
                </pic:pic>
              </a:graphicData>
            </a:graphic>
          </wp:inline>
        </w:drawing>
      </w:r>
    </w:p>
    <w:p w14:paraId="5647EC29" w14:textId="5C3104DE" w:rsidR="002D6CDE" w:rsidRDefault="00D306A9" w:rsidP="002D6CDE">
      <w:pPr>
        <w:spacing w:line="480" w:lineRule="auto"/>
        <w:rPr>
          <w:rFonts w:ascii="Arial" w:hAnsi="Arial" w:cs="Arial"/>
          <w:i/>
        </w:rPr>
      </w:pPr>
      <w:r>
        <w:rPr>
          <w:rFonts w:ascii="Arial" w:hAnsi="Arial" w:cs="Arial"/>
          <w:i/>
        </w:rPr>
        <w:t>Figure SI</w:t>
      </w:r>
      <w:r w:rsidR="002D6CDE">
        <w:rPr>
          <w:rFonts w:ascii="Arial" w:hAnsi="Arial" w:cs="Arial"/>
          <w:i/>
        </w:rPr>
        <w:t xml:space="preserve">2. Derivation of a HEL for methotrexate (endpoint: red blood cell count, </w:t>
      </w:r>
      <w:r w:rsidR="00A4141F">
        <w:rPr>
          <w:rFonts w:ascii="Arial" w:hAnsi="Arial" w:cs="Arial"/>
          <w:i/>
        </w:rPr>
        <w:t xml:space="preserve">Hill </w:t>
      </w:r>
      <w:r w:rsidR="002D6CDE">
        <w:rPr>
          <w:rFonts w:ascii="Arial" w:hAnsi="Arial" w:cs="Arial"/>
          <w:i/>
        </w:rPr>
        <w:t>dose-response model</w:t>
      </w:r>
      <w:r w:rsidR="00F93D14">
        <w:rPr>
          <w:rFonts w:ascii="Arial" w:hAnsi="Arial" w:cs="Arial"/>
          <w:i/>
        </w:rPr>
        <w:t>, CES of 5% decrease</w:t>
      </w:r>
      <w:r w:rsidR="002D6CDE">
        <w:rPr>
          <w:rFonts w:ascii="Arial" w:hAnsi="Arial" w:cs="Arial"/>
          <w:i/>
        </w:rPr>
        <w:t xml:space="preserve">) at a protection level of 99% and a confidence level of 95%, based on either the </w:t>
      </w:r>
      <w:r w:rsidR="002D6CDE" w:rsidRPr="009A6570">
        <w:rPr>
          <w:rFonts w:ascii="Arial" w:hAnsi="Arial" w:cs="Arial"/>
          <w:i/>
        </w:rPr>
        <w:t>adult (A</w:t>
      </w:r>
      <w:r w:rsidR="002D6CDE">
        <w:rPr>
          <w:rFonts w:ascii="Arial" w:hAnsi="Arial" w:cs="Arial"/>
          <w:i/>
        </w:rPr>
        <w:t>; blue lines</w:t>
      </w:r>
      <w:r w:rsidR="002D6CDE" w:rsidRPr="009A6570">
        <w:rPr>
          <w:rFonts w:ascii="Arial" w:hAnsi="Arial" w:cs="Arial"/>
          <w:i/>
        </w:rPr>
        <w:t xml:space="preserve">) </w:t>
      </w:r>
      <w:r w:rsidR="002D6CDE">
        <w:rPr>
          <w:rFonts w:ascii="Arial" w:hAnsi="Arial" w:cs="Arial"/>
          <w:i/>
        </w:rPr>
        <w:t>or children</w:t>
      </w:r>
      <w:r w:rsidR="002D6CDE" w:rsidRPr="009A6570">
        <w:rPr>
          <w:rFonts w:ascii="Arial" w:hAnsi="Arial" w:cs="Arial"/>
          <w:i/>
        </w:rPr>
        <w:t xml:space="preserve"> </w:t>
      </w:r>
      <w:r w:rsidR="002D6CDE">
        <w:rPr>
          <w:rFonts w:ascii="Arial" w:hAnsi="Arial" w:cs="Arial"/>
          <w:i/>
        </w:rPr>
        <w:t xml:space="preserve">subpopulation </w:t>
      </w:r>
      <w:r w:rsidR="002D6CDE" w:rsidRPr="009A6570">
        <w:rPr>
          <w:rFonts w:ascii="Arial" w:hAnsi="Arial" w:cs="Arial"/>
          <w:i/>
        </w:rPr>
        <w:t>(B</w:t>
      </w:r>
      <w:r w:rsidR="002D6CDE">
        <w:rPr>
          <w:rFonts w:ascii="Arial" w:hAnsi="Arial" w:cs="Arial"/>
          <w:i/>
        </w:rPr>
        <w:t>; red lines</w:t>
      </w:r>
      <w:r w:rsidR="002D6CDE" w:rsidRPr="009A6570">
        <w:rPr>
          <w:rFonts w:ascii="Arial" w:hAnsi="Arial" w:cs="Arial"/>
          <w:i/>
        </w:rPr>
        <w:t>)</w:t>
      </w:r>
      <w:r w:rsidR="002D6CDE">
        <w:rPr>
          <w:rFonts w:ascii="Arial" w:hAnsi="Arial" w:cs="Arial"/>
          <w:i/>
        </w:rPr>
        <w:t xml:space="preserve">, or based on default uncertainty distributions only (C: grey lines) </w:t>
      </w:r>
      <w:r w:rsidR="002D6CDE">
        <w:rPr>
          <w:rFonts w:ascii="Arial" w:hAnsi="Arial" w:cs="Arial"/>
          <w:i/>
        </w:rPr>
        <w:fldChar w:fldCharType="begin"/>
      </w:r>
      <w:r w:rsidR="002D6CDE">
        <w:rPr>
          <w:rFonts w:ascii="Arial" w:hAnsi="Arial" w:cs="Arial"/>
          <w:i/>
        </w:rPr>
        <w:instrText xml:space="preserve"> ADDIN EN.CITE &lt;EndNote&gt;&lt;Cite&gt;&lt;Author&gt;WHO&lt;/Author&gt;&lt;Year&gt;2014&lt;/Year&gt;&lt;RecNum&gt;12209&lt;/RecNum&gt;&lt;DisplayText&gt;(WHO, 2014)&lt;/DisplayText&gt;&lt;record&gt;&lt;rec-number&gt;12209&lt;/rec-number&gt;&lt;foreign-keys&gt;&lt;key app="EN" db-id="95zfvevpm0pd5hewwazxt0vwpvx99t9zxds5" timestamp="1421233340"&gt;12209&lt;/key&gt;&lt;/foreign-keys&gt;&lt;ref-type name="Report"&gt;27&lt;/ref-type&gt;&lt;contributors&gt;&lt;authors&gt;&lt;author&gt;WHO&lt;/author&gt;&lt;/authors&gt;&lt;/contributors&gt;&lt;titles&gt;&lt;title&gt;Guidance Document on Evaluating and Expressing Uncertainty in Hazard Characterization&lt;/title&gt;&lt;/titles&gt;&lt;dates&gt;&lt;year&gt;2014&lt;/year&gt;&lt;/dates&gt;&lt;publisher&gt;WHO, IPCS Harmonization Project; no. 11&lt;/publisher&gt;&lt;urls&gt;&lt;/urls&gt;&lt;/record&gt;&lt;/Cite&gt;&lt;/EndNote&gt;</w:instrText>
      </w:r>
      <w:r w:rsidR="002D6CDE">
        <w:rPr>
          <w:rFonts w:ascii="Arial" w:hAnsi="Arial" w:cs="Arial"/>
          <w:i/>
        </w:rPr>
        <w:fldChar w:fldCharType="separate"/>
      </w:r>
      <w:r w:rsidR="002D6CDE">
        <w:rPr>
          <w:rFonts w:ascii="Arial" w:hAnsi="Arial" w:cs="Arial"/>
          <w:i/>
          <w:noProof/>
        </w:rPr>
        <w:t>(</w:t>
      </w:r>
      <w:hyperlink w:anchor="_ENREF_111" w:tooltip="WHO, 2014 #12209" w:history="1">
        <w:r w:rsidR="00286517">
          <w:rPr>
            <w:rFonts w:ascii="Arial" w:hAnsi="Arial" w:cs="Arial"/>
            <w:i/>
            <w:noProof/>
          </w:rPr>
          <w:t>WHO, 2014</w:t>
        </w:r>
      </w:hyperlink>
      <w:r w:rsidR="002D6CDE">
        <w:rPr>
          <w:rFonts w:ascii="Arial" w:hAnsi="Arial" w:cs="Arial"/>
          <w:i/>
          <w:noProof/>
        </w:rPr>
        <w:t>)</w:t>
      </w:r>
      <w:r w:rsidR="002D6CDE">
        <w:rPr>
          <w:rFonts w:ascii="Arial" w:hAnsi="Arial" w:cs="Arial"/>
          <w:i/>
        </w:rPr>
        <w:fldChar w:fldCharType="end"/>
      </w:r>
      <w:r w:rsidR="002D6CDE">
        <w:rPr>
          <w:rFonts w:ascii="Arial" w:hAnsi="Arial" w:cs="Arial"/>
          <w:i/>
        </w:rPr>
        <w:t>.</w:t>
      </w:r>
      <w:r w:rsidR="002D6CDE" w:rsidRPr="006F487C">
        <w:rPr>
          <w:rFonts w:ascii="Arial" w:hAnsi="Arial" w:cs="Arial"/>
          <w:i/>
        </w:rPr>
        <w:t xml:space="preserve"> </w:t>
      </w:r>
      <w:r w:rsidR="002D6CDE">
        <w:rPr>
          <w:rFonts w:ascii="Arial" w:hAnsi="Arial" w:cs="Arial"/>
          <w:i/>
        </w:rPr>
        <w:t>Solid line: kernel probability density function (PDF) of uncertainty distribution of HD</w:t>
      </w:r>
      <w:r w:rsidR="002D6CDE" w:rsidRPr="00D74B53">
        <w:rPr>
          <w:rFonts w:ascii="Arial" w:hAnsi="Arial" w:cs="Arial"/>
          <w:i/>
          <w:vertAlign w:val="subscript"/>
        </w:rPr>
        <w:t>M</w:t>
      </w:r>
      <w:r w:rsidR="002D6CDE">
        <w:rPr>
          <w:rFonts w:ascii="Arial" w:hAnsi="Arial" w:cs="Arial"/>
          <w:i/>
          <w:vertAlign w:val="superscript"/>
        </w:rPr>
        <w:t>0.01</w:t>
      </w:r>
      <w:r w:rsidR="002D6CDE">
        <w:rPr>
          <w:rFonts w:ascii="Arial" w:hAnsi="Arial" w:cs="Arial"/>
          <w:i/>
        </w:rPr>
        <w:t>; d</w:t>
      </w:r>
      <w:r w:rsidR="002D6CDE" w:rsidRPr="009A6570">
        <w:rPr>
          <w:rFonts w:ascii="Arial" w:hAnsi="Arial" w:cs="Arial"/>
          <w:i/>
        </w:rPr>
        <w:t>otted lines:</w:t>
      </w:r>
      <w:r w:rsidR="002D6CDE">
        <w:rPr>
          <w:rFonts w:ascii="Arial" w:hAnsi="Arial" w:cs="Arial"/>
          <w:i/>
        </w:rPr>
        <w:t xml:space="preserve"> kernel PDF of uncertainty distribution of HD</w:t>
      </w:r>
      <w:r w:rsidR="002D6CDE">
        <w:rPr>
          <w:rFonts w:ascii="Arial" w:hAnsi="Arial" w:cs="Arial"/>
          <w:i/>
          <w:vertAlign w:val="subscript"/>
        </w:rPr>
        <w:t>M</w:t>
      </w:r>
      <w:r w:rsidR="002D6CDE">
        <w:rPr>
          <w:rFonts w:ascii="Arial" w:hAnsi="Arial" w:cs="Arial"/>
          <w:i/>
          <w:vertAlign w:val="superscript"/>
        </w:rPr>
        <w:t>0.5</w:t>
      </w:r>
      <w:r w:rsidR="002D6CDE">
        <w:rPr>
          <w:rFonts w:ascii="Arial" w:hAnsi="Arial" w:cs="Arial"/>
          <w:i/>
        </w:rPr>
        <w:t>. These kernel PDFs represent 97% of all possible HD</w:t>
      </w:r>
      <w:r w:rsidR="002D6CDE" w:rsidRPr="001050DD">
        <w:rPr>
          <w:rFonts w:ascii="Arial" w:hAnsi="Arial" w:cs="Arial"/>
          <w:i/>
          <w:vertAlign w:val="subscript"/>
        </w:rPr>
        <w:t>M</w:t>
      </w:r>
      <w:r w:rsidR="002D6CDE">
        <w:rPr>
          <w:rFonts w:ascii="Arial" w:hAnsi="Arial" w:cs="Arial"/>
          <w:i/>
        </w:rPr>
        <w:t xml:space="preserve">s, because 3% of the iterations resulted in an </w:t>
      </w:r>
      <w:r w:rsidR="002D6CDE" w:rsidRPr="001050DD">
        <w:rPr>
          <w:rFonts w:ascii="Arial" w:hAnsi="Arial" w:cs="Arial"/>
          <w:i/>
        </w:rPr>
        <w:t>infinitely large PoD</w:t>
      </w:r>
      <w:r w:rsidR="002D6CDE">
        <w:rPr>
          <w:rFonts w:ascii="Arial" w:hAnsi="Arial" w:cs="Arial"/>
          <w:i/>
        </w:rPr>
        <w:t xml:space="preserve"> (see Section 2.2.1). IV: in</w:t>
      </w:r>
      <w:r w:rsidR="002D6CDE" w:rsidRPr="009A6570">
        <w:rPr>
          <w:rFonts w:ascii="Arial" w:hAnsi="Arial" w:cs="Arial"/>
          <w:i/>
        </w:rPr>
        <w:t>terindividual variability</w:t>
      </w:r>
      <w:r w:rsidR="002D6CDE">
        <w:rPr>
          <w:rFonts w:ascii="Arial" w:hAnsi="Arial" w:cs="Arial"/>
          <w:i/>
        </w:rPr>
        <w:t xml:space="preserve"> as the ratio between median HD</w:t>
      </w:r>
      <w:r w:rsidR="002D6CDE" w:rsidRPr="00D74B53">
        <w:rPr>
          <w:rFonts w:ascii="Arial" w:hAnsi="Arial" w:cs="Arial"/>
          <w:i/>
          <w:vertAlign w:val="subscript"/>
        </w:rPr>
        <w:t>M</w:t>
      </w:r>
      <w:r w:rsidR="002D6CDE">
        <w:rPr>
          <w:rFonts w:ascii="Arial" w:hAnsi="Arial" w:cs="Arial"/>
          <w:i/>
          <w:vertAlign w:val="superscript"/>
        </w:rPr>
        <w:t>0.5</w:t>
      </w:r>
      <w:r w:rsidR="002D6CDE">
        <w:rPr>
          <w:rFonts w:ascii="Arial" w:hAnsi="Arial" w:cs="Arial"/>
          <w:i/>
          <w:vertAlign w:val="subscript"/>
        </w:rPr>
        <w:t xml:space="preserve"> </w:t>
      </w:r>
      <w:r w:rsidR="002D6CDE">
        <w:rPr>
          <w:rFonts w:ascii="Arial" w:hAnsi="Arial" w:cs="Arial"/>
          <w:i/>
        </w:rPr>
        <w:t>and median HD</w:t>
      </w:r>
      <w:r w:rsidR="002D6CDE">
        <w:rPr>
          <w:rFonts w:ascii="Arial" w:hAnsi="Arial" w:cs="Arial"/>
          <w:i/>
          <w:vertAlign w:val="subscript"/>
        </w:rPr>
        <w:t>M</w:t>
      </w:r>
      <w:r w:rsidR="002D6CDE">
        <w:rPr>
          <w:rFonts w:ascii="Arial" w:hAnsi="Arial" w:cs="Arial"/>
          <w:i/>
          <w:vertAlign w:val="superscript"/>
        </w:rPr>
        <w:t>0.01</w:t>
      </w:r>
      <w:r w:rsidR="002D6CDE">
        <w:rPr>
          <w:rFonts w:ascii="Arial" w:hAnsi="Arial" w:cs="Arial"/>
          <w:i/>
        </w:rPr>
        <w:t>; U</w:t>
      </w:r>
      <w:r w:rsidR="002D6CDE">
        <w:rPr>
          <w:rFonts w:ascii="Arial" w:hAnsi="Arial" w:cs="Arial"/>
          <w:i/>
          <w:vertAlign w:val="subscript"/>
        </w:rPr>
        <w:t>1P</w:t>
      </w:r>
      <w:r w:rsidR="002D6CDE">
        <w:rPr>
          <w:rFonts w:ascii="Arial" w:hAnsi="Arial" w:cs="Arial"/>
          <w:i/>
        </w:rPr>
        <w:t>:</w:t>
      </w:r>
      <w:r w:rsidR="002D6CDE" w:rsidRPr="009A6570">
        <w:rPr>
          <w:rFonts w:ascii="Arial" w:hAnsi="Arial" w:cs="Arial"/>
          <w:i/>
        </w:rPr>
        <w:t xml:space="preserve"> </w:t>
      </w:r>
      <w:r w:rsidR="002D6CDE">
        <w:rPr>
          <w:rFonts w:ascii="Arial" w:hAnsi="Arial" w:cs="Arial"/>
          <w:i/>
        </w:rPr>
        <w:t>uncertainty</w:t>
      </w:r>
      <w:r w:rsidR="002D6CDE" w:rsidRPr="009A6570">
        <w:rPr>
          <w:rFonts w:ascii="Arial" w:hAnsi="Arial" w:cs="Arial"/>
          <w:i/>
        </w:rPr>
        <w:t xml:space="preserve"> </w:t>
      </w:r>
      <w:r w:rsidR="002D6CDE">
        <w:rPr>
          <w:rFonts w:ascii="Arial" w:hAnsi="Arial" w:cs="Arial"/>
          <w:i/>
        </w:rPr>
        <w:t>as the ratio between median HD</w:t>
      </w:r>
      <w:r w:rsidR="002D6CDE">
        <w:rPr>
          <w:rFonts w:ascii="Arial" w:hAnsi="Arial" w:cs="Arial"/>
          <w:i/>
          <w:vertAlign w:val="subscript"/>
        </w:rPr>
        <w:t>M</w:t>
      </w:r>
      <w:r w:rsidR="002D6CDE">
        <w:rPr>
          <w:rFonts w:ascii="Arial" w:hAnsi="Arial" w:cs="Arial"/>
          <w:i/>
          <w:vertAlign w:val="superscript"/>
        </w:rPr>
        <w:t>0.01</w:t>
      </w:r>
      <w:r w:rsidR="002D6CDE">
        <w:rPr>
          <w:rFonts w:ascii="Arial" w:hAnsi="Arial" w:cs="Arial"/>
          <w:i/>
        </w:rPr>
        <w:t xml:space="preserve"> and 1</w:t>
      </w:r>
      <w:r w:rsidR="002D6CDE" w:rsidRPr="005073FF">
        <w:rPr>
          <w:rFonts w:ascii="Arial" w:hAnsi="Arial" w:cs="Arial"/>
          <w:i/>
          <w:vertAlign w:val="superscript"/>
        </w:rPr>
        <w:t>st</w:t>
      </w:r>
      <w:r w:rsidR="002D6CDE">
        <w:rPr>
          <w:rFonts w:ascii="Arial" w:hAnsi="Arial" w:cs="Arial"/>
          <w:i/>
        </w:rPr>
        <w:t xml:space="preserve"> percentile of HD</w:t>
      </w:r>
      <w:r w:rsidR="002D6CDE">
        <w:rPr>
          <w:rFonts w:ascii="Arial" w:hAnsi="Arial" w:cs="Arial"/>
          <w:i/>
          <w:vertAlign w:val="subscript"/>
        </w:rPr>
        <w:t>M</w:t>
      </w:r>
      <w:r w:rsidR="002D6CDE">
        <w:rPr>
          <w:rFonts w:ascii="Arial" w:hAnsi="Arial" w:cs="Arial"/>
          <w:i/>
          <w:vertAlign w:val="superscript"/>
        </w:rPr>
        <w:t>0.01</w:t>
      </w:r>
      <w:r w:rsidR="002D6CDE">
        <w:rPr>
          <w:rFonts w:ascii="Arial" w:hAnsi="Arial" w:cs="Arial"/>
          <w:i/>
          <w:vertAlign w:val="subscript"/>
        </w:rPr>
        <w:t xml:space="preserve"> </w:t>
      </w:r>
      <w:r w:rsidR="002D6CDE">
        <w:rPr>
          <w:rFonts w:ascii="Arial" w:hAnsi="Arial" w:cs="Arial"/>
          <w:i/>
        </w:rPr>
        <w:t>kernel PDF.</w:t>
      </w:r>
    </w:p>
    <w:p w14:paraId="3CF686F2" w14:textId="77777777" w:rsidR="00A4141F" w:rsidRDefault="00A4141F" w:rsidP="00A4141F">
      <w:pPr>
        <w:spacing w:after="0" w:line="480" w:lineRule="auto"/>
        <w:rPr>
          <w:rFonts w:ascii="Arial" w:hAnsi="Arial" w:cs="Arial"/>
          <w:i/>
        </w:rPr>
      </w:pPr>
      <w:r>
        <w:rPr>
          <w:rFonts w:ascii="Arial" w:hAnsi="Arial" w:cs="Arial"/>
          <w:i/>
          <w:noProof/>
          <w:lang w:val="en-GB" w:eastAsia="en-GB"/>
        </w:rPr>
        <w:lastRenderedPageBreak/>
        <w:drawing>
          <wp:inline distT="0" distB="0" distL="0" distR="0" wp14:anchorId="0A80DCE1" wp14:editId="0CA64742">
            <wp:extent cx="5726430" cy="3280410"/>
            <wp:effectExtent l="0" t="0" r="7620" b="0"/>
            <wp:docPr id="35" name="Picture 35" descr="Z:\Rik_Oldenkamp\PHARMAS\ADI onzekerheid variabiliteit\Publications\Manuscript\Resubmission\Commentaar A&amp;M\Figures\FigureSI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Rik_Oldenkamp\PHARMAS\ADI onzekerheid variabiliteit\Publications\Manuscript\Resubmission\Commentaar A&amp;M\Figures\FigureSI2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6430" cy="3280410"/>
                    </a:xfrm>
                    <a:prstGeom prst="rect">
                      <a:avLst/>
                    </a:prstGeom>
                    <a:noFill/>
                    <a:ln>
                      <a:noFill/>
                    </a:ln>
                  </pic:spPr>
                </pic:pic>
              </a:graphicData>
            </a:graphic>
          </wp:inline>
        </w:drawing>
      </w:r>
    </w:p>
    <w:p w14:paraId="58A3C336" w14:textId="77777777" w:rsidR="00A4141F" w:rsidRDefault="00A4141F" w:rsidP="00A4141F">
      <w:pPr>
        <w:spacing w:line="480" w:lineRule="auto"/>
        <w:rPr>
          <w:rFonts w:ascii="Arial" w:hAnsi="Arial" w:cs="Arial"/>
          <w:i/>
        </w:rPr>
      </w:pPr>
      <w:r>
        <w:rPr>
          <w:rFonts w:ascii="Arial" w:hAnsi="Arial" w:cs="Arial"/>
          <w:i/>
          <w:noProof/>
          <w:lang w:val="en-GB" w:eastAsia="en-GB"/>
        </w:rPr>
        <w:drawing>
          <wp:inline distT="0" distB="0" distL="0" distR="0" wp14:anchorId="62086632" wp14:editId="77458758">
            <wp:extent cx="5726430" cy="3280410"/>
            <wp:effectExtent l="0" t="0" r="7620" b="0"/>
            <wp:docPr id="36" name="Picture 36" descr="Z:\Rik_Oldenkamp\PHARMAS\ADI onzekerheid variabiliteit\Publications\Manuscript\Resubmission\Commentaar A&amp;M\Figures\FigureSI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Rik_Oldenkamp\PHARMAS\ADI onzekerheid variabiliteit\Publications\Manuscript\Resubmission\Commentaar A&amp;M\Figures\FigureSI2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6430" cy="3280410"/>
                    </a:xfrm>
                    <a:prstGeom prst="rect">
                      <a:avLst/>
                    </a:prstGeom>
                    <a:noFill/>
                    <a:ln>
                      <a:noFill/>
                    </a:ln>
                  </pic:spPr>
                </pic:pic>
              </a:graphicData>
            </a:graphic>
          </wp:inline>
        </w:drawing>
      </w:r>
    </w:p>
    <w:p w14:paraId="1D84CB88" w14:textId="77777777" w:rsidR="00A4141F" w:rsidRDefault="00A4141F" w:rsidP="00A4141F">
      <w:pPr>
        <w:spacing w:after="0" w:line="480" w:lineRule="auto"/>
        <w:rPr>
          <w:rFonts w:ascii="Arial" w:hAnsi="Arial" w:cs="Arial"/>
          <w:i/>
        </w:rPr>
      </w:pPr>
      <w:r>
        <w:rPr>
          <w:rFonts w:ascii="Arial" w:hAnsi="Arial" w:cs="Arial"/>
          <w:i/>
          <w:noProof/>
          <w:lang w:val="en-GB" w:eastAsia="en-GB"/>
        </w:rPr>
        <w:lastRenderedPageBreak/>
        <w:drawing>
          <wp:inline distT="0" distB="0" distL="0" distR="0" wp14:anchorId="41662C7C" wp14:editId="07C57215">
            <wp:extent cx="5726430" cy="3280410"/>
            <wp:effectExtent l="0" t="0" r="7620" b="0"/>
            <wp:docPr id="37" name="Picture 37" descr="Z:\Rik_Oldenkamp\PHARMAS\ADI onzekerheid variabiliteit\Publications\Manuscript\Resubmission\Commentaar A&amp;M\Figures\FigureSI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Rik_Oldenkamp\PHARMAS\ADI onzekerheid variabiliteit\Publications\Manuscript\Resubmission\Commentaar A&amp;M\Figures\FigureSI2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6430" cy="3280410"/>
                    </a:xfrm>
                    <a:prstGeom prst="rect">
                      <a:avLst/>
                    </a:prstGeom>
                    <a:noFill/>
                    <a:ln>
                      <a:noFill/>
                    </a:ln>
                  </pic:spPr>
                </pic:pic>
              </a:graphicData>
            </a:graphic>
          </wp:inline>
        </w:drawing>
      </w:r>
    </w:p>
    <w:p w14:paraId="65B1D41E" w14:textId="2D4229F4" w:rsidR="002D6CDE" w:rsidRDefault="002D6CDE" w:rsidP="002D6CDE">
      <w:pPr>
        <w:spacing w:line="480" w:lineRule="auto"/>
        <w:rPr>
          <w:rFonts w:ascii="Arial" w:hAnsi="Arial" w:cs="Arial"/>
          <w:i/>
        </w:rPr>
      </w:pPr>
      <w:r>
        <w:rPr>
          <w:rFonts w:ascii="Arial" w:hAnsi="Arial" w:cs="Arial"/>
          <w:i/>
        </w:rPr>
        <w:t xml:space="preserve">Figure SI3. Derivation of a HEL for methotrexate (endpoint: red blood cell count, </w:t>
      </w:r>
      <w:r w:rsidR="00A4141F">
        <w:rPr>
          <w:rFonts w:ascii="Arial" w:hAnsi="Arial" w:cs="Arial"/>
          <w:i/>
        </w:rPr>
        <w:t xml:space="preserve">exponential </w:t>
      </w:r>
      <w:r>
        <w:rPr>
          <w:rFonts w:ascii="Arial" w:hAnsi="Arial" w:cs="Arial"/>
          <w:i/>
        </w:rPr>
        <w:t>dose-response model</w:t>
      </w:r>
      <w:r w:rsidR="00F93D14">
        <w:rPr>
          <w:rFonts w:ascii="Arial" w:hAnsi="Arial" w:cs="Arial"/>
          <w:i/>
        </w:rPr>
        <w:t>,</w:t>
      </w:r>
      <w:r w:rsidR="00F93D14" w:rsidRPr="00F93D14">
        <w:rPr>
          <w:rFonts w:ascii="Arial" w:hAnsi="Arial" w:cs="Arial"/>
          <w:i/>
        </w:rPr>
        <w:t xml:space="preserve"> </w:t>
      </w:r>
      <w:r w:rsidR="00F93D14">
        <w:rPr>
          <w:rFonts w:ascii="Arial" w:hAnsi="Arial" w:cs="Arial"/>
          <w:i/>
        </w:rPr>
        <w:t>CES of 5% decrease</w:t>
      </w:r>
      <w:r>
        <w:rPr>
          <w:rFonts w:ascii="Arial" w:hAnsi="Arial" w:cs="Arial"/>
          <w:i/>
        </w:rPr>
        <w:t xml:space="preserve">) at a protection level of 99% and a confidence level of 95%, based on either the </w:t>
      </w:r>
      <w:r w:rsidRPr="009A6570">
        <w:rPr>
          <w:rFonts w:ascii="Arial" w:hAnsi="Arial" w:cs="Arial"/>
          <w:i/>
        </w:rPr>
        <w:t>adult (A</w:t>
      </w:r>
      <w:r>
        <w:rPr>
          <w:rFonts w:ascii="Arial" w:hAnsi="Arial" w:cs="Arial"/>
          <w:i/>
        </w:rPr>
        <w:t>; blue lines</w:t>
      </w:r>
      <w:r w:rsidRPr="009A6570">
        <w:rPr>
          <w:rFonts w:ascii="Arial" w:hAnsi="Arial" w:cs="Arial"/>
          <w:i/>
        </w:rPr>
        <w:t xml:space="preserve">) </w:t>
      </w:r>
      <w:r>
        <w:rPr>
          <w:rFonts w:ascii="Arial" w:hAnsi="Arial" w:cs="Arial"/>
          <w:i/>
        </w:rPr>
        <w:t>or children</w:t>
      </w:r>
      <w:r w:rsidRPr="009A6570">
        <w:rPr>
          <w:rFonts w:ascii="Arial" w:hAnsi="Arial" w:cs="Arial"/>
          <w:i/>
        </w:rPr>
        <w:t xml:space="preserve"> </w:t>
      </w:r>
      <w:r>
        <w:rPr>
          <w:rFonts w:ascii="Arial" w:hAnsi="Arial" w:cs="Arial"/>
          <w:i/>
        </w:rPr>
        <w:t xml:space="preserve">subpopulation </w:t>
      </w:r>
      <w:r w:rsidRPr="009A6570">
        <w:rPr>
          <w:rFonts w:ascii="Arial" w:hAnsi="Arial" w:cs="Arial"/>
          <w:i/>
        </w:rPr>
        <w:t>(B</w:t>
      </w:r>
      <w:r>
        <w:rPr>
          <w:rFonts w:ascii="Arial" w:hAnsi="Arial" w:cs="Arial"/>
          <w:i/>
        </w:rPr>
        <w:t>; red lines</w:t>
      </w:r>
      <w:r w:rsidRPr="009A6570">
        <w:rPr>
          <w:rFonts w:ascii="Arial" w:hAnsi="Arial" w:cs="Arial"/>
          <w:i/>
        </w:rPr>
        <w:t>)</w:t>
      </w:r>
      <w:r>
        <w:rPr>
          <w:rFonts w:ascii="Arial" w:hAnsi="Arial" w:cs="Arial"/>
          <w:i/>
        </w:rPr>
        <w:t xml:space="preserve">, or based on default uncertainty distributions only (C: grey lines) </w:t>
      </w:r>
      <w:r>
        <w:rPr>
          <w:rFonts w:ascii="Arial" w:hAnsi="Arial" w:cs="Arial"/>
          <w:i/>
        </w:rPr>
        <w:fldChar w:fldCharType="begin"/>
      </w:r>
      <w:r>
        <w:rPr>
          <w:rFonts w:ascii="Arial" w:hAnsi="Arial" w:cs="Arial"/>
          <w:i/>
        </w:rPr>
        <w:instrText xml:space="preserve"> ADDIN EN.CITE &lt;EndNote&gt;&lt;Cite&gt;&lt;Author&gt;WHO&lt;/Author&gt;&lt;Year&gt;2014&lt;/Year&gt;&lt;RecNum&gt;12209&lt;/RecNum&gt;&lt;DisplayText&gt;(WHO, 2014)&lt;/DisplayText&gt;&lt;record&gt;&lt;rec-number&gt;12209&lt;/rec-number&gt;&lt;foreign-keys&gt;&lt;key app="EN" db-id="95zfvevpm0pd5hewwazxt0vwpvx99t9zxds5" timestamp="1421233340"&gt;12209&lt;/key&gt;&lt;/foreign-keys&gt;&lt;ref-type name="Report"&gt;27&lt;/ref-type&gt;&lt;contributors&gt;&lt;authors&gt;&lt;author&gt;WHO&lt;/author&gt;&lt;/authors&gt;&lt;/contributors&gt;&lt;titles&gt;&lt;title&gt;Guidance Document on Evaluating and Expressing Uncertainty in Hazard Characterization&lt;/title&gt;&lt;/titles&gt;&lt;dates&gt;&lt;year&gt;2014&lt;/year&gt;&lt;/dates&gt;&lt;publisher&gt;WHO, IPCS Harmonization Project; no. 11&lt;/publisher&gt;&lt;urls&gt;&lt;/urls&gt;&lt;/record&gt;&lt;/Cite&gt;&lt;/EndNote&gt;</w:instrText>
      </w:r>
      <w:r>
        <w:rPr>
          <w:rFonts w:ascii="Arial" w:hAnsi="Arial" w:cs="Arial"/>
          <w:i/>
        </w:rPr>
        <w:fldChar w:fldCharType="separate"/>
      </w:r>
      <w:r>
        <w:rPr>
          <w:rFonts w:ascii="Arial" w:hAnsi="Arial" w:cs="Arial"/>
          <w:i/>
          <w:noProof/>
        </w:rPr>
        <w:t>(</w:t>
      </w:r>
      <w:hyperlink w:anchor="_ENREF_111" w:tooltip="WHO, 2014 #12209" w:history="1">
        <w:r w:rsidR="00286517">
          <w:rPr>
            <w:rFonts w:ascii="Arial" w:hAnsi="Arial" w:cs="Arial"/>
            <w:i/>
            <w:noProof/>
          </w:rPr>
          <w:t>WHO, 2014</w:t>
        </w:r>
      </w:hyperlink>
      <w:r>
        <w:rPr>
          <w:rFonts w:ascii="Arial" w:hAnsi="Arial" w:cs="Arial"/>
          <w:i/>
          <w:noProof/>
        </w:rPr>
        <w:t>)</w:t>
      </w:r>
      <w:r>
        <w:rPr>
          <w:rFonts w:ascii="Arial" w:hAnsi="Arial" w:cs="Arial"/>
          <w:i/>
        </w:rPr>
        <w:fldChar w:fldCharType="end"/>
      </w:r>
      <w:r>
        <w:rPr>
          <w:rFonts w:ascii="Arial" w:hAnsi="Arial" w:cs="Arial"/>
          <w:i/>
        </w:rPr>
        <w:t>.</w:t>
      </w:r>
      <w:r w:rsidRPr="006F487C">
        <w:rPr>
          <w:rFonts w:ascii="Arial" w:hAnsi="Arial" w:cs="Arial"/>
          <w:i/>
        </w:rPr>
        <w:t xml:space="preserve"> </w:t>
      </w:r>
      <w:r>
        <w:rPr>
          <w:rFonts w:ascii="Arial" w:hAnsi="Arial" w:cs="Arial"/>
          <w:i/>
        </w:rPr>
        <w:t>Solid line: kernel probability density function (PDF) of uncertainty distribution of HD</w:t>
      </w:r>
      <w:r w:rsidRPr="00D74B53">
        <w:rPr>
          <w:rFonts w:ascii="Arial" w:hAnsi="Arial" w:cs="Arial"/>
          <w:i/>
          <w:vertAlign w:val="subscript"/>
        </w:rPr>
        <w:t>M</w:t>
      </w:r>
      <w:r>
        <w:rPr>
          <w:rFonts w:ascii="Arial" w:hAnsi="Arial" w:cs="Arial"/>
          <w:i/>
          <w:vertAlign w:val="superscript"/>
        </w:rPr>
        <w:t>0.01</w:t>
      </w:r>
      <w:r>
        <w:rPr>
          <w:rFonts w:ascii="Arial" w:hAnsi="Arial" w:cs="Arial"/>
          <w:i/>
        </w:rPr>
        <w:t>; d</w:t>
      </w:r>
      <w:r w:rsidRPr="009A6570">
        <w:rPr>
          <w:rFonts w:ascii="Arial" w:hAnsi="Arial" w:cs="Arial"/>
          <w:i/>
        </w:rPr>
        <w:t>otted lines:</w:t>
      </w:r>
      <w:r>
        <w:rPr>
          <w:rFonts w:ascii="Arial" w:hAnsi="Arial" w:cs="Arial"/>
          <w:i/>
        </w:rPr>
        <w:t xml:space="preserve"> kernel PDF of uncertainty distribution of HD</w:t>
      </w:r>
      <w:r>
        <w:rPr>
          <w:rFonts w:ascii="Arial" w:hAnsi="Arial" w:cs="Arial"/>
          <w:i/>
          <w:vertAlign w:val="subscript"/>
        </w:rPr>
        <w:t>M</w:t>
      </w:r>
      <w:r>
        <w:rPr>
          <w:rFonts w:ascii="Arial" w:hAnsi="Arial" w:cs="Arial"/>
          <w:i/>
          <w:vertAlign w:val="superscript"/>
        </w:rPr>
        <w:t>0.5</w:t>
      </w:r>
      <w:r>
        <w:rPr>
          <w:rFonts w:ascii="Arial" w:hAnsi="Arial" w:cs="Arial"/>
          <w:i/>
        </w:rPr>
        <w:t>. These kernel PDFs represent 97% of all possible HD</w:t>
      </w:r>
      <w:r w:rsidRPr="001050DD">
        <w:rPr>
          <w:rFonts w:ascii="Arial" w:hAnsi="Arial" w:cs="Arial"/>
          <w:i/>
          <w:vertAlign w:val="subscript"/>
        </w:rPr>
        <w:t>M</w:t>
      </w:r>
      <w:r>
        <w:rPr>
          <w:rFonts w:ascii="Arial" w:hAnsi="Arial" w:cs="Arial"/>
          <w:i/>
        </w:rPr>
        <w:t xml:space="preserve">s, because 3% of the iterations resulted in an </w:t>
      </w:r>
      <w:r w:rsidRPr="001050DD">
        <w:rPr>
          <w:rFonts w:ascii="Arial" w:hAnsi="Arial" w:cs="Arial"/>
          <w:i/>
        </w:rPr>
        <w:t>infinitely large PoD</w:t>
      </w:r>
      <w:r>
        <w:rPr>
          <w:rFonts w:ascii="Arial" w:hAnsi="Arial" w:cs="Arial"/>
          <w:i/>
        </w:rPr>
        <w:t xml:space="preserve"> (see Section 2.2.1). IV: in</w:t>
      </w:r>
      <w:r w:rsidRPr="009A6570">
        <w:rPr>
          <w:rFonts w:ascii="Arial" w:hAnsi="Arial" w:cs="Arial"/>
          <w:i/>
        </w:rPr>
        <w:t>terindividual variability</w:t>
      </w:r>
      <w:r>
        <w:rPr>
          <w:rFonts w:ascii="Arial" w:hAnsi="Arial" w:cs="Arial"/>
          <w:i/>
        </w:rPr>
        <w:t xml:space="preserve"> as the ratio between median HD</w:t>
      </w:r>
      <w:r w:rsidRPr="00D74B53">
        <w:rPr>
          <w:rFonts w:ascii="Arial" w:hAnsi="Arial" w:cs="Arial"/>
          <w:i/>
          <w:vertAlign w:val="subscript"/>
        </w:rPr>
        <w:t>M</w:t>
      </w:r>
      <w:r>
        <w:rPr>
          <w:rFonts w:ascii="Arial" w:hAnsi="Arial" w:cs="Arial"/>
          <w:i/>
          <w:vertAlign w:val="superscript"/>
        </w:rPr>
        <w:t>0.5</w:t>
      </w:r>
      <w:r>
        <w:rPr>
          <w:rFonts w:ascii="Arial" w:hAnsi="Arial" w:cs="Arial"/>
          <w:i/>
          <w:vertAlign w:val="subscript"/>
        </w:rPr>
        <w:t xml:space="preserve"> </w:t>
      </w:r>
      <w:r>
        <w:rPr>
          <w:rFonts w:ascii="Arial" w:hAnsi="Arial" w:cs="Arial"/>
          <w:i/>
        </w:rPr>
        <w:t>and median HD</w:t>
      </w:r>
      <w:r>
        <w:rPr>
          <w:rFonts w:ascii="Arial" w:hAnsi="Arial" w:cs="Arial"/>
          <w:i/>
          <w:vertAlign w:val="subscript"/>
        </w:rPr>
        <w:t>M</w:t>
      </w:r>
      <w:r>
        <w:rPr>
          <w:rFonts w:ascii="Arial" w:hAnsi="Arial" w:cs="Arial"/>
          <w:i/>
          <w:vertAlign w:val="superscript"/>
        </w:rPr>
        <w:t>0.01</w:t>
      </w:r>
      <w:r>
        <w:rPr>
          <w:rFonts w:ascii="Arial" w:hAnsi="Arial" w:cs="Arial"/>
          <w:i/>
        </w:rPr>
        <w:t>; U</w:t>
      </w:r>
      <w:r>
        <w:rPr>
          <w:rFonts w:ascii="Arial" w:hAnsi="Arial" w:cs="Arial"/>
          <w:i/>
          <w:vertAlign w:val="subscript"/>
        </w:rPr>
        <w:t>1P</w:t>
      </w:r>
      <w:r>
        <w:rPr>
          <w:rFonts w:ascii="Arial" w:hAnsi="Arial" w:cs="Arial"/>
          <w:i/>
        </w:rPr>
        <w:t>:</w:t>
      </w:r>
      <w:r w:rsidRPr="009A6570">
        <w:rPr>
          <w:rFonts w:ascii="Arial" w:hAnsi="Arial" w:cs="Arial"/>
          <w:i/>
        </w:rPr>
        <w:t xml:space="preserve"> </w:t>
      </w:r>
      <w:r>
        <w:rPr>
          <w:rFonts w:ascii="Arial" w:hAnsi="Arial" w:cs="Arial"/>
          <w:i/>
        </w:rPr>
        <w:t>uncertainty</w:t>
      </w:r>
      <w:r w:rsidRPr="009A6570">
        <w:rPr>
          <w:rFonts w:ascii="Arial" w:hAnsi="Arial" w:cs="Arial"/>
          <w:i/>
        </w:rPr>
        <w:t xml:space="preserve"> </w:t>
      </w:r>
      <w:r>
        <w:rPr>
          <w:rFonts w:ascii="Arial" w:hAnsi="Arial" w:cs="Arial"/>
          <w:i/>
        </w:rPr>
        <w:t>as the ratio between median HD</w:t>
      </w:r>
      <w:r>
        <w:rPr>
          <w:rFonts w:ascii="Arial" w:hAnsi="Arial" w:cs="Arial"/>
          <w:i/>
          <w:vertAlign w:val="subscript"/>
        </w:rPr>
        <w:t>M</w:t>
      </w:r>
      <w:r>
        <w:rPr>
          <w:rFonts w:ascii="Arial" w:hAnsi="Arial" w:cs="Arial"/>
          <w:i/>
          <w:vertAlign w:val="superscript"/>
        </w:rPr>
        <w:t>0.01</w:t>
      </w:r>
      <w:r>
        <w:rPr>
          <w:rFonts w:ascii="Arial" w:hAnsi="Arial" w:cs="Arial"/>
          <w:i/>
        </w:rPr>
        <w:t xml:space="preserve"> and 1</w:t>
      </w:r>
      <w:r w:rsidRPr="005073FF">
        <w:rPr>
          <w:rFonts w:ascii="Arial" w:hAnsi="Arial" w:cs="Arial"/>
          <w:i/>
          <w:vertAlign w:val="superscript"/>
        </w:rPr>
        <w:t>st</w:t>
      </w:r>
      <w:r>
        <w:rPr>
          <w:rFonts w:ascii="Arial" w:hAnsi="Arial" w:cs="Arial"/>
          <w:i/>
        </w:rPr>
        <w:t xml:space="preserve"> percentile of HD</w:t>
      </w:r>
      <w:r>
        <w:rPr>
          <w:rFonts w:ascii="Arial" w:hAnsi="Arial" w:cs="Arial"/>
          <w:i/>
          <w:vertAlign w:val="subscript"/>
        </w:rPr>
        <w:t>M</w:t>
      </w:r>
      <w:r>
        <w:rPr>
          <w:rFonts w:ascii="Arial" w:hAnsi="Arial" w:cs="Arial"/>
          <w:i/>
          <w:vertAlign w:val="superscript"/>
        </w:rPr>
        <w:t>0.01</w:t>
      </w:r>
      <w:r>
        <w:rPr>
          <w:rFonts w:ascii="Arial" w:hAnsi="Arial" w:cs="Arial"/>
          <w:i/>
          <w:vertAlign w:val="subscript"/>
        </w:rPr>
        <w:t xml:space="preserve"> </w:t>
      </w:r>
      <w:r>
        <w:rPr>
          <w:rFonts w:ascii="Arial" w:hAnsi="Arial" w:cs="Arial"/>
          <w:i/>
        </w:rPr>
        <w:t>kernel PDF.</w:t>
      </w:r>
    </w:p>
    <w:p w14:paraId="65BE6CFD" w14:textId="77777777" w:rsidR="00A4141F" w:rsidRDefault="00A4141F" w:rsidP="00A4141F">
      <w:pPr>
        <w:spacing w:after="0" w:line="480" w:lineRule="auto"/>
        <w:rPr>
          <w:rFonts w:ascii="Arial" w:hAnsi="Arial" w:cs="Arial"/>
          <w:i/>
        </w:rPr>
      </w:pPr>
      <w:r>
        <w:rPr>
          <w:rFonts w:ascii="Arial" w:hAnsi="Arial" w:cs="Arial"/>
          <w:i/>
          <w:noProof/>
          <w:lang w:val="en-GB" w:eastAsia="en-GB"/>
        </w:rPr>
        <w:lastRenderedPageBreak/>
        <w:drawing>
          <wp:inline distT="0" distB="0" distL="0" distR="0" wp14:anchorId="03161BBF" wp14:editId="02331115">
            <wp:extent cx="5726430" cy="3280410"/>
            <wp:effectExtent l="0" t="0" r="7620" b="0"/>
            <wp:docPr id="29" name="Picture 29" descr="Z:\Rik_Oldenkamp\PHARMAS\ADI onzekerheid variabiliteit\Publications\Manuscript\Resubmission\Commentaar A&amp;M\Figures\2015-05-04_Figure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Rik_Oldenkamp\PHARMAS\ADI onzekerheid variabiliteit\Publications\Manuscript\Resubmission\Commentaar A&amp;M\Figures\2015-05-04_Figure5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6430" cy="3280410"/>
                    </a:xfrm>
                    <a:prstGeom prst="rect">
                      <a:avLst/>
                    </a:prstGeom>
                    <a:noFill/>
                    <a:ln>
                      <a:noFill/>
                    </a:ln>
                  </pic:spPr>
                </pic:pic>
              </a:graphicData>
            </a:graphic>
          </wp:inline>
        </w:drawing>
      </w:r>
    </w:p>
    <w:p w14:paraId="55680E0F" w14:textId="77777777" w:rsidR="00A4141F" w:rsidRDefault="00A4141F" w:rsidP="00A4141F">
      <w:pPr>
        <w:spacing w:after="0" w:line="480" w:lineRule="auto"/>
        <w:rPr>
          <w:rFonts w:ascii="Arial" w:hAnsi="Arial" w:cs="Arial"/>
          <w:i/>
        </w:rPr>
      </w:pPr>
      <w:r>
        <w:rPr>
          <w:rFonts w:ascii="Arial" w:hAnsi="Arial" w:cs="Arial"/>
          <w:i/>
          <w:noProof/>
          <w:lang w:val="en-GB" w:eastAsia="en-GB"/>
        </w:rPr>
        <w:drawing>
          <wp:inline distT="0" distB="0" distL="0" distR="0" wp14:anchorId="7C2309ED" wp14:editId="6740BBE2">
            <wp:extent cx="5726430" cy="3280410"/>
            <wp:effectExtent l="0" t="0" r="7620" b="0"/>
            <wp:docPr id="30" name="Picture 30" descr="Z:\Rik_Oldenkamp\PHARMAS\ADI onzekerheid variabiliteit\Publications\Manuscript\Resubmission\Commentaar A&amp;M\Figures\2015-05-04_Figure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Rik_Oldenkamp\PHARMAS\ADI onzekerheid variabiliteit\Publications\Manuscript\Resubmission\Commentaar A&amp;M\Figures\2015-05-04_Figure5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6430" cy="3280410"/>
                    </a:xfrm>
                    <a:prstGeom prst="rect">
                      <a:avLst/>
                    </a:prstGeom>
                    <a:noFill/>
                    <a:ln>
                      <a:noFill/>
                    </a:ln>
                  </pic:spPr>
                </pic:pic>
              </a:graphicData>
            </a:graphic>
          </wp:inline>
        </w:drawing>
      </w:r>
    </w:p>
    <w:p w14:paraId="13F041B9" w14:textId="77777777" w:rsidR="00A4141F" w:rsidRDefault="00A4141F" w:rsidP="00A4141F">
      <w:pPr>
        <w:spacing w:after="0" w:line="480" w:lineRule="auto"/>
        <w:rPr>
          <w:rFonts w:ascii="Arial" w:hAnsi="Arial" w:cs="Arial"/>
          <w:i/>
        </w:rPr>
      </w:pPr>
      <w:r>
        <w:rPr>
          <w:rFonts w:ascii="Arial" w:hAnsi="Arial" w:cs="Arial"/>
          <w:i/>
          <w:noProof/>
          <w:lang w:val="en-GB" w:eastAsia="en-GB"/>
        </w:rPr>
        <w:lastRenderedPageBreak/>
        <w:drawing>
          <wp:inline distT="0" distB="0" distL="0" distR="0" wp14:anchorId="3974A9F0" wp14:editId="4BA8380D">
            <wp:extent cx="5726430" cy="3280410"/>
            <wp:effectExtent l="0" t="0" r="7620" b="0"/>
            <wp:docPr id="31" name="Picture 31" descr="Z:\Rik_Oldenkamp\PHARMAS\ADI onzekerheid variabiliteit\Publications\Manuscript\Resubmission\Commentaar A&amp;M\Figures\Figure 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Rik_Oldenkamp\PHARMAS\ADI onzekerheid variabiliteit\Publications\Manuscript\Resubmission\Commentaar A&amp;M\Figures\Figure 5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6430" cy="3280410"/>
                    </a:xfrm>
                    <a:prstGeom prst="rect">
                      <a:avLst/>
                    </a:prstGeom>
                    <a:noFill/>
                    <a:ln>
                      <a:noFill/>
                    </a:ln>
                  </pic:spPr>
                </pic:pic>
              </a:graphicData>
            </a:graphic>
          </wp:inline>
        </w:drawing>
      </w:r>
    </w:p>
    <w:p w14:paraId="58287ABF" w14:textId="42A4DC3A" w:rsidR="00D306A9" w:rsidRDefault="00171DA5" w:rsidP="00D306A9">
      <w:pPr>
        <w:spacing w:line="480" w:lineRule="auto"/>
        <w:rPr>
          <w:rFonts w:ascii="Arial" w:hAnsi="Arial" w:cs="Arial"/>
          <w:i/>
        </w:rPr>
      </w:pPr>
      <w:r>
        <w:rPr>
          <w:rFonts w:ascii="Arial" w:hAnsi="Arial" w:cs="Arial"/>
          <w:i/>
        </w:rPr>
        <w:t>Figure SI</w:t>
      </w:r>
      <w:r w:rsidR="00B921F8">
        <w:rPr>
          <w:rFonts w:ascii="Arial" w:hAnsi="Arial" w:cs="Arial"/>
          <w:i/>
        </w:rPr>
        <w:t>4</w:t>
      </w:r>
      <w:r w:rsidR="00D306A9">
        <w:rPr>
          <w:rFonts w:ascii="Arial" w:hAnsi="Arial" w:cs="Arial"/>
          <w:i/>
        </w:rPr>
        <w:t>.</w:t>
      </w:r>
      <w:r w:rsidR="00B921F8" w:rsidRPr="00B921F8">
        <w:rPr>
          <w:rFonts w:ascii="Arial" w:hAnsi="Arial" w:cs="Arial"/>
          <w:i/>
        </w:rPr>
        <w:t xml:space="preserve"> </w:t>
      </w:r>
      <w:r w:rsidR="00B921F8">
        <w:rPr>
          <w:rFonts w:ascii="Arial" w:hAnsi="Arial" w:cs="Arial"/>
          <w:i/>
        </w:rPr>
        <w:t>Derivation of a HEL for ciprofloxacin (</w:t>
      </w:r>
      <w:r w:rsidR="00F93D14">
        <w:rPr>
          <w:rFonts w:ascii="Arial" w:hAnsi="Arial" w:cs="Arial"/>
          <w:i/>
        </w:rPr>
        <w:t xml:space="preserve">endpoint: femoral articular cartilage thickness, </w:t>
      </w:r>
      <w:r w:rsidR="00A4141F">
        <w:rPr>
          <w:rFonts w:ascii="Arial" w:hAnsi="Arial" w:cs="Arial"/>
          <w:i/>
        </w:rPr>
        <w:t xml:space="preserve">exponential </w:t>
      </w:r>
      <w:r w:rsidR="00B921F8">
        <w:rPr>
          <w:rFonts w:ascii="Arial" w:hAnsi="Arial" w:cs="Arial"/>
          <w:i/>
        </w:rPr>
        <w:t>dose-response model</w:t>
      </w:r>
      <w:r w:rsidR="00F93D14">
        <w:rPr>
          <w:rFonts w:ascii="Arial" w:hAnsi="Arial" w:cs="Arial"/>
          <w:i/>
        </w:rPr>
        <w:t>,</w:t>
      </w:r>
      <w:r w:rsidR="00F93D14" w:rsidRPr="00F93D14">
        <w:rPr>
          <w:rFonts w:ascii="Arial" w:hAnsi="Arial" w:cs="Arial"/>
          <w:i/>
        </w:rPr>
        <w:t xml:space="preserve"> </w:t>
      </w:r>
      <w:r w:rsidR="00F93D14">
        <w:rPr>
          <w:rFonts w:ascii="Arial" w:hAnsi="Arial" w:cs="Arial"/>
          <w:i/>
        </w:rPr>
        <w:t>CES of 5% decrease</w:t>
      </w:r>
      <w:r w:rsidR="00B921F8">
        <w:rPr>
          <w:rFonts w:ascii="Arial" w:hAnsi="Arial" w:cs="Arial"/>
          <w:i/>
        </w:rPr>
        <w:t xml:space="preserve">) at a protection level of 99% and a confidence level of 95%, based on either the </w:t>
      </w:r>
      <w:r w:rsidR="00B921F8" w:rsidRPr="009A6570">
        <w:rPr>
          <w:rFonts w:ascii="Arial" w:hAnsi="Arial" w:cs="Arial"/>
          <w:i/>
        </w:rPr>
        <w:t>adult (A</w:t>
      </w:r>
      <w:r w:rsidR="00B921F8">
        <w:rPr>
          <w:rFonts w:ascii="Arial" w:hAnsi="Arial" w:cs="Arial"/>
          <w:i/>
        </w:rPr>
        <w:t>; blue lines</w:t>
      </w:r>
      <w:r w:rsidR="00B921F8" w:rsidRPr="009A6570">
        <w:rPr>
          <w:rFonts w:ascii="Arial" w:hAnsi="Arial" w:cs="Arial"/>
          <w:i/>
        </w:rPr>
        <w:t xml:space="preserve">) </w:t>
      </w:r>
      <w:r w:rsidR="00B921F8">
        <w:rPr>
          <w:rFonts w:ascii="Arial" w:hAnsi="Arial" w:cs="Arial"/>
          <w:i/>
        </w:rPr>
        <w:t>or children</w:t>
      </w:r>
      <w:r w:rsidR="00B921F8" w:rsidRPr="009A6570">
        <w:rPr>
          <w:rFonts w:ascii="Arial" w:hAnsi="Arial" w:cs="Arial"/>
          <w:i/>
        </w:rPr>
        <w:t xml:space="preserve"> </w:t>
      </w:r>
      <w:r w:rsidR="00B921F8">
        <w:rPr>
          <w:rFonts w:ascii="Arial" w:hAnsi="Arial" w:cs="Arial"/>
          <w:i/>
        </w:rPr>
        <w:t xml:space="preserve">subpopulation </w:t>
      </w:r>
      <w:r w:rsidR="00B921F8" w:rsidRPr="009A6570">
        <w:rPr>
          <w:rFonts w:ascii="Arial" w:hAnsi="Arial" w:cs="Arial"/>
          <w:i/>
        </w:rPr>
        <w:t>(B</w:t>
      </w:r>
      <w:r w:rsidR="00B921F8">
        <w:rPr>
          <w:rFonts w:ascii="Arial" w:hAnsi="Arial" w:cs="Arial"/>
          <w:i/>
        </w:rPr>
        <w:t>; red lines</w:t>
      </w:r>
      <w:r w:rsidR="00B921F8" w:rsidRPr="009A6570">
        <w:rPr>
          <w:rFonts w:ascii="Arial" w:hAnsi="Arial" w:cs="Arial"/>
          <w:i/>
        </w:rPr>
        <w:t>)</w:t>
      </w:r>
      <w:r w:rsidR="00B921F8">
        <w:rPr>
          <w:rFonts w:ascii="Arial" w:hAnsi="Arial" w:cs="Arial"/>
          <w:i/>
        </w:rPr>
        <w:t xml:space="preserve">, or based on default uncertainty distributions only (C: grey lines) </w:t>
      </w:r>
      <w:r w:rsidR="00B921F8">
        <w:rPr>
          <w:rFonts w:ascii="Arial" w:hAnsi="Arial" w:cs="Arial"/>
          <w:i/>
        </w:rPr>
        <w:fldChar w:fldCharType="begin"/>
      </w:r>
      <w:r w:rsidR="001429EF">
        <w:rPr>
          <w:rFonts w:ascii="Arial" w:hAnsi="Arial" w:cs="Arial"/>
          <w:i/>
        </w:rPr>
        <w:instrText xml:space="preserve"> ADDIN EN.CITE &lt;EndNote&gt;&lt;Cite&gt;&lt;Author&gt;WHO&lt;/Author&gt;&lt;Year&gt;2014&lt;/Year&gt;&lt;RecNum&gt;12209&lt;/RecNum&gt;&lt;DisplayText&gt;(WHO, 2014)&lt;/DisplayText&gt;&lt;record&gt;&lt;rec-number&gt;12209&lt;/rec-number&gt;&lt;foreign-keys&gt;&lt;key app="EN" db-id="95zfvevpm0pd5hewwazxt0vwpvx99t9zxds5" timestamp="1421233340"&gt;12209&lt;/key&gt;&lt;/foreign-keys&gt;&lt;ref-type name="Report"&gt;27&lt;/ref-type&gt;&lt;contributors&gt;&lt;authors&gt;&lt;author&gt;WHO&lt;/author&gt;&lt;/authors&gt;&lt;/contributors&gt;&lt;titles&gt;&lt;title&gt;Guidance Document on Evaluating and Expressing Uncertainty in Hazard Characterization&lt;/title&gt;&lt;/titles&gt;&lt;dates&gt;&lt;year&gt;2014&lt;/year&gt;&lt;/dates&gt;&lt;publisher&gt;WHO, IPCS Harmonization Project; no. 11&lt;/publisher&gt;&lt;urls&gt;&lt;/urls&gt;&lt;/record&gt;&lt;/Cite&gt;&lt;/EndNote&gt;</w:instrText>
      </w:r>
      <w:r w:rsidR="00B921F8">
        <w:rPr>
          <w:rFonts w:ascii="Arial" w:hAnsi="Arial" w:cs="Arial"/>
          <w:i/>
        </w:rPr>
        <w:fldChar w:fldCharType="separate"/>
      </w:r>
      <w:r w:rsidR="001429EF">
        <w:rPr>
          <w:rFonts w:ascii="Arial" w:hAnsi="Arial" w:cs="Arial"/>
          <w:i/>
          <w:noProof/>
        </w:rPr>
        <w:t>(</w:t>
      </w:r>
      <w:hyperlink w:anchor="_ENREF_111" w:tooltip="WHO, 2014 #12209" w:history="1">
        <w:r w:rsidR="00286517">
          <w:rPr>
            <w:rFonts w:ascii="Arial" w:hAnsi="Arial" w:cs="Arial"/>
            <w:i/>
            <w:noProof/>
          </w:rPr>
          <w:t>WHO, 2014</w:t>
        </w:r>
      </w:hyperlink>
      <w:r w:rsidR="001429EF">
        <w:rPr>
          <w:rFonts w:ascii="Arial" w:hAnsi="Arial" w:cs="Arial"/>
          <w:i/>
          <w:noProof/>
        </w:rPr>
        <w:t>)</w:t>
      </w:r>
      <w:r w:rsidR="00B921F8">
        <w:rPr>
          <w:rFonts w:ascii="Arial" w:hAnsi="Arial" w:cs="Arial"/>
          <w:i/>
        </w:rPr>
        <w:fldChar w:fldCharType="end"/>
      </w:r>
      <w:r w:rsidR="00B921F8">
        <w:rPr>
          <w:rFonts w:ascii="Arial" w:hAnsi="Arial" w:cs="Arial"/>
          <w:i/>
        </w:rPr>
        <w:t>.</w:t>
      </w:r>
      <w:r w:rsidR="00B921F8" w:rsidRPr="006F487C">
        <w:rPr>
          <w:rFonts w:ascii="Arial" w:hAnsi="Arial" w:cs="Arial"/>
          <w:i/>
        </w:rPr>
        <w:t xml:space="preserve"> </w:t>
      </w:r>
      <w:r w:rsidR="00B921F8">
        <w:rPr>
          <w:rFonts w:ascii="Arial" w:hAnsi="Arial" w:cs="Arial"/>
          <w:i/>
        </w:rPr>
        <w:t>Solid line: kernel probability density function (PDF) of uncertainty distribution of HD</w:t>
      </w:r>
      <w:r w:rsidR="00B921F8" w:rsidRPr="00D74B53">
        <w:rPr>
          <w:rFonts w:ascii="Arial" w:hAnsi="Arial" w:cs="Arial"/>
          <w:i/>
          <w:vertAlign w:val="subscript"/>
        </w:rPr>
        <w:t>M</w:t>
      </w:r>
      <w:r w:rsidR="00B921F8">
        <w:rPr>
          <w:rFonts w:ascii="Arial" w:hAnsi="Arial" w:cs="Arial"/>
          <w:i/>
          <w:vertAlign w:val="superscript"/>
        </w:rPr>
        <w:t>0.01</w:t>
      </w:r>
      <w:r w:rsidR="00B921F8">
        <w:rPr>
          <w:rFonts w:ascii="Arial" w:hAnsi="Arial" w:cs="Arial"/>
          <w:i/>
        </w:rPr>
        <w:t>; d</w:t>
      </w:r>
      <w:r w:rsidR="00B921F8" w:rsidRPr="009A6570">
        <w:rPr>
          <w:rFonts w:ascii="Arial" w:hAnsi="Arial" w:cs="Arial"/>
          <w:i/>
        </w:rPr>
        <w:t>otted lines:</w:t>
      </w:r>
      <w:r w:rsidR="00B921F8">
        <w:rPr>
          <w:rFonts w:ascii="Arial" w:hAnsi="Arial" w:cs="Arial"/>
          <w:i/>
        </w:rPr>
        <w:t xml:space="preserve"> kernel PDF of uncertainty distribution of HD</w:t>
      </w:r>
      <w:r w:rsidR="00B921F8">
        <w:rPr>
          <w:rFonts w:ascii="Arial" w:hAnsi="Arial" w:cs="Arial"/>
          <w:i/>
          <w:vertAlign w:val="subscript"/>
        </w:rPr>
        <w:t>M</w:t>
      </w:r>
      <w:r w:rsidR="00B921F8">
        <w:rPr>
          <w:rFonts w:ascii="Arial" w:hAnsi="Arial" w:cs="Arial"/>
          <w:i/>
          <w:vertAlign w:val="superscript"/>
        </w:rPr>
        <w:t>0.5</w:t>
      </w:r>
      <w:r w:rsidR="00B921F8">
        <w:rPr>
          <w:rFonts w:ascii="Arial" w:hAnsi="Arial" w:cs="Arial"/>
          <w:i/>
        </w:rPr>
        <w:t>. These kernel PDFs represent 93% of all possible HD</w:t>
      </w:r>
      <w:r w:rsidR="00B921F8" w:rsidRPr="001050DD">
        <w:rPr>
          <w:rFonts w:ascii="Arial" w:hAnsi="Arial" w:cs="Arial"/>
          <w:i/>
          <w:vertAlign w:val="subscript"/>
        </w:rPr>
        <w:t>M</w:t>
      </w:r>
      <w:r w:rsidR="00B921F8">
        <w:rPr>
          <w:rFonts w:ascii="Arial" w:hAnsi="Arial" w:cs="Arial"/>
          <w:i/>
        </w:rPr>
        <w:t xml:space="preserve">s, because 7% of the iterations resulted in an </w:t>
      </w:r>
      <w:r w:rsidR="00B921F8" w:rsidRPr="001050DD">
        <w:rPr>
          <w:rFonts w:ascii="Arial" w:hAnsi="Arial" w:cs="Arial"/>
          <w:i/>
        </w:rPr>
        <w:t>infinitely large PoD</w:t>
      </w:r>
      <w:r w:rsidR="00B921F8">
        <w:rPr>
          <w:rFonts w:ascii="Arial" w:hAnsi="Arial" w:cs="Arial"/>
          <w:i/>
        </w:rPr>
        <w:t xml:space="preserve"> (see Section 2.2.1). IV: in</w:t>
      </w:r>
      <w:r w:rsidR="00B921F8" w:rsidRPr="009A6570">
        <w:rPr>
          <w:rFonts w:ascii="Arial" w:hAnsi="Arial" w:cs="Arial"/>
          <w:i/>
        </w:rPr>
        <w:t>terindividual variability</w:t>
      </w:r>
      <w:r w:rsidR="00B921F8">
        <w:rPr>
          <w:rFonts w:ascii="Arial" w:hAnsi="Arial" w:cs="Arial"/>
          <w:i/>
        </w:rPr>
        <w:t xml:space="preserve"> as the ratio between median HD</w:t>
      </w:r>
      <w:r w:rsidR="00B921F8" w:rsidRPr="00D74B53">
        <w:rPr>
          <w:rFonts w:ascii="Arial" w:hAnsi="Arial" w:cs="Arial"/>
          <w:i/>
          <w:vertAlign w:val="subscript"/>
        </w:rPr>
        <w:t>M</w:t>
      </w:r>
      <w:r w:rsidR="00B921F8">
        <w:rPr>
          <w:rFonts w:ascii="Arial" w:hAnsi="Arial" w:cs="Arial"/>
          <w:i/>
          <w:vertAlign w:val="superscript"/>
        </w:rPr>
        <w:t>0.5</w:t>
      </w:r>
      <w:r w:rsidR="00B921F8">
        <w:rPr>
          <w:rFonts w:ascii="Arial" w:hAnsi="Arial" w:cs="Arial"/>
          <w:i/>
          <w:vertAlign w:val="subscript"/>
        </w:rPr>
        <w:t xml:space="preserve"> </w:t>
      </w:r>
      <w:r w:rsidR="00B921F8">
        <w:rPr>
          <w:rFonts w:ascii="Arial" w:hAnsi="Arial" w:cs="Arial"/>
          <w:i/>
        </w:rPr>
        <w:t>and median HD</w:t>
      </w:r>
      <w:r w:rsidR="00B921F8">
        <w:rPr>
          <w:rFonts w:ascii="Arial" w:hAnsi="Arial" w:cs="Arial"/>
          <w:i/>
          <w:vertAlign w:val="subscript"/>
        </w:rPr>
        <w:t>M</w:t>
      </w:r>
      <w:r w:rsidR="00B921F8">
        <w:rPr>
          <w:rFonts w:ascii="Arial" w:hAnsi="Arial" w:cs="Arial"/>
          <w:i/>
          <w:vertAlign w:val="superscript"/>
        </w:rPr>
        <w:t>0.01</w:t>
      </w:r>
      <w:r w:rsidR="00B921F8">
        <w:rPr>
          <w:rFonts w:ascii="Arial" w:hAnsi="Arial" w:cs="Arial"/>
          <w:i/>
        </w:rPr>
        <w:t>; U</w:t>
      </w:r>
      <w:r w:rsidR="00B921F8">
        <w:rPr>
          <w:rFonts w:ascii="Arial" w:hAnsi="Arial" w:cs="Arial"/>
          <w:i/>
          <w:vertAlign w:val="subscript"/>
        </w:rPr>
        <w:t>1P</w:t>
      </w:r>
      <w:r w:rsidR="00B921F8">
        <w:rPr>
          <w:rFonts w:ascii="Arial" w:hAnsi="Arial" w:cs="Arial"/>
          <w:i/>
        </w:rPr>
        <w:t>:</w:t>
      </w:r>
      <w:r w:rsidR="00B921F8" w:rsidRPr="009A6570">
        <w:rPr>
          <w:rFonts w:ascii="Arial" w:hAnsi="Arial" w:cs="Arial"/>
          <w:i/>
        </w:rPr>
        <w:t xml:space="preserve"> </w:t>
      </w:r>
      <w:r w:rsidR="00B921F8">
        <w:rPr>
          <w:rFonts w:ascii="Arial" w:hAnsi="Arial" w:cs="Arial"/>
          <w:i/>
        </w:rPr>
        <w:t>uncertainty</w:t>
      </w:r>
      <w:r w:rsidR="00B921F8" w:rsidRPr="009A6570">
        <w:rPr>
          <w:rFonts w:ascii="Arial" w:hAnsi="Arial" w:cs="Arial"/>
          <w:i/>
        </w:rPr>
        <w:t xml:space="preserve"> </w:t>
      </w:r>
      <w:r w:rsidR="00B921F8">
        <w:rPr>
          <w:rFonts w:ascii="Arial" w:hAnsi="Arial" w:cs="Arial"/>
          <w:i/>
        </w:rPr>
        <w:t>as the ratio between median HD</w:t>
      </w:r>
      <w:r w:rsidR="00B921F8">
        <w:rPr>
          <w:rFonts w:ascii="Arial" w:hAnsi="Arial" w:cs="Arial"/>
          <w:i/>
          <w:vertAlign w:val="subscript"/>
        </w:rPr>
        <w:t>M</w:t>
      </w:r>
      <w:r w:rsidR="00B921F8">
        <w:rPr>
          <w:rFonts w:ascii="Arial" w:hAnsi="Arial" w:cs="Arial"/>
          <w:i/>
          <w:vertAlign w:val="superscript"/>
        </w:rPr>
        <w:t>0.01</w:t>
      </w:r>
      <w:r w:rsidR="00B921F8">
        <w:rPr>
          <w:rFonts w:ascii="Arial" w:hAnsi="Arial" w:cs="Arial"/>
          <w:i/>
        </w:rPr>
        <w:t xml:space="preserve"> and 1</w:t>
      </w:r>
      <w:r w:rsidR="00B921F8" w:rsidRPr="005073FF">
        <w:rPr>
          <w:rFonts w:ascii="Arial" w:hAnsi="Arial" w:cs="Arial"/>
          <w:i/>
          <w:vertAlign w:val="superscript"/>
        </w:rPr>
        <w:t>st</w:t>
      </w:r>
      <w:r w:rsidR="00B921F8">
        <w:rPr>
          <w:rFonts w:ascii="Arial" w:hAnsi="Arial" w:cs="Arial"/>
          <w:i/>
        </w:rPr>
        <w:t xml:space="preserve"> percentile of HD</w:t>
      </w:r>
      <w:r w:rsidR="00B921F8">
        <w:rPr>
          <w:rFonts w:ascii="Arial" w:hAnsi="Arial" w:cs="Arial"/>
          <w:i/>
          <w:vertAlign w:val="subscript"/>
        </w:rPr>
        <w:t>M</w:t>
      </w:r>
      <w:r w:rsidR="00B921F8">
        <w:rPr>
          <w:rFonts w:ascii="Arial" w:hAnsi="Arial" w:cs="Arial"/>
          <w:i/>
          <w:vertAlign w:val="superscript"/>
        </w:rPr>
        <w:t>0.01</w:t>
      </w:r>
      <w:r w:rsidR="00B921F8">
        <w:rPr>
          <w:rFonts w:ascii="Arial" w:hAnsi="Arial" w:cs="Arial"/>
          <w:i/>
          <w:vertAlign w:val="subscript"/>
        </w:rPr>
        <w:t xml:space="preserve"> </w:t>
      </w:r>
      <w:r w:rsidR="00B921F8">
        <w:rPr>
          <w:rFonts w:ascii="Arial" w:hAnsi="Arial" w:cs="Arial"/>
          <w:i/>
        </w:rPr>
        <w:t>kernel PDF.</w:t>
      </w:r>
    </w:p>
    <w:p w14:paraId="2D34E10A" w14:textId="4D959776" w:rsidR="00E120AC" w:rsidRDefault="00E120AC" w:rsidP="00447093">
      <w:pPr>
        <w:spacing w:line="480" w:lineRule="auto"/>
        <w:rPr>
          <w:rFonts w:ascii="Arial" w:hAnsi="Arial" w:cs="Arial"/>
          <w:i/>
        </w:rPr>
        <w:sectPr w:rsidR="00E120AC" w:rsidSect="003C67F1">
          <w:footerReference w:type="default" r:id="rId21"/>
          <w:pgSz w:w="11906" w:h="16838"/>
          <w:pgMar w:top="1440" w:right="1440" w:bottom="1440" w:left="1440" w:header="708" w:footer="708" w:gutter="0"/>
          <w:cols w:space="708"/>
          <w:docGrid w:linePitch="360"/>
        </w:sectPr>
      </w:pPr>
    </w:p>
    <w:p w14:paraId="07F832D3" w14:textId="12055A6E" w:rsidR="00CB56E0" w:rsidRDefault="00CB56E0" w:rsidP="00CB56E0">
      <w:pPr>
        <w:spacing w:after="0" w:line="480" w:lineRule="auto"/>
        <w:rPr>
          <w:rFonts w:ascii="Arial" w:hAnsi="Arial" w:cs="Arial"/>
          <w:i/>
        </w:rPr>
      </w:pPr>
      <w:r w:rsidRPr="00447093">
        <w:rPr>
          <w:rFonts w:ascii="Arial" w:hAnsi="Arial" w:cs="Arial"/>
          <w:i/>
        </w:rPr>
        <w:lastRenderedPageBreak/>
        <w:t xml:space="preserve">Table </w:t>
      </w:r>
      <w:r w:rsidR="00156CF5">
        <w:rPr>
          <w:rFonts w:ascii="Arial" w:hAnsi="Arial" w:cs="Arial"/>
          <w:i/>
        </w:rPr>
        <w:t>SI1</w:t>
      </w:r>
      <w:r w:rsidRPr="00447093">
        <w:rPr>
          <w:rFonts w:ascii="Arial" w:hAnsi="Arial" w:cs="Arial"/>
          <w:i/>
        </w:rPr>
        <w:t>. Contribution of the extrapolation steps to the total variance in the</w:t>
      </w:r>
      <w:r>
        <w:rPr>
          <w:rFonts w:ascii="Arial" w:hAnsi="Arial" w:cs="Arial"/>
          <w:i/>
        </w:rPr>
        <w:t xml:space="preserve"> human dose</w:t>
      </w:r>
      <w:r w:rsidRPr="00447093">
        <w:rPr>
          <w:rFonts w:ascii="Arial" w:hAnsi="Arial" w:cs="Arial"/>
          <w:i/>
        </w:rPr>
        <w:t xml:space="preserve"> di</w:t>
      </w:r>
      <w:r>
        <w:rPr>
          <w:rFonts w:ascii="Arial" w:hAnsi="Arial" w:cs="Arial"/>
          <w:i/>
        </w:rPr>
        <w:t xml:space="preserve">stributions; methotrexate endpoint: white blood cell count; </w:t>
      </w:r>
      <w:r w:rsidR="001B1AA2">
        <w:rPr>
          <w:rFonts w:ascii="Arial" w:hAnsi="Arial" w:cs="Arial"/>
          <w:i/>
        </w:rPr>
        <w:t xml:space="preserve">exponential </w:t>
      </w:r>
      <w:r>
        <w:rPr>
          <w:rFonts w:ascii="Arial" w:hAnsi="Arial" w:cs="Arial"/>
          <w:i/>
        </w:rPr>
        <w:t>dose-response models.</w:t>
      </w:r>
      <w:r w:rsidR="008A60D5" w:rsidRPr="008A60D5">
        <w:rPr>
          <w:rFonts w:ascii="Arial" w:hAnsi="Arial" w:cs="Arial"/>
          <w:i/>
        </w:rPr>
        <w:t xml:space="preserve"> </w:t>
      </w:r>
      <w:r w:rsidR="008A60D5">
        <w:rPr>
          <w:rFonts w:ascii="Arial" w:hAnsi="Arial" w:cs="Arial"/>
          <w:i/>
        </w:rPr>
        <w:t>First percentages:</w:t>
      </w:r>
      <w:r w:rsidR="00C5196C">
        <w:rPr>
          <w:rFonts w:ascii="Arial" w:hAnsi="Arial" w:cs="Arial"/>
          <w:i/>
        </w:rPr>
        <w:t xml:space="preserve"> contribution to total HD</w:t>
      </w:r>
      <w:r w:rsidR="00D41FCE" w:rsidRPr="00D41FCE">
        <w:rPr>
          <w:rFonts w:ascii="Arial" w:hAnsi="Arial" w:cs="Arial"/>
          <w:i/>
          <w:vertAlign w:val="subscript"/>
        </w:rPr>
        <w:t>M</w:t>
      </w:r>
      <w:r w:rsidR="00C5196C">
        <w:rPr>
          <w:rFonts w:ascii="Arial" w:hAnsi="Arial" w:cs="Arial"/>
          <w:i/>
        </w:rPr>
        <w:t xml:space="preserve"> </w:t>
      </w:r>
      <w:r w:rsidR="008A60D5">
        <w:rPr>
          <w:rFonts w:ascii="Arial" w:hAnsi="Arial" w:cs="Arial"/>
          <w:i/>
        </w:rPr>
        <w:t>distribution; second percentages: contribution to lowest 10% of HD</w:t>
      </w:r>
      <w:r w:rsidR="00D41FCE" w:rsidRPr="00D41FCE">
        <w:rPr>
          <w:rFonts w:ascii="Arial" w:hAnsi="Arial" w:cs="Arial"/>
          <w:i/>
          <w:vertAlign w:val="subscript"/>
        </w:rPr>
        <w:t>M</w:t>
      </w:r>
      <w:r w:rsidR="008A60D5">
        <w:rPr>
          <w:rFonts w:ascii="Arial" w:hAnsi="Arial" w:cs="Arial"/>
          <w:i/>
        </w:rPr>
        <w:t>s.</w:t>
      </w:r>
    </w:p>
    <w:tbl>
      <w:tblPr>
        <w:tblStyle w:val="TableGrid"/>
        <w:tblW w:w="11764" w:type="dxa"/>
        <w:tblBorders>
          <w:insideH w:val="none" w:sz="0" w:space="0" w:color="auto"/>
          <w:insideV w:val="none" w:sz="0" w:space="0" w:color="auto"/>
        </w:tblBorders>
        <w:tblLook w:val="04A0" w:firstRow="1" w:lastRow="0" w:firstColumn="1" w:lastColumn="0" w:noHBand="0" w:noVBand="1"/>
      </w:tblPr>
      <w:tblGrid>
        <w:gridCol w:w="3408"/>
        <w:gridCol w:w="795"/>
        <w:gridCol w:w="1239"/>
        <w:gridCol w:w="1239"/>
        <w:gridCol w:w="1239"/>
        <w:gridCol w:w="1239"/>
        <w:gridCol w:w="1354"/>
        <w:gridCol w:w="1251"/>
      </w:tblGrid>
      <w:tr w:rsidR="001B1AA2" w:rsidRPr="00E120AC" w14:paraId="751CBACC" w14:textId="77777777" w:rsidTr="00B77CF5">
        <w:trPr>
          <w:trHeight w:val="227"/>
        </w:trPr>
        <w:tc>
          <w:tcPr>
            <w:tcW w:w="3408" w:type="dxa"/>
          </w:tcPr>
          <w:p w14:paraId="60DAD5E6" w14:textId="77777777" w:rsidR="001B1AA2" w:rsidRPr="00E120AC" w:rsidRDefault="001B1AA2" w:rsidP="00B77CF5">
            <w:pPr>
              <w:spacing w:line="480" w:lineRule="auto"/>
              <w:jc w:val="right"/>
              <w:rPr>
                <w:rFonts w:ascii="Arial" w:hAnsi="Arial" w:cs="Arial"/>
                <w:b/>
                <w:lang w:val="en-GB"/>
              </w:rPr>
            </w:pPr>
          </w:p>
        </w:tc>
        <w:tc>
          <w:tcPr>
            <w:tcW w:w="795" w:type="dxa"/>
          </w:tcPr>
          <w:p w14:paraId="464CB564" w14:textId="77777777" w:rsidR="001B1AA2" w:rsidRPr="00E120AC" w:rsidRDefault="001B1AA2" w:rsidP="00B77CF5">
            <w:pPr>
              <w:spacing w:line="480" w:lineRule="auto"/>
              <w:jc w:val="center"/>
              <w:rPr>
                <w:rFonts w:ascii="Arial" w:hAnsi="Arial" w:cs="Arial"/>
                <w:b/>
                <w:lang w:val="en-GB"/>
              </w:rPr>
            </w:pPr>
          </w:p>
        </w:tc>
        <w:tc>
          <w:tcPr>
            <w:tcW w:w="7561" w:type="dxa"/>
            <w:gridSpan w:val="6"/>
          </w:tcPr>
          <w:p w14:paraId="07D79932" w14:textId="77777777" w:rsidR="001B1AA2" w:rsidRPr="00E120AC" w:rsidRDefault="001B1AA2" w:rsidP="00B77CF5">
            <w:pPr>
              <w:spacing w:line="480" w:lineRule="auto"/>
              <w:jc w:val="center"/>
              <w:rPr>
                <w:rFonts w:ascii="Arial" w:hAnsi="Arial" w:cs="Arial"/>
                <w:b/>
                <w:lang w:val="en-GB"/>
              </w:rPr>
            </w:pPr>
            <w:r w:rsidRPr="00E120AC">
              <w:rPr>
                <w:rFonts w:ascii="Arial" w:hAnsi="Arial" w:cs="Arial"/>
                <w:b/>
                <w:lang w:val="en-GB"/>
              </w:rPr>
              <w:t>Contribution to variance</w:t>
            </w:r>
            <w:r>
              <w:rPr>
                <w:rFonts w:ascii="Arial" w:hAnsi="Arial" w:cs="Arial"/>
                <w:b/>
                <w:lang w:val="en-GB"/>
              </w:rPr>
              <w:t xml:space="preserve"> in HD</w:t>
            </w:r>
            <w:r w:rsidRPr="00F06F63">
              <w:rPr>
                <w:rFonts w:ascii="Arial" w:hAnsi="Arial" w:cs="Arial"/>
                <w:b/>
                <w:vertAlign w:val="subscript"/>
                <w:lang w:val="en-GB"/>
              </w:rPr>
              <w:t>M</w:t>
            </w:r>
            <w:r>
              <w:rPr>
                <w:rFonts w:ascii="Arial" w:hAnsi="Arial" w:cs="Arial"/>
                <w:b/>
                <w:lang w:val="en-GB"/>
              </w:rPr>
              <w:t xml:space="preserve"> </w:t>
            </w:r>
            <w:r w:rsidRPr="00E120AC">
              <w:rPr>
                <w:rFonts w:ascii="Arial" w:hAnsi="Arial" w:cs="Arial"/>
                <w:b/>
                <w:lang w:val="en-GB"/>
              </w:rPr>
              <w:t>distribution</w:t>
            </w:r>
          </w:p>
        </w:tc>
      </w:tr>
      <w:tr w:rsidR="001B1AA2" w:rsidRPr="00E120AC" w14:paraId="633AFFB0" w14:textId="77777777" w:rsidTr="00B77CF5">
        <w:trPr>
          <w:trHeight w:val="227"/>
        </w:trPr>
        <w:tc>
          <w:tcPr>
            <w:tcW w:w="3408" w:type="dxa"/>
          </w:tcPr>
          <w:p w14:paraId="6A3727AE" w14:textId="77777777" w:rsidR="001B1AA2" w:rsidRPr="00E120AC" w:rsidRDefault="001B1AA2" w:rsidP="00B77CF5">
            <w:pPr>
              <w:spacing w:line="480" w:lineRule="auto"/>
              <w:jc w:val="right"/>
              <w:rPr>
                <w:rFonts w:ascii="Arial" w:hAnsi="Arial" w:cs="Arial"/>
                <w:b/>
                <w:lang w:val="en-GB"/>
              </w:rPr>
            </w:pPr>
          </w:p>
        </w:tc>
        <w:tc>
          <w:tcPr>
            <w:tcW w:w="795" w:type="dxa"/>
          </w:tcPr>
          <w:p w14:paraId="60FA3CEA" w14:textId="77777777" w:rsidR="001B1AA2" w:rsidRPr="00E120AC" w:rsidRDefault="001B1AA2" w:rsidP="00B77CF5">
            <w:pPr>
              <w:spacing w:line="480" w:lineRule="auto"/>
              <w:jc w:val="center"/>
              <w:rPr>
                <w:rFonts w:ascii="Arial" w:hAnsi="Arial" w:cs="Arial"/>
                <w:b/>
                <w:lang w:val="en-GB"/>
              </w:rPr>
            </w:pPr>
          </w:p>
        </w:tc>
        <w:tc>
          <w:tcPr>
            <w:tcW w:w="3717" w:type="dxa"/>
            <w:gridSpan w:val="3"/>
          </w:tcPr>
          <w:p w14:paraId="7AFFBCC3" w14:textId="77777777" w:rsidR="001B1AA2" w:rsidRPr="00E120AC" w:rsidRDefault="001B1AA2" w:rsidP="00B77CF5">
            <w:pPr>
              <w:spacing w:line="480" w:lineRule="auto"/>
              <w:jc w:val="center"/>
              <w:rPr>
                <w:rFonts w:ascii="Arial" w:hAnsi="Arial" w:cs="Arial"/>
                <w:b/>
                <w:lang w:val="en-GB"/>
              </w:rPr>
            </w:pPr>
            <w:r w:rsidRPr="00E120AC">
              <w:rPr>
                <w:rFonts w:ascii="Arial" w:hAnsi="Arial" w:cs="Arial"/>
                <w:b/>
                <w:lang w:val="en-GB"/>
              </w:rPr>
              <w:t>Methotrexate</w:t>
            </w:r>
          </w:p>
        </w:tc>
        <w:tc>
          <w:tcPr>
            <w:tcW w:w="3844" w:type="dxa"/>
            <w:gridSpan w:val="3"/>
          </w:tcPr>
          <w:p w14:paraId="3FF98A4A" w14:textId="77777777" w:rsidR="001B1AA2" w:rsidRPr="00E120AC" w:rsidRDefault="001B1AA2" w:rsidP="00B77CF5">
            <w:pPr>
              <w:spacing w:line="480" w:lineRule="auto"/>
              <w:jc w:val="center"/>
              <w:rPr>
                <w:rFonts w:ascii="Arial" w:hAnsi="Arial" w:cs="Arial"/>
                <w:b/>
                <w:lang w:val="en-GB"/>
              </w:rPr>
            </w:pPr>
            <w:r w:rsidRPr="00E120AC">
              <w:rPr>
                <w:rFonts w:ascii="Arial" w:hAnsi="Arial" w:cs="Arial"/>
                <w:b/>
                <w:lang w:val="en-GB"/>
              </w:rPr>
              <w:t>Ciprofloxacin</w:t>
            </w:r>
          </w:p>
        </w:tc>
      </w:tr>
      <w:tr w:rsidR="001B1AA2" w:rsidRPr="00E120AC" w14:paraId="18F8DA26" w14:textId="77777777" w:rsidTr="00B77CF5">
        <w:trPr>
          <w:trHeight w:val="227"/>
        </w:trPr>
        <w:tc>
          <w:tcPr>
            <w:tcW w:w="3408" w:type="dxa"/>
          </w:tcPr>
          <w:p w14:paraId="696FF5BA" w14:textId="77777777" w:rsidR="001B1AA2" w:rsidRPr="00E120AC" w:rsidRDefault="001B1AA2" w:rsidP="00B77CF5">
            <w:pPr>
              <w:spacing w:line="480" w:lineRule="auto"/>
              <w:jc w:val="right"/>
              <w:rPr>
                <w:rFonts w:ascii="Arial" w:hAnsi="Arial" w:cs="Arial"/>
                <w:b/>
                <w:lang w:val="en-GB"/>
              </w:rPr>
            </w:pPr>
            <w:r w:rsidRPr="00E120AC">
              <w:rPr>
                <w:rFonts w:ascii="Arial" w:hAnsi="Arial" w:cs="Arial"/>
                <w:b/>
                <w:lang w:val="en-GB"/>
              </w:rPr>
              <w:t>Extrapolation step</w:t>
            </w:r>
          </w:p>
        </w:tc>
        <w:tc>
          <w:tcPr>
            <w:tcW w:w="795" w:type="dxa"/>
          </w:tcPr>
          <w:p w14:paraId="0732C4E7" w14:textId="77777777" w:rsidR="001B1AA2" w:rsidRPr="00E120AC" w:rsidRDefault="001B1AA2" w:rsidP="00B77CF5">
            <w:pPr>
              <w:spacing w:line="480" w:lineRule="auto"/>
              <w:jc w:val="center"/>
              <w:rPr>
                <w:rFonts w:ascii="Arial" w:hAnsi="Arial" w:cs="Arial"/>
                <w:b/>
                <w:lang w:val="en-GB"/>
              </w:rPr>
            </w:pPr>
            <w:r w:rsidRPr="00E120AC">
              <w:rPr>
                <w:rFonts w:ascii="Arial" w:hAnsi="Arial" w:cs="Arial"/>
                <w:b/>
                <w:lang w:val="en-GB"/>
              </w:rPr>
              <w:t>Type</w:t>
            </w:r>
          </w:p>
        </w:tc>
        <w:tc>
          <w:tcPr>
            <w:tcW w:w="1239" w:type="dxa"/>
          </w:tcPr>
          <w:p w14:paraId="41B88DB6" w14:textId="77777777" w:rsidR="001B1AA2" w:rsidRPr="00E120AC" w:rsidRDefault="001B1AA2" w:rsidP="00B77CF5">
            <w:pPr>
              <w:spacing w:line="480" w:lineRule="auto"/>
              <w:jc w:val="center"/>
              <w:rPr>
                <w:rFonts w:ascii="Arial" w:hAnsi="Arial" w:cs="Arial"/>
                <w:b/>
                <w:lang w:val="en-GB"/>
              </w:rPr>
            </w:pPr>
            <w:r w:rsidRPr="00E120AC">
              <w:rPr>
                <w:rFonts w:ascii="Arial" w:hAnsi="Arial" w:cs="Arial"/>
                <w:b/>
                <w:lang w:val="en-GB"/>
              </w:rPr>
              <w:t>Adult</w:t>
            </w:r>
          </w:p>
        </w:tc>
        <w:tc>
          <w:tcPr>
            <w:tcW w:w="1239" w:type="dxa"/>
          </w:tcPr>
          <w:p w14:paraId="60215702" w14:textId="77777777" w:rsidR="001B1AA2" w:rsidRPr="00E120AC" w:rsidRDefault="001B1AA2" w:rsidP="00B77CF5">
            <w:pPr>
              <w:spacing w:line="480" w:lineRule="auto"/>
              <w:jc w:val="center"/>
              <w:rPr>
                <w:rFonts w:ascii="Arial" w:hAnsi="Arial" w:cs="Arial"/>
                <w:b/>
                <w:lang w:val="en-GB"/>
              </w:rPr>
            </w:pPr>
            <w:r>
              <w:rPr>
                <w:rFonts w:ascii="Arial" w:hAnsi="Arial" w:cs="Arial"/>
                <w:b/>
                <w:lang w:val="en-GB"/>
              </w:rPr>
              <w:t>Children</w:t>
            </w:r>
          </w:p>
        </w:tc>
        <w:tc>
          <w:tcPr>
            <w:tcW w:w="1239" w:type="dxa"/>
          </w:tcPr>
          <w:p w14:paraId="7A13C409" w14:textId="77777777" w:rsidR="001B1AA2" w:rsidRPr="00E120AC" w:rsidRDefault="001B1AA2" w:rsidP="00B77CF5">
            <w:pPr>
              <w:spacing w:line="480" w:lineRule="auto"/>
              <w:jc w:val="center"/>
              <w:rPr>
                <w:rFonts w:ascii="Arial" w:hAnsi="Arial" w:cs="Arial"/>
                <w:b/>
                <w:lang w:val="en-GB"/>
              </w:rPr>
            </w:pPr>
            <w:r w:rsidRPr="00E120AC">
              <w:rPr>
                <w:rFonts w:ascii="Arial" w:hAnsi="Arial" w:cs="Arial"/>
                <w:b/>
                <w:lang w:val="en-GB"/>
              </w:rPr>
              <w:t>Default</w:t>
            </w:r>
          </w:p>
        </w:tc>
        <w:tc>
          <w:tcPr>
            <w:tcW w:w="1239" w:type="dxa"/>
          </w:tcPr>
          <w:p w14:paraId="63548514" w14:textId="77777777" w:rsidR="001B1AA2" w:rsidRPr="00E120AC" w:rsidRDefault="001B1AA2" w:rsidP="00B77CF5">
            <w:pPr>
              <w:spacing w:line="480" w:lineRule="auto"/>
              <w:jc w:val="center"/>
              <w:rPr>
                <w:rFonts w:ascii="Arial" w:hAnsi="Arial" w:cs="Arial"/>
                <w:b/>
                <w:lang w:val="en-GB"/>
              </w:rPr>
            </w:pPr>
            <w:r w:rsidRPr="00E120AC">
              <w:rPr>
                <w:rFonts w:ascii="Arial" w:hAnsi="Arial" w:cs="Arial"/>
                <w:b/>
                <w:lang w:val="en-GB"/>
              </w:rPr>
              <w:t>Adult</w:t>
            </w:r>
          </w:p>
        </w:tc>
        <w:tc>
          <w:tcPr>
            <w:tcW w:w="1354" w:type="dxa"/>
          </w:tcPr>
          <w:p w14:paraId="3C823B30" w14:textId="77777777" w:rsidR="001B1AA2" w:rsidRPr="00E120AC" w:rsidRDefault="001B1AA2" w:rsidP="00B77CF5">
            <w:pPr>
              <w:spacing w:line="480" w:lineRule="auto"/>
              <w:jc w:val="center"/>
              <w:rPr>
                <w:rFonts w:ascii="Arial" w:hAnsi="Arial" w:cs="Arial"/>
                <w:b/>
                <w:lang w:val="en-GB"/>
              </w:rPr>
            </w:pPr>
            <w:r>
              <w:rPr>
                <w:rFonts w:ascii="Arial" w:hAnsi="Arial" w:cs="Arial"/>
                <w:b/>
                <w:lang w:val="en-GB"/>
              </w:rPr>
              <w:t>Children</w:t>
            </w:r>
          </w:p>
        </w:tc>
        <w:tc>
          <w:tcPr>
            <w:tcW w:w="1251" w:type="dxa"/>
          </w:tcPr>
          <w:p w14:paraId="6B2581FE" w14:textId="77777777" w:rsidR="001B1AA2" w:rsidRPr="00E120AC" w:rsidRDefault="001B1AA2" w:rsidP="00B77CF5">
            <w:pPr>
              <w:spacing w:line="480" w:lineRule="auto"/>
              <w:jc w:val="center"/>
              <w:rPr>
                <w:rFonts w:ascii="Arial" w:hAnsi="Arial" w:cs="Arial"/>
                <w:b/>
                <w:lang w:val="en-GB"/>
              </w:rPr>
            </w:pPr>
            <w:r w:rsidRPr="00E120AC">
              <w:rPr>
                <w:rFonts w:ascii="Arial" w:hAnsi="Arial" w:cs="Arial"/>
                <w:b/>
                <w:lang w:val="en-GB"/>
              </w:rPr>
              <w:t>Default</w:t>
            </w:r>
          </w:p>
        </w:tc>
      </w:tr>
      <w:tr w:rsidR="001B1AA2" w:rsidRPr="00E120AC" w14:paraId="1B418C64" w14:textId="77777777" w:rsidTr="00B77CF5">
        <w:trPr>
          <w:trHeight w:val="227"/>
        </w:trPr>
        <w:tc>
          <w:tcPr>
            <w:tcW w:w="3408" w:type="dxa"/>
          </w:tcPr>
          <w:p w14:paraId="1DD59470" w14:textId="77777777" w:rsidR="001B1AA2" w:rsidRPr="00E120AC" w:rsidRDefault="001B1AA2" w:rsidP="00B77CF5">
            <w:pPr>
              <w:spacing w:line="480" w:lineRule="auto"/>
              <w:jc w:val="right"/>
              <w:rPr>
                <w:rFonts w:ascii="Arial" w:hAnsi="Arial" w:cs="Arial"/>
                <w:lang w:val="en-GB"/>
              </w:rPr>
            </w:pPr>
            <w:r w:rsidRPr="00E120AC">
              <w:rPr>
                <w:rFonts w:ascii="Arial" w:hAnsi="Arial" w:cs="Arial"/>
                <w:lang w:val="en-GB"/>
              </w:rPr>
              <w:t>1. PoD derivation</w:t>
            </w:r>
          </w:p>
        </w:tc>
        <w:tc>
          <w:tcPr>
            <w:tcW w:w="795" w:type="dxa"/>
            <w:vAlign w:val="center"/>
          </w:tcPr>
          <w:p w14:paraId="25AC3BBF"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U</w:t>
            </w:r>
          </w:p>
        </w:tc>
        <w:tc>
          <w:tcPr>
            <w:tcW w:w="1239" w:type="dxa"/>
            <w:shd w:val="clear" w:color="auto" w:fill="auto"/>
            <w:vAlign w:val="center"/>
          </w:tcPr>
          <w:p w14:paraId="5B7CC48F"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2%; 2%</w:t>
            </w:r>
          </w:p>
        </w:tc>
        <w:tc>
          <w:tcPr>
            <w:tcW w:w="1239" w:type="dxa"/>
            <w:vAlign w:val="center"/>
          </w:tcPr>
          <w:p w14:paraId="5C8D884D"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2%; 1%</w:t>
            </w:r>
          </w:p>
        </w:tc>
        <w:tc>
          <w:tcPr>
            <w:tcW w:w="1239" w:type="dxa"/>
            <w:vAlign w:val="center"/>
          </w:tcPr>
          <w:p w14:paraId="3CB2D075"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2%; 1%</w:t>
            </w:r>
          </w:p>
        </w:tc>
        <w:tc>
          <w:tcPr>
            <w:tcW w:w="1239" w:type="dxa"/>
            <w:vAlign w:val="center"/>
          </w:tcPr>
          <w:p w14:paraId="32F3F438"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6%; 23%</w:t>
            </w:r>
          </w:p>
        </w:tc>
        <w:tc>
          <w:tcPr>
            <w:tcW w:w="1354" w:type="dxa"/>
            <w:shd w:val="clear" w:color="auto" w:fill="auto"/>
            <w:vAlign w:val="center"/>
          </w:tcPr>
          <w:p w14:paraId="53ECC868"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6%; 16%</w:t>
            </w:r>
          </w:p>
        </w:tc>
        <w:tc>
          <w:tcPr>
            <w:tcW w:w="1251" w:type="dxa"/>
            <w:vAlign w:val="center"/>
          </w:tcPr>
          <w:p w14:paraId="3DD1233C"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5%; 22%</w:t>
            </w:r>
          </w:p>
        </w:tc>
      </w:tr>
      <w:tr w:rsidR="001B1AA2" w:rsidRPr="00E120AC" w14:paraId="1C50CC15" w14:textId="77777777" w:rsidTr="00B77CF5">
        <w:trPr>
          <w:trHeight w:val="227"/>
        </w:trPr>
        <w:tc>
          <w:tcPr>
            <w:tcW w:w="3408" w:type="dxa"/>
          </w:tcPr>
          <w:p w14:paraId="3CB398C4" w14:textId="77777777" w:rsidR="001B1AA2" w:rsidRPr="00E120AC" w:rsidRDefault="001B1AA2" w:rsidP="00B77CF5">
            <w:pPr>
              <w:spacing w:line="480" w:lineRule="auto"/>
              <w:jc w:val="right"/>
              <w:rPr>
                <w:rFonts w:ascii="Arial" w:hAnsi="Arial" w:cs="Arial"/>
                <w:lang w:val="en-GB"/>
              </w:rPr>
            </w:pPr>
            <w:r w:rsidRPr="00E120AC">
              <w:rPr>
                <w:rFonts w:ascii="Arial" w:hAnsi="Arial" w:cs="Arial"/>
                <w:lang w:val="en-GB"/>
              </w:rPr>
              <w:t>2. Sub-acute/chronic</w:t>
            </w:r>
          </w:p>
        </w:tc>
        <w:tc>
          <w:tcPr>
            <w:tcW w:w="795" w:type="dxa"/>
            <w:vAlign w:val="center"/>
          </w:tcPr>
          <w:p w14:paraId="50F87922"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U</w:t>
            </w:r>
          </w:p>
        </w:tc>
        <w:tc>
          <w:tcPr>
            <w:tcW w:w="1239" w:type="dxa"/>
            <w:shd w:val="clear" w:color="auto" w:fill="auto"/>
            <w:vAlign w:val="center"/>
          </w:tcPr>
          <w:p w14:paraId="674BF6B3"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66%; 39%</w:t>
            </w:r>
          </w:p>
        </w:tc>
        <w:tc>
          <w:tcPr>
            <w:tcW w:w="1239" w:type="dxa"/>
            <w:shd w:val="clear" w:color="auto" w:fill="auto"/>
            <w:vAlign w:val="center"/>
          </w:tcPr>
          <w:p w14:paraId="684419B3"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58%; 38%</w:t>
            </w:r>
          </w:p>
        </w:tc>
        <w:tc>
          <w:tcPr>
            <w:tcW w:w="1239" w:type="dxa"/>
            <w:vAlign w:val="center"/>
          </w:tcPr>
          <w:p w14:paraId="179ADEB7"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61%; 39%</w:t>
            </w:r>
          </w:p>
        </w:tc>
        <w:tc>
          <w:tcPr>
            <w:tcW w:w="1239" w:type="dxa"/>
            <w:vAlign w:val="center"/>
          </w:tcPr>
          <w:p w14:paraId="2B5EE188"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61%; 33%</w:t>
            </w:r>
          </w:p>
        </w:tc>
        <w:tc>
          <w:tcPr>
            <w:tcW w:w="1354" w:type="dxa"/>
            <w:vAlign w:val="center"/>
          </w:tcPr>
          <w:p w14:paraId="71FEEA15"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56%; 33%</w:t>
            </w:r>
          </w:p>
        </w:tc>
        <w:tc>
          <w:tcPr>
            <w:tcW w:w="1251" w:type="dxa"/>
            <w:vAlign w:val="center"/>
          </w:tcPr>
          <w:p w14:paraId="5B671300"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57%; 35%</w:t>
            </w:r>
          </w:p>
        </w:tc>
      </w:tr>
      <w:tr w:rsidR="001B1AA2" w:rsidRPr="00E120AC" w14:paraId="46F3CC56" w14:textId="77777777" w:rsidTr="00B77CF5">
        <w:trPr>
          <w:trHeight w:val="227"/>
        </w:trPr>
        <w:tc>
          <w:tcPr>
            <w:tcW w:w="3408" w:type="dxa"/>
          </w:tcPr>
          <w:p w14:paraId="62B1F660" w14:textId="77777777" w:rsidR="001B1AA2" w:rsidRPr="00E120AC" w:rsidRDefault="001B1AA2" w:rsidP="00B77CF5">
            <w:pPr>
              <w:spacing w:line="480" w:lineRule="auto"/>
              <w:jc w:val="right"/>
              <w:rPr>
                <w:rFonts w:ascii="Arial" w:hAnsi="Arial" w:cs="Arial"/>
                <w:lang w:val="en-GB"/>
              </w:rPr>
            </w:pPr>
            <w:r w:rsidRPr="00E120AC">
              <w:rPr>
                <w:rFonts w:ascii="Arial" w:hAnsi="Arial" w:cs="Arial"/>
                <w:lang w:val="en-GB"/>
              </w:rPr>
              <w:t>3a. Allometric scaling factor</w:t>
            </w:r>
          </w:p>
        </w:tc>
        <w:tc>
          <w:tcPr>
            <w:tcW w:w="795" w:type="dxa"/>
            <w:vAlign w:val="center"/>
          </w:tcPr>
          <w:p w14:paraId="6045BC48"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U</w:t>
            </w:r>
          </w:p>
        </w:tc>
        <w:tc>
          <w:tcPr>
            <w:tcW w:w="1239" w:type="dxa"/>
            <w:vAlign w:val="center"/>
          </w:tcPr>
          <w:p w14:paraId="6E54F636"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1%</w:t>
            </w:r>
          </w:p>
        </w:tc>
        <w:tc>
          <w:tcPr>
            <w:tcW w:w="1239" w:type="dxa"/>
            <w:shd w:val="clear" w:color="auto" w:fill="auto"/>
            <w:vAlign w:val="center"/>
          </w:tcPr>
          <w:p w14:paraId="4C767093"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&lt;1%</w:t>
            </w:r>
          </w:p>
        </w:tc>
        <w:tc>
          <w:tcPr>
            <w:tcW w:w="1239" w:type="dxa"/>
            <w:vAlign w:val="center"/>
          </w:tcPr>
          <w:p w14:paraId="76C99416"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&lt;1%</w:t>
            </w:r>
          </w:p>
        </w:tc>
        <w:tc>
          <w:tcPr>
            <w:tcW w:w="1239" w:type="dxa"/>
            <w:vAlign w:val="center"/>
          </w:tcPr>
          <w:p w14:paraId="2E430448"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&lt;1%</w:t>
            </w:r>
          </w:p>
        </w:tc>
        <w:tc>
          <w:tcPr>
            <w:tcW w:w="1354" w:type="dxa"/>
            <w:vAlign w:val="center"/>
          </w:tcPr>
          <w:p w14:paraId="5C081466"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&lt;1%</w:t>
            </w:r>
          </w:p>
        </w:tc>
        <w:tc>
          <w:tcPr>
            <w:tcW w:w="1251" w:type="dxa"/>
            <w:vAlign w:val="center"/>
          </w:tcPr>
          <w:p w14:paraId="3D036984"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&lt;1%</w:t>
            </w:r>
          </w:p>
        </w:tc>
      </w:tr>
      <w:tr w:rsidR="001B1AA2" w:rsidRPr="00E120AC" w14:paraId="4B51E07F" w14:textId="77777777" w:rsidTr="00B77CF5">
        <w:trPr>
          <w:trHeight w:val="227"/>
        </w:trPr>
        <w:tc>
          <w:tcPr>
            <w:tcW w:w="3408" w:type="dxa"/>
          </w:tcPr>
          <w:p w14:paraId="11F2E1DA" w14:textId="77777777" w:rsidR="001B1AA2" w:rsidRPr="00E120AC" w:rsidRDefault="001B1AA2" w:rsidP="00B77CF5">
            <w:pPr>
              <w:spacing w:line="480" w:lineRule="auto"/>
              <w:jc w:val="right"/>
              <w:rPr>
                <w:rFonts w:ascii="Arial" w:hAnsi="Arial" w:cs="Arial"/>
                <w:lang w:val="en-GB"/>
              </w:rPr>
            </w:pPr>
            <w:r w:rsidRPr="00E120AC">
              <w:rPr>
                <w:rFonts w:ascii="Arial" w:hAnsi="Arial" w:cs="Arial"/>
                <w:lang w:val="en-GB"/>
              </w:rPr>
              <w:t>3b. Remaining interspecies diff.</w:t>
            </w:r>
          </w:p>
        </w:tc>
        <w:tc>
          <w:tcPr>
            <w:tcW w:w="795" w:type="dxa"/>
            <w:vAlign w:val="center"/>
          </w:tcPr>
          <w:p w14:paraId="2DCF1D2C"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U</w:t>
            </w:r>
          </w:p>
        </w:tc>
        <w:tc>
          <w:tcPr>
            <w:tcW w:w="1239" w:type="dxa"/>
            <w:vAlign w:val="center"/>
          </w:tcPr>
          <w:p w14:paraId="7D9EE491"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17%; 9%</w:t>
            </w:r>
          </w:p>
        </w:tc>
        <w:tc>
          <w:tcPr>
            <w:tcW w:w="1239" w:type="dxa"/>
            <w:shd w:val="clear" w:color="auto" w:fill="auto"/>
            <w:vAlign w:val="center"/>
          </w:tcPr>
          <w:p w14:paraId="53B388BC"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15%; 16%</w:t>
            </w:r>
          </w:p>
        </w:tc>
        <w:tc>
          <w:tcPr>
            <w:tcW w:w="1239" w:type="dxa"/>
            <w:vAlign w:val="center"/>
          </w:tcPr>
          <w:p w14:paraId="29916A17"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16%; 5%</w:t>
            </w:r>
          </w:p>
        </w:tc>
        <w:tc>
          <w:tcPr>
            <w:tcW w:w="1239" w:type="dxa"/>
            <w:vAlign w:val="center"/>
          </w:tcPr>
          <w:p w14:paraId="4A9FCD5F"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17%; 6%</w:t>
            </w:r>
          </w:p>
        </w:tc>
        <w:tc>
          <w:tcPr>
            <w:tcW w:w="1354" w:type="dxa"/>
            <w:vAlign w:val="center"/>
          </w:tcPr>
          <w:p w14:paraId="6F968742"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16%; 6%</w:t>
            </w:r>
          </w:p>
        </w:tc>
        <w:tc>
          <w:tcPr>
            <w:tcW w:w="1251" w:type="dxa"/>
            <w:vAlign w:val="center"/>
          </w:tcPr>
          <w:p w14:paraId="7CCFCF55"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16%; 4%</w:t>
            </w:r>
          </w:p>
        </w:tc>
      </w:tr>
      <w:tr w:rsidR="001B1AA2" w:rsidRPr="00E120AC" w14:paraId="7BA79D9F" w14:textId="77777777" w:rsidTr="00B77CF5">
        <w:trPr>
          <w:trHeight w:val="227"/>
        </w:trPr>
        <w:tc>
          <w:tcPr>
            <w:tcW w:w="3408" w:type="dxa"/>
            <w:vMerge w:val="restart"/>
          </w:tcPr>
          <w:p w14:paraId="1F1E4247" w14:textId="77777777" w:rsidR="001B1AA2" w:rsidRPr="00E120AC" w:rsidRDefault="001B1AA2" w:rsidP="00B77CF5">
            <w:pPr>
              <w:spacing w:line="480" w:lineRule="auto"/>
              <w:jc w:val="right"/>
              <w:rPr>
                <w:rFonts w:ascii="Arial" w:hAnsi="Arial" w:cs="Arial"/>
                <w:lang w:val="en-GB"/>
              </w:rPr>
            </w:pPr>
            <w:r w:rsidRPr="00E120AC">
              <w:rPr>
                <w:rFonts w:ascii="Arial" w:hAnsi="Arial" w:cs="Arial"/>
                <w:lang w:val="en-GB"/>
              </w:rPr>
              <w:t>4a. Toxicokinetics</w:t>
            </w:r>
          </w:p>
        </w:tc>
        <w:tc>
          <w:tcPr>
            <w:tcW w:w="795" w:type="dxa"/>
            <w:vAlign w:val="center"/>
          </w:tcPr>
          <w:p w14:paraId="66E164F9"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U</w:t>
            </w:r>
          </w:p>
        </w:tc>
        <w:tc>
          <w:tcPr>
            <w:tcW w:w="1239" w:type="dxa"/>
            <w:vAlign w:val="center"/>
          </w:tcPr>
          <w:p w14:paraId="6FEB93B9"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1%</w:t>
            </w:r>
          </w:p>
        </w:tc>
        <w:tc>
          <w:tcPr>
            <w:tcW w:w="1239" w:type="dxa"/>
            <w:vAlign w:val="center"/>
          </w:tcPr>
          <w:p w14:paraId="3B8F164B"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2%</w:t>
            </w:r>
          </w:p>
        </w:tc>
        <w:tc>
          <w:tcPr>
            <w:tcW w:w="1239" w:type="dxa"/>
            <w:vAlign w:val="center"/>
          </w:tcPr>
          <w:p w14:paraId="7B571F46"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1%</w:t>
            </w:r>
          </w:p>
        </w:tc>
        <w:tc>
          <w:tcPr>
            <w:tcW w:w="1239" w:type="dxa"/>
            <w:shd w:val="clear" w:color="auto" w:fill="auto"/>
            <w:vAlign w:val="center"/>
          </w:tcPr>
          <w:p w14:paraId="5857AD13"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2%</w:t>
            </w:r>
          </w:p>
        </w:tc>
        <w:tc>
          <w:tcPr>
            <w:tcW w:w="1354" w:type="dxa"/>
            <w:vAlign w:val="center"/>
          </w:tcPr>
          <w:p w14:paraId="36979A6E"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1%</w:t>
            </w:r>
          </w:p>
        </w:tc>
        <w:tc>
          <w:tcPr>
            <w:tcW w:w="1251" w:type="dxa"/>
            <w:vAlign w:val="center"/>
          </w:tcPr>
          <w:p w14:paraId="710C3058"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3%</w:t>
            </w:r>
          </w:p>
        </w:tc>
      </w:tr>
      <w:tr w:rsidR="001B1AA2" w:rsidRPr="00E120AC" w14:paraId="053114B9" w14:textId="77777777" w:rsidTr="00B77CF5">
        <w:trPr>
          <w:trHeight w:val="227"/>
        </w:trPr>
        <w:tc>
          <w:tcPr>
            <w:tcW w:w="3408" w:type="dxa"/>
            <w:vMerge/>
          </w:tcPr>
          <w:p w14:paraId="6856CE20" w14:textId="77777777" w:rsidR="001B1AA2" w:rsidRPr="00E120AC" w:rsidRDefault="001B1AA2" w:rsidP="00B77CF5">
            <w:pPr>
              <w:spacing w:line="480" w:lineRule="auto"/>
              <w:jc w:val="right"/>
              <w:rPr>
                <w:rFonts w:ascii="Arial" w:hAnsi="Arial" w:cs="Arial"/>
                <w:lang w:val="en-GB"/>
              </w:rPr>
            </w:pPr>
          </w:p>
        </w:tc>
        <w:tc>
          <w:tcPr>
            <w:tcW w:w="795" w:type="dxa"/>
            <w:vAlign w:val="center"/>
          </w:tcPr>
          <w:p w14:paraId="652E9B15"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IV</w:t>
            </w:r>
          </w:p>
        </w:tc>
        <w:tc>
          <w:tcPr>
            <w:tcW w:w="1239" w:type="dxa"/>
            <w:vAlign w:val="center"/>
          </w:tcPr>
          <w:p w14:paraId="48005F54"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4%; &lt;1%</w:t>
            </w:r>
          </w:p>
        </w:tc>
        <w:tc>
          <w:tcPr>
            <w:tcW w:w="1239" w:type="dxa"/>
            <w:vAlign w:val="center"/>
          </w:tcPr>
          <w:p w14:paraId="5155E62B"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14%; 3%</w:t>
            </w:r>
          </w:p>
        </w:tc>
        <w:tc>
          <w:tcPr>
            <w:tcW w:w="1239" w:type="dxa"/>
            <w:vAlign w:val="center"/>
          </w:tcPr>
          <w:p w14:paraId="676BD27D"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7%; 4%</w:t>
            </w:r>
          </w:p>
        </w:tc>
        <w:tc>
          <w:tcPr>
            <w:tcW w:w="1239" w:type="dxa"/>
            <w:vAlign w:val="center"/>
          </w:tcPr>
          <w:p w14:paraId="2E770191"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7%; 1%</w:t>
            </w:r>
          </w:p>
        </w:tc>
        <w:tc>
          <w:tcPr>
            <w:tcW w:w="1354" w:type="dxa"/>
            <w:vAlign w:val="center"/>
          </w:tcPr>
          <w:p w14:paraId="2683F0B1"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14%; 13%</w:t>
            </w:r>
          </w:p>
        </w:tc>
        <w:tc>
          <w:tcPr>
            <w:tcW w:w="1251" w:type="dxa"/>
            <w:vAlign w:val="center"/>
          </w:tcPr>
          <w:p w14:paraId="2EB5880D"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7%; 3%</w:t>
            </w:r>
          </w:p>
        </w:tc>
      </w:tr>
      <w:tr w:rsidR="001B1AA2" w:rsidRPr="00E120AC" w14:paraId="7056B41C" w14:textId="77777777" w:rsidTr="00B77CF5">
        <w:trPr>
          <w:trHeight w:val="227"/>
        </w:trPr>
        <w:tc>
          <w:tcPr>
            <w:tcW w:w="3408" w:type="dxa"/>
            <w:vMerge w:val="restart"/>
          </w:tcPr>
          <w:p w14:paraId="46F4A0F3" w14:textId="77777777" w:rsidR="001B1AA2" w:rsidRPr="00E120AC" w:rsidRDefault="001B1AA2" w:rsidP="00B77CF5">
            <w:pPr>
              <w:spacing w:line="480" w:lineRule="auto"/>
              <w:jc w:val="right"/>
              <w:rPr>
                <w:rFonts w:ascii="Arial" w:hAnsi="Arial" w:cs="Arial"/>
                <w:lang w:val="en-GB"/>
              </w:rPr>
            </w:pPr>
            <w:r w:rsidRPr="00E120AC">
              <w:rPr>
                <w:rFonts w:ascii="Arial" w:hAnsi="Arial" w:cs="Arial"/>
                <w:lang w:val="en-GB"/>
              </w:rPr>
              <w:t>4b. Toxicodynamics</w:t>
            </w:r>
          </w:p>
        </w:tc>
        <w:tc>
          <w:tcPr>
            <w:tcW w:w="795" w:type="dxa"/>
            <w:vAlign w:val="center"/>
          </w:tcPr>
          <w:p w14:paraId="31CF5668"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U</w:t>
            </w:r>
          </w:p>
        </w:tc>
        <w:tc>
          <w:tcPr>
            <w:tcW w:w="1239" w:type="dxa"/>
            <w:vAlign w:val="center"/>
          </w:tcPr>
          <w:p w14:paraId="7A329C3C"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10%</w:t>
            </w:r>
          </w:p>
        </w:tc>
        <w:tc>
          <w:tcPr>
            <w:tcW w:w="1239" w:type="dxa"/>
            <w:vAlign w:val="center"/>
          </w:tcPr>
          <w:p w14:paraId="02A09C71"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19%</w:t>
            </w:r>
          </w:p>
        </w:tc>
        <w:tc>
          <w:tcPr>
            <w:tcW w:w="1239" w:type="dxa"/>
            <w:vAlign w:val="center"/>
          </w:tcPr>
          <w:p w14:paraId="669E4B3A"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25%</w:t>
            </w:r>
          </w:p>
        </w:tc>
        <w:tc>
          <w:tcPr>
            <w:tcW w:w="1239" w:type="dxa"/>
            <w:vAlign w:val="center"/>
          </w:tcPr>
          <w:p w14:paraId="61B8E868"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16%</w:t>
            </w:r>
          </w:p>
        </w:tc>
        <w:tc>
          <w:tcPr>
            <w:tcW w:w="1354" w:type="dxa"/>
            <w:vAlign w:val="center"/>
          </w:tcPr>
          <w:p w14:paraId="0DB8C3B0"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14%</w:t>
            </w:r>
          </w:p>
        </w:tc>
        <w:tc>
          <w:tcPr>
            <w:tcW w:w="1251" w:type="dxa"/>
            <w:vAlign w:val="center"/>
          </w:tcPr>
          <w:p w14:paraId="0437EB9E"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8%</w:t>
            </w:r>
          </w:p>
        </w:tc>
      </w:tr>
      <w:tr w:rsidR="001B1AA2" w:rsidRPr="00E120AC" w14:paraId="4177F67C" w14:textId="77777777" w:rsidTr="00B77CF5">
        <w:trPr>
          <w:trHeight w:val="227"/>
        </w:trPr>
        <w:tc>
          <w:tcPr>
            <w:tcW w:w="3408" w:type="dxa"/>
            <w:vMerge/>
          </w:tcPr>
          <w:p w14:paraId="49487A5A" w14:textId="77777777" w:rsidR="001B1AA2" w:rsidRPr="00E120AC" w:rsidRDefault="001B1AA2" w:rsidP="00B77CF5">
            <w:pPr>
              <w:spacing w:line="480" w:lineRule="auto"/>
              <w:rPr>
                <w:rFonts w:ascii="Arial" w:hAnsi="Arial" w:cs="Arial"/>
                <w:lang w:val="en-GB"/>
              </w:rPr>
            </w:pPr>
          </w:p>
        </w:tc>
        <w:tc>
          <w:tcPr>
            <w:tcW w:w="795" w:type="dxa"/>
            <w:vAlign w:val="center"/>
          </w:tcPr>
          <w:p w14:paraId="7C8AA2FC"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IV</w:t>
            </w:r>
          </w:p>
        </w:tc>
        <w:tc>
          <w:tcPr>
            <w:tcW w:w="1239" w:type="dxa"/>
            <w:vAlign w:val="center"/>
          </w:tcPr>
          <w:p w14:paraId="6D9BAB02"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11%; 39%</w:t>
            </w:r>
          </w:p>
        </w:tc>
        <w:tc>
          <w:tcPr>
            <w:tcW w:w="1239" w:type="dxa"/>
            <w:vAlign w:val="center"/>
          </w:tcPr>
          <w:p w14:paraId="07FC6989"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10%; 21%</w:t>
            </w:r>
          </w:p>
        </w:tc>
        <w:tc>
          <w:tcPr>
            <w:tcW w:w="1239" w:type="dxa"/>
            <w:vAlign w:val="center"/>
          </w:tcPr>
          <w:p w14:paraId="79695F58"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14%; 24%</w:t>
            </w:r>
          </w:p>
        </w:tc>
        <w:tc>
          <w:tcPr>
            <w:tcW w:w="1239" w:type="dxa"/>
            <w:vAlign w:val="center"/>
          </w:tcPr>
          <w:p w14:paraId="5A7BA41C"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9%; 18%</w:t>
            </w:r>
          </w:p>
        </w:tc>
        <w:tc>
          <w:tcPr>
            <w:tcW w:w="1354" w:type="dxa"/>
            <w:vAlign w:val="center"/>
          </w:tcPr>
          <w:p w14:paraId="5453AACD"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8%; 19%</w:t>
            </w:r>
          </w:p>
        </w:tc>
        <w:tc>
          <w:tcPr>
            <w:tcW w:w="1251" w:type="dxa"/>
            <w:vAlign w:val="center"/>
          </w:tcPr>
          <w:p w14:paraId="28CC5224"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15%; 23%</w:t>
            </w:r>
          </w:p>
        </w:tc>
      </w:tr>
      <w:tr w:rsidR="001B1AA2" w:rsidRPr="00E120AC" w14:paraId="5B28BA78" w14:textId="77777777" w:rsidTr="00B77CF5">
        <w:trPr>
          <w:trHeight w:val="227"/>
        </w:trPr>
        <w:tc>
          <w:tcPr>
            <w:tcW w:w="3408" w:type="dxa"/>
          </w:tcPr>
          <w:p w14:paraId="3237D0DC" w14:textId="77777777" w:rsidR="001B1AA2" w:rsidRPr="00E120AC" w:rsidRDefault="001B1AA2" w:rsidP="00B77CF5">
            <w:pPr>
              <w:spacing w:line="480" w:lineRule="auto"/>
              <w:jc w:val="right"/>
              <w:rPr>
                <w:rFonts w:ascii="Arial" w:hAnsi="Arial" w:cs="Arial"/>
                <w:lang w:val="en-GB"/>
              </w:rPr>
            </w:pPr>
            <w:r w:rsidRPr="00E120AC">
              <w:rPr>
                <w:rFonts w:ascii="Arial" w:hAnsi="Arial" w:cs="Arial"/>
                <w:b/>
                <w:lang w:val="en-GB"/>
              </w:rPr>
              <w:t>Total contribution U</w:t>
            </w:r>
          </w:p>
        </w:tc>
        <w:tc>
          <w:tcPr>
            <w:tcW w:w="795" w:type="dxa"/>
            <w:vAlign w:val="center"/>
          </w:tcPr>
          <w:p w14:paraId="22544B49" w14:textId="77777777" w:rsidR="001B1AA2" w:rsidRPr="00E120AC" w:rsidRDefault="001B1AA2" w:rsidP="00B77CF5">
            <w:pPr>
              <w:spacing w:line="480" w:lineRule="auto"/>
              <w:jc w:val="center"/>
              <w:rPr>
                <w:rFonts w:ascii="Arial" w:hAnsi="Arial" w:cs="Arial"/>
                <w:lang w:val="en-GB"/>
              </w:rPr>
            </w:pPr>
          </w:p>
        </w:tc>
        <w:tc>
          <w:tcPr>
            <w:tcW w:w="1239" w:type="dxa"/>
            <w:vAlign w:val="center"/>
          </w:tcPr>
          <w:p w14:paraId="16D8EE50"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86%; 61%</w:t>
            </w:r>
          </w:p>
        </w:tc>
        <w:tc>
          <w:tcPr>
            <w:tcW w:w="1239" w:type="dxa"/>
            <w:vAlign w:val="center"/>
          </w:tcPr>
          <w:p w14:paraId="1B3B2EC8"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76%; 76%</w:t>
            </w:r>
          </w:p>
        </w:tc>
        <w:tc>
          <w:tcPr>
            <w:tcW w:w="1239" w:type="dxa"/>
            <w:vAlign w:val="center"/>
          </w:tcPr>
          <w:p w14:paraId="487E7F94"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80%; 72%</w:t>
            </w:r>
          </w:p>
        </w:tc>
        <w:tc>
          <w:tcPr>
            <w:tcW w:w="1239" w:type="dxa"/>
            <w:vAlign w:val="center"/>
          </w:tcPr>
          <w:p w14:paraId="37F13133"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84%; 81%</w:t>
            </w:r>
          </w:p>
        </w:tc>
        <w:tc>
          <w:tcPr>
            <w:tcW w:w="1354" w:type="dxa"/>
            <w:vAlign w:val="center"/>
          </w:tcPr>
          <w:p w14:paraId="3AF9429A"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78%; 68%</w:t>
            </w:r>
          </w:p>
        </w:tc>
        <w:tc>
          <w:tcPr>
            <w:tcW w:w="1251" w:type="dxa"/>
            <w:vAlign w:val="center"/>
          </w:tcPr>
          <w:p w14:paraId="077CD5F5"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78%; 74%</w:t>
            </w:r>
          </w:p>
        </w:tc>
      </w:tr>
      <w:tr w:rsidR="001B1AA2" w:rsidRPr="00E120AC" w14:paraId="23E3AABA" w14:textId="77777777" w:rsidTr="00B77CF5">
        <w:trPr>
          <w:trHeight w:val="227"/>
        </w:trPr>
        <w:tc>
          <w:tcPr>
            <w:tcW w:w="3408" w:type="dxa"/>
          </w:tcPr>
          <w:p w14:paraId="44867CB6" w14:textId="77777777" w:rsidR="001B1AA2" w:rsidRPr="00E120AC" w:rsidRDefault="001B1AA2" w:rsidP="00B77CF5">
            <w:pPr>
              <w:spacing w:line="480" w:lineRule="auto"/>
              <w:jc w:val="right"/>
              <w:rPr>
                <w:rFonts w:ascii="Arial" w:hAnsi="Arial" w:cs="Arial"/>
                <w:b/>
                <w:lang w:val="en-GB"/>
              </w:rPr>
            </w:pPr>
            <w:r w:rsidRPr="00E120AC">
              <w:rPr>
                <w:rFonts w:ascii="Arial" w:hAnsi="Arial" w:cs="Arial"/>
                <w:b/>
                <w:lang w:val="en-GB"/>
              </w:rPr>
              <w:t>Total contribution IV</w:t>
            </w:r>
          </w:p>
        </w:tc>
        <w:tc>
          <w:tcPr>
            <w:tcW w:w="795" w:type="dxa"/>
            <w:vAlign w:val="center"/>
          </w:tcPr>
          <w:p w14:paraId="766B3A44" w14:textId="77777777" w:rsidR="001B1AA2" w:rsidRPr="00E120AC" w:rsidRDefault="001B1AA2" w:rsidP="00B77CF5">
            <w:pPr>
              <w:spacing w:line="480" w:lineRule="auto"/>
              <w:jc w:val="center"/>
              <w:rPr>
                <w:rFonts w:ascii="Arial" w:hAnsi="Arial" w:cs="Arial"/>
                <w:b/>
                <w:lang w:val="en-GB"/>
              </w:rPr>
            </w:pPr>
          </w:p>
        </w:tc>
        <w:tc>
          <w:tcPr>
            <w:tcW w:w="1239" w:type="dxa"/>
            <w:vAlign w:val="center"/>
          </w:tcPr>
          <w:p w14:paraId="0AA72EFA"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14%; 39%</w:t>
            </w:r>
          </w:p>
        </w:tc>
        <w:tc>
          <w:tcPr>
            <w:tcW w:w="1239" w:type="dxa"/>
            <w:vAlign w:val="center"/>
          </w:tcPr>
          <w:p w14:paraId="4AC1F26E"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24%; 24%</w:t>
            </w:r>
          </w:p>
        </w:tc>
        <w:tc>
          <w:tcPr>
            <w:tcW w:w="1239" w:type="dxa"/>
            <w:vAlign w:val="center"/>
          </w:tcPr>
          <w:p w14:paraId="0D7E35FD"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20%; 28%</w:t>
            </w:r>
          </w:p>
        </w:tc>
        <w:tc>
          <w:tcPr>
            <w:tcW w:w="1239" w:type="dxa"/>
            <w:vAlign w:val="center"/>
          </w:tcPr>
          <w:p w14:paraId="3DE9DE16"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16%; 19%</w:t>
            </w:r>
          </w:p>
        </w:tc>
        <w:tc>
          <w:tcPr>
            <w:tcW w:w="1354" w:type="dxa"/>
            <w:vAlign w:val="center"/>
          </w:tcPr>
          <w:p w14:paraId="4FF9CE27"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22%; 32%</w:t>
            </w:r>
          </w:p>
        </w:tc>
        <w:tc>
          <w:tcPr>
            <w:tcW w:w="1251" w:type="dxa"/>
            <w:vAlign w:val="center"/>
          </w:tcPr>
          <w:p w14:paraId="3D66980B"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22%; 26%</w:t>
            </w:r>
          </w:p>
        </w:tc>
      </w:tr>
    </w:tbl>
    <w:p w14:paraId="6417EFC6" w14:textId="77777777" w:rsidR="001B1AA2" w:rsidRDefault="001B1AA2" w:rsidP="00CB56E0">
      <w:pPr>
        <w:spacing w:after="0" w:line="480" w:lineRule="auto"/>
        <w:rPr>
          <w:rFonts w:ascii="Arial" w:hAnsi="Arial" w:cs="Arial"/>
          <w:i/>
        </w:rPr>
      </w:pPr>
    </w:p>
    <w:p w14:paraId="1011F8F2" w14:textId="77777777" w:rsidR="001B1AA2" w:rsidRPr="00447093" w:rsidRDefault="001B1AA2" w:rsidP="00CB56E0">
      <w:pPr>
        <w:spacing w:after="0" w:line="480" w:lineRule="auto"/>
        <w:rPr>
          <w:rFonts w:ascii="Arial" w:hAnsi="Arial" w:cs="Arial"/>
          <w:i/>
        </w:rPr>
      </w:pPr>
    </w:p>
    <w:p w14:paraId="4BE8E116" w14:textId="77777777" w:rsidR="00E120AC" w:rsidRDefault="00E120AC" w:rsidP="00CB56E0">
      <w:pPr>
        <w:spacing w:after="0" w:line="480" w:lineRule="auto"/>
        <w:rPr>
          <w:rFonts w:ascii="Arial" w:hAnsi="Arial" w:cs="Arial"/>
          <w:i/>
        </w:rPr>
        <w:sectPr w:rsidR="00E120AC" w:rsidSect="00E120AC">
          <w:pgSz w:w="16838" w:h="11906" w:orient="landscape"/>
          <w:pgMar w:top="1440" w:right="1440" w:bottom="1440" w:left="1440" w:header="708" w:footer="708" w:gutter="0"/>
          <w:lnNumType w:countBy="1" w:restart="continuous"/>
          <w:cols w:space="708"/>
          <w:docGrid w:linePitch="360"/>
        </w:sectPr>
      </w:pPr>
    </w:p>
    <w:p w14:paraId="17D8F4A7" w14:textId="726AF7D6" w:rsidR="00CB56E0" w:rsidRPr="00447093" w:rsidRDefault="00CB56E0" w:rsidP="00CB56E0">
      <w:pPr>
        <w:spacing w:after="0" w:line="480" w:lineRule="auto"/>
        <w:rPr>
          <w:rFonts w:ascii="Arial" w:hAnsi="Arial" w:cs="Arial"/>
          <w:i/>
        </w:rPr>
      </w:pPr>
      <w:r w:rsidRPr="00447093">
        <w:rPr>
          <w:rFonts w:ascii="Arial" w:hAnsi="Arial" w:cs="Arial"/>
          <w:i/>
        </w:rPr>
        <w:lastRenderedPageBreak/>
        <w:t xml:space="preserve">Table </w:t>
      </w:r>
      <w:r>
        <w:rPr>
          <w:rFonts w:ascii="Arial" w:hAnsi="Arial" w:cs="Arial"/>
          <w:i/>
        </w:rPr>
        <w:t>SI</w:t>
      </w:r>
      <w:r w:rsidR="00156CF5">
        <w:rPr>
          <w:rFonts w:ascii="Arial" w:hAnsi="Arial" w:cs="Arial"/>
          <w:i/>
        </w:rPr>
        <w:t>2</w:t>
      </w:r>
      <w:r w:rsidRPr="00447093">
        <w:rPr>
          <w:rFonts w:ascii="Arial" w:hAnsi="Arial" w:cs="Arial"/>
          <w:i/>
        </w:rPr>
        <w:t>. Contribution of the extrapolation steps to the total variance in the</w:t>
      </w:r>
      <w:r>
        <w:rPr>
          <w:rFonts w:ascii="Arial" w:hAnsi="Arial" w:cs="Arial"/>
          <w:i/>
        </w:rPr>
        <w:t xml:space="preserve"> human dose</w:t>
      </w:r>
      <w:r w:rsidRPr="00447093">
        <w:rPr>
          <w:rFonts w:ascii="Arial" w:hAnsi="Arial" w:cs="Arial"/>
          <w:i/>
        </w:rPr>
        <w:t xml:space="preserve"> di</w:t>
      </w:r>
      <w:r>
        <w:rPr>
          <w:rFonts w:ascii="Arial" w:hAnsi="Arial" w:cs="Arial"/>
          <w:i/>
        </w:rPr>
        <w:t xml:space="preserve">stributions; methotrexate endpoint: red blood cell count; </w:t>
      </w:r>
      <w:r w:rsidR="001B1AA2">
        <w:rPr>
          <w:rFonts w:ascii="Arial" w:hAnsi="Arial" w:cs="Arial"/>
          <w:i/>
        </w:rPr>
        <w:t xml:space="preserve">Hill </w:t>
      </w:r>
      <w:r>
        <w:rPr>
          <w:rFonts w:ascii="Arial" w:hAnsi="Arial" w:cs="Arial"/>
          <w:i/>
        </w:rPr>
        <w:t>dose-response models.</w:t>
      </w:r>
      <w:r w:rsidR="008A60D5" w:rsidRPr="008A60D5">
        <w:rPr>
          <w:rFonts w:ascii="Arial" w:hAnsi="Arial" w:cs="Arial"/>
          <w:i/>
        </w:rPr>
        <w:t xml:space="preserve"> </w:t>
      </w:r>
      <w:r w:rsidR="008A60D5">
        <w:rPr>
          <w:rFonts w:ascii="Arial" w:hAnsi="Arial" w:cs="Arial"/>
          <w:i/>
        </w:rPr>
        <w:t>First percentages:</w:t>
      </w:r>
      <w:r w:rsidR="00C5196C">
        <w:rPr>
          <w:rFonts w:ascii="Arial" w:hAnsi="Arial" w:cs="Arial"/>
          <w:i/>
        </w:rPr>
        <w:t xml:space="preserve"> contribution to total HD</w:t>
      </w:r>
      <w:r w:rsidR="00D41FCE" w:rsidRPr="00D41FCE">
        <w:rPr>
          <w:rFonts w:ascii="Arial" w:hAnsi="Arial" w:cs="Arial"/>
          <w:i/>
          <w:vertAlign w:val="subscript"/>
        </w:rPr>
        <w:t>M</w:t>
      </w:r>
      <w:r w:rsidR="00C5196C">
        <w:rPr>
          <w:rFonts w:ascii="Arial" w:hAnsi="Arial" w:cs="Arial"/>
          <w:i/>
        </w:rPr>
        <w:t xml:space="preserve"> </w:t>
      </w:r>
      <w:r w:rsidR="008A60D5">
        <w:rPr>
          <w:rFonts w:ascii="Arial" w:hAnsi="Arial" w:cs="Arial"/>
          <w:i/>
        </w:rPr>
        <w:t>distribution; second percentages: contribution to lowest 10% of HD</w:t>
      </w:r>
      <w:r w:rsidR="00D41FCE" w:rsidRPr="00D41FCE">
        <w:rPr>
          <w:rFonts w:ascii="Arial" w:hAnsi="Arial" w:cs="Arial"/>
          <w:i/>
          <w:vertAlign w:val="subscript"/>
        </w:rPr>
        <w:t>M</w:t>
      </w:r>
      <w:r w:rsidR="008A60D5">
        <w:rPr>
          <w:rFonts w:ascii="Arial" w:hAnsi="Arial" w:cs="Arial"/>
          <w:i/>
        </w:rPr>
        <w:t>s.</w:t>
      </w:r>
    </w:p>
    <w:tbl>
      <w:tblPr>
        <w:tblStyle w:val="TableGrid"/>
        <w:tblW w:w="11867" w:type="dxa"/>
        <w:tblBorders>
          <w:insideH w:val="none" w:sz="0" w:space="0" w:color="auto"/>
          <w:insideV w:val="none" w:sz="0" w:space="0" w:color="auto"/>
        </w:tblBorders>
        <w:tblLook w:val="04A0" w:firstRow="1" w:lastRow="0" w:firstColumn="1" w:lastColumn="0" w:noHBand="0" w:noVBand="1"/>
      </w:tblPr>
      <w:tblGrid>
        <w:gridCol w:w="3408"/>
        <w:gridCol w:w="795"/>
        <w:gridCol w:w="1239"/>
        <w:gridCol w:w="1239"/>
        <w:gridCol w:w="1239"/>
        <w:gridCol w:w="1239"/>
        <w:gridCol w:w="1354"/>
        <w:gridCol w:w="1354"/>
      </w:tblGrid>
      <w:tr w:rsidR="001B1AA2" w:rsidRPr="00E120AC" w14:paraId="12D909C0" w14:textId="77777777" w:rsidTr="00B77CF5">
        <w:trPr>
          <w:trHeight w:val="227"/>
        </w:trPr>
        <w:tc>
          <w:tcPr>
            <w:tcW w:w="3408" w:type="dxa"/>
          </w:tcPr>
          <w:p w14:paraId="663AF61B" w14:textId="77777777" w:rsidR="001B1AA2" w:rsidRPr="00E120AC" w:rsidRDefault="001B1AA2" w:rsidP="00B77CF5">
            <w:pPr>
              <w:spacing w:line="480" w:lineRule="auto"/>
              <w:jc w:val="right"/>
              <w:rPr>
                <w:rFonts w:ascii="Arial" w:hAnsi="Arial" w:cs="Arial"/>
                <w:b/>
                <w:lang w:val="en-GB"/>
              </w:rPr>
            </w:pPr>
          </w:p>
        </w:tc>
        <w:tc>
          <w:tcPr>
            <w:tcW w:w="795" w:type="dxa"/>
          </w:tcPr>
          <w:p w14:paraId="7F0058A0" w14:textId="77777777" w:rsidR="001B1AA2" w:rsidRPr="00E120AC" w:rsidRDefault="001B1AA2" w:rsidP="00B77CF5">
            <w:pPr>
              <w:spacing w:line="480" w:lineRule="auto"/>
              <w:jc w:val="center"/>
              <w:rPr>
                <w:rFonts w:ascii="Arial" w:hAnsi="Arial" w:cs="Arial"/>
                <w:b/>
                <w:lang w:val="en-GB"/>
              </w:rPr>
            </w:pPr>
          </w:p>
        </w:tc>
        <w:tc>
          <w:tcPr>
            <w:tcW w:w="7664" w:type="dxa"/>
            <w:gridSpan w:val="6"/>
          </w:tcPr>
          <w:p w14:paraId="4B54E4C4" w14:textId="77777777" w:rsidR="001B1AA2" w:rsidRPr="00E120AC" w:rsidRDefault="001B1AA2" w:rsidP="00B77CF5">
            <w:pPr>
              <w:spacing w:line="480" w:lineRule="auto"/>
              <w:jc w:val="center"/>
              <w:rPr>
                <w:rFonts w:ascii="Arial" w:hAnsi="Arial" w:cs="Arial"/>
                <w:b/>
                <w:lang w:val="en-GB"/>
              </w:rPr>
            </w:pPr>
            <w:r w:rsidRPr="00E120AC">
              <w:rPr>
                <w:rFonts w:ascii="Arial" w:hAnsi="Arial" w:cs="Arial"/>
                <w:b/>
                <w:lang w:val="en-GB"/>
              </w:rPr>
              <w:t>Contribution to variance in HD</w:t>
            </w:r>
            <w:r w:rsidRPr="00D41FCE">
              <w:rPr>
                <w:rFonts w:ascii="Arial" w:hAnsi="Arial" w:cs="Arial"/>
                <w:b/>
                <w:vertAlign w:val="subscript"/>
                <w:lang w:val="en-GB"/>
              </w:rPr>
              <w:t>M</w:t>
            </w:r>
            <w:r>
              <w:rPr>
                <w:rFonts w:ascii="Arial" w:hAnsi="Arial" w:cs="Arial"/>
                <w:b/>
                <w:lang w:val="en-GB"/>
              </w:rPr>
              <w:t xml:space="preserve"> </w:t>
            </w:r>
            <w:r w:rsidRPr="00E120AC">
              <w:rPr>
                <w:rFonts w:ascii="Arial" w:hAnsi="Arial" w:cs="Arial"/>
                <w:b/>
                <w:lang w:val="en-GB"/>
              </w:rPr>
              <w:t>distribution</w:t>
            </w:r>
          </w:p>
        </w:tc>
      </w:tr>
      <w:tr w:rsidR="001B1AA2" w:rsidRPr="00E120AC" w14:paraId="6CC79C61" w14:textId="77777777" w:rsidTr="00B77CF5">
        <w:trPr>
          <w:trHeight w:val="227"/>
        </w:trPr>
        <w:tc>
          <w:tcPr>
            <w:tcW w:w="3408" w:type="dxa"/>
          </w:tcPr>
          <w:p w14:paraId="2B57B65C" w14:textId="77777777" w:rsidR="001B1AA2" w:rsidRPr="00E120AC" w:rsidRDefault="001B1AA2" w:rsidP="00B77CF5">
            <w:pPr>
              <w:spacing w:line="480" w:lineRule="auto"/>
              <w:jc w:val="right"/>
              <w:rPr>
                <w:rFonts w:ascii="Arial" w:hAnsi="Arial" w:cs="Arial"/>
                <w:b/>
                <w:lang w:val="en-GB"/>
              </w:rPr>
            </w:pPr>
          </w:p>
        </w:tc>
        <w:tc>
          <w:tcPr>
            <w:tcW w:w="795" w:type="dxa"/>
          </w:tcPr>
          <w:p w14:paraId="5EFBB652" w14:textId="77777777" w:rsidR="001B1AA2" w:rsidRPr="00E120AC" w:rsidRDefault="001B1AA2" w:rsidP="00B77CF5">
            <w:pPr>
              <w:spacing w:line="480" w:lineRule="auto"/>
              <w:jc w:val="center"/>
              <w:rPr>
                <w:rFonts w:ascii="Arial" w:hAnsi="Arial" w:cs="Arial"/>
                <w:b/>
                <w:lang w:val="en-GB"/>
              </w:rPr>
            </w:pPr>
          </w:p>
        </w:tc>
        <w:tc>
          <w:tcPr>
            <w:tcW w:w="3717" w:type="dxa"/>
            <w:gridSpan w:val="3"/>
          </w:tcPr>
          <w:p w14:paraId="798E4BE4" w14:textId="77777777" w:rsidR="001B1AA2" w:rsidRPr="00E120AC" w:rsidRDefault="001B1AA2" w:rsidP="00B77CF5">
            <w:pPr>
              <w:spacing w:line="480" w:lineRule="auto"/>
              <w:jc w:val="center"/>
              <w:rPr>
                <w:rFonts w:ascii="Arial" w:hAnsi="Arial" w:cs="Arial"/>
                <w:b/>
                <w:lang w:val="en-GB"/>
              </w:rPr>
            </w:pPr>
            <w:r w:rsidRPr="00E120AC">
              <w:rPr>
                <w:rFonts w:ascii="Arial" w:hAnsi="Arial" w:cs="Arial"/>
                <w:b/>
                <w:lang w:val="en-GB"/>
              </w:rPr>
              <w:t>Methotrexate</w:t>
            </w:r>
          </w:p>
        </w:tc>
        <w:tc>
          <w:tcPr>
            <w:tcW w:w="3947" w:type="dxa"/>
            <w:gridSpan w:val="3"/>
          </w:tcPr>
          <w:p w14:paraId="63025D71" w14:textId="77777777" w:rsidR="001B1AA2" w:rsidRPr="00E120AC" w:rsidRDefault="001B1AA2" w:rsidP="00B77CF5">
            <w:pPr>
              <w:spacing w:line="480" w:lineRule="auto"/>
              <w:jc w:val="center"/>
              <w:rPr>
                <w:rFonts w:ascii="Arial" w:hAnsi="Arial" w:cs="Arial"/>
                <w:b/>
                <w:lang w:val="en-GB"/>
              </w:rPr>
            </w:pPr>
            <w:r w:rsidRPr="00E120AC">
              <w:rPr>
                <w:rFonts w:ascii="Arial" w:hAnsi="Arial" w:cs="Arial"/>
                <w:b/>
                <w:lang w:val="en-GB"/>
              </w:rPr>
              <w:t>Ciprofloxacin</w:t>
            </w:r>
          </w:p>
        </w:tc>
      </w:tr>
      <w:tr w:rsidR="001B1AA2" w:rsidRPr="00E120AC" w14:paraId="704F1D7B" w14:textId="77777777" w:rsidTr="00B77CF5">
        <w:trPr>
          <w:trHeight w:val="227"/>
        </w:trPr>
        <w:tc>
          <w:tcPr>
            <w:tcW w:w="3408" w:type="dxa"/>
          </w:tcPr>
          <w:p w14:paraId="40C71765" w14:textId="77777777" w:rsidR="001B1AA2" w:rsidRPr="00E120AC" w:rsidRDefault="001B1AA2" w:rsidP="00B77CF5">
            <w:pPr>
              <w:spacing w:line="480" w:lineRule="auto"/>
              <w:jc w:val="right"/>
              <w:rPr>
                <w:rFonts w:ascii="Arial" w:hAnsi="Arial" w:cs="Arial"/>
                <w:b/>
                <w:lang w:val="en-GB"/>
              </w:rPr>
            </w:pPr>
            <w:r w:rsidRPr="00E120AC">
              <w:rPr>
                <w:rFonts w:ascii="Arial" w:hAnsi="Arial" w:cs="Arial"/>
                <w:b/>
                <w:lang w:val="en-GB"/>
              </w:rPr>
              <w:t>Extrapolation step</w:t>
            </w:r>
          </w:p>
        </w:tc>
        <w:tc>
          <w:tcPr>
            <w:tcW w:w="795" w:type="dxa"/>
          </w:tcPr>
          <w:p w14:paraId="30D955BC" w14:textId="77777777" w:rsidR="001B1AA2" w:rsidRPr="00E120AC" w:rsidRDefault="001B1AA2" w:rsidP="00B77CF5">
            <w:pPr>
              <w:spacing w:line="480" w:lineRule="auto"/>
              <w:jc w:val="center"/>
              <w:rPr>
                <w:rFonts w:ascii="Arial" w:hAnsi="Arial" w:cs="Arial"/>
                <w:b/>
                <w:lang w:val="en-GB"/>
              </w:rPr>
            </w:pPr>
            <w:r w:rsidRPr="00E120AC">
              <w:rPr>
                <w:rFonts w:ascii="Arial" w:hAnsi="Arial" w:cs="Arial"/>
                <w:b/>
                <w:lang w:val="en-GB"/>
              </w:rPr>
              <w:t>Type</w:t>
            </w:r>
          </w:p>
        </w:tc>
        <w:tc>
          <w:tcPr>
            <w:tcW w:w="1239" w:type="dxa"/>
          </w:tcPr>
          <w:p w14:paraId="1CBAD12F" w14:textId="77777777" w:rsidR="001B1AA2" w:rsidRPr="00E120AC" w:rsidRDefault="001B1AA2" w:rsidP="00B77CF5">
            <w:pPr>
              <w:spacing w:line="480" w:lineRule="auto"/>
              <w:jc w:val="center"/>
              <w:rPr>
                <w:rFonts w:ascii="Arial" w:hAnsi="Arial" w:cs="Arial"/>
                <w:b/>
                <w:lang w:val="en-GB"/>
              </w:rPr>
            </w:pPr>
            <w:r w:rsidRPr="00E120AC">
              <w:rPr>
                <w:rFonts w:ascii="Arial" w:hAnsi="Arial" w:cs="Arial"/>
                <w:b/>
                <w:lang w:val="en-GB"/>
              </w:rPr>
              <w:t>Adult</w:t>
            </w:r>
          </w:p>
        </w:tc>
        <w:tc>
          <w:tcPr>
            <w:tcW w:w="1239" w:type="dxa"/>
          </w:tcPr>
          <w:p w14:paraId="45F7C147" w14:textId="77777777" w:rsidR="001B1AA2" w:rsidRPr="00E120AC" w:rsidRDefault="001B1AA2" w:rsidP="00B77CF5">
            <w:pPr>
              <w:spacing w:line="480" w:lineRule="auto"/>
              <w:jc w:val="center"/>
              <w:rPr>
                <w:rFonts w:ascii="Arial" w:hAnsi="Arial" w:cs="Arial"/>
                <w:b/>
                <w:lang w:val="en-GB"/>
              </w:rPr>
            </w:pPr>
            <w:r>
              <w:rPr>
                <w:rFonts w:ascii="Arial" w:hAnsi="Arial" w:cs="Arial"/>
                <w:b/>
                <w:lang w:val="en-GB"/>
              </w:rPr>
              <w:t>Children</w:t>
            </w:r>
          </w:p>
        </w:tc>
        <w:tc>
          <w:tcPr>
            <w:tcW w:w="1239" w:type="dxa"/>
          </w:tcPr>
          <w:p w14:paraId="4CBEAC64" w14:textId="77777777" w:rsidR="001B1AA2" w:rsidRPr="00E120AC" w:rsidRDefault="001B1AA2" w:rsidP="00B77CF5">
            <w:pPr>
              <w:spacing w:line="480" w:lineRule="auto"/>
              <w:jc w:val="center"/>
              <w:rPr>
                <w:rFonts w:ascii="Arial" w:hAnsi="Arial" w:cs="Arial"/>
                <w:b/>
                <w:lang w:val="en-GB"/>
              </w:rPr>
            </w:pPr>
            <w:r w:rsidRPr="00E120AC">
              <w:rPr>
                <w:rFonts w:ascii="Arial" w:hAnsi="Arial" w:cs="Arial"/>
                <w:b/>
                <w:lang w:val="en-GB"/>
              </w:rPr>
              <w:t>Default</w:t>
            </w:r>
          </w:p>
        </w:tc>
        <w:tc>
          <w:tcPr>
            <w:tcW w:w="1239" w:type="dxa"/>
          </w:tcPr>
          <w:p w14:paraId="49E84BDF" w14:textId="77777777" w:rsidR="001B1AA2" w:rsidRPr="00E120AC" w:rsidRDefault="001B1AA2" w:rsidP="00B77CF5">
            <w:pPr>
              <w:spacing w:line="480" w:lineRule="auto"/>
              <w:jc w:val="center"/>
              <w:rPr>
                <w:rFonts w:ascii="Arial" w:hAnsi="Arial" w:cs="Arial"/>
                <w:b/>
                <w:lang w:val="en-GB"/>
              </w:rPr>
            </w:pPr>
            <w:r w:rsidRPr="00E120AC">
              <w:rPr>
                <w:rFonts w:ascii="Arial" w:hAnsi="Arial" w:cs="Arial"/>
                <w:b/>
                <w:lang w:val="en-GB"/>
              </w:rPr>
              <w:t>Adult</w:t>
            </w:r>
          </w:p>
        </w:tc>
        <w:tc>
          <w:tcPr>
            <w:tcW w:w="1354" w:type="dxa"/>
          </w:tcPr>
          <w:p w14:paraId="6FB39827" w14:textId="77777777" w:rsidR="001B1AA2" w:rsidRPr="00E120AC" w:rsidRDefault="001B1AA2" w:rsidP="00B77CF5">
            <w:pPr>
              <w:spacing w:line="480" w:lineRule="auto"/>
              <w:jc w:val="center"/>
              <w:rPr>
                <w:rFonts w:ascii="Arial" w:hAnsi="Arial" w:cs="Arial"/>
                <w:b/>
                <w:lang w:val="en-GB"/>
              </w:rPr>
            </w:pPr>
            <w:r>
              <w:rPr>
                <w:rFonts w:ascii="Arial" w:hAnsi="Arial" w:cs="Arial"/>
                <w:b/>
                <w:lang w:val="en-GB"/>
              </w:rPr>
              <w:t>Children</w:t>
            </w:r>
          </w:p>
        </w:tc>
        <w:tc>
          <w:tcPr>
            <w:tcW w:w="1354" w:type="dxa"/>
          </w:tcPr>
          <w:p w14:paraId="57E110D2" w14:textId="77777777" w:rsidR="001B1AA2" w:rsidRPr="00E120AC" w:rsidRDefault="001B1AA2" w:rsidP="00B77CF5">
            <w:pPr>
              <w:spacing w:line="480" w:lineRule="auto"/>
              <w:jc w:val="center"/>
              <w:rPr>
                <w:rFonts w:ascii="Arial" w:hAnsi="Arial" w:cs="Arial"/>
                <w:b/>
                <w:lang w:val="en-GB"/>
              </w:rPr>
            </w:pPr>
            <w:r w:rsidRPr="00E120AC">
              <w:rPr>
                <w:rFonts w:ascii="Arial" w:hAnsi="Arial" w:cs="Arial"/>
                <w:b/>
                <w:lang w:val="en-GB"/>
              </w:rPr>
              <w:t>Default</w:t>
            </w:r>
          </w:p>
        </w:tc>
      </w:tr>
      <w:tr w:rsidR="001B1AA2" w:rsidRPr="00E120AC" w14:paraId="293B7B35" w14:textId="77777777" w:rsidTr="00B77CF5">
        <w:trPr>
          <w:trHeight w:val="227"/>
        </w:trPr>
        <w:tc>
          <w:tcPr>
            <w:tcW w:w="3408" w:type="dxa"/>
          </w:tcPr>
          <w:p w14:paraId="262AE5AE" w14:textId="77777777" w:rsidR="001B1AA2" w:rsidRPr="00E120AC" w:rsidRDefault="001B1AA2" w:rsidP="00B77CF5">
            <w:pPr>
              <w:spacing w:line="480" w:lineRule="auto"/>
              <w:jc w:val="right"/>
              <w:rPr>
                <w:rFonts w:ascii="Arial" w:hAnsi="Arial" w:cs="Arial"/>
                <w:lang w:val="en-GB"/>
              </w:rPr>
            </w:pPr>
            <w:r w:rsidRPr="00E120AC">
              <w:rPr>
                <w:rFonts w:ascii="Arial" w:hAnsi="Arial" w:cs="Arial"/>
                <w:lang w:val="en-GB"/>
              </w:rPr>
              <w:t>1. PoD derivation</w:t>
            </w:r>
          </w:p>
        </w:tc>
        <w:tc>
          <w:tcPr>
            <w:tcW w:w="795" w:type="dxa"/>
            <w:vAlign w:val="center"/>
          </w:tcPr>
          <w:p w14:paraId="56BA1090"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U</w:t>
            </w:r>
          </w:p>
        </w:tc>
        <w:tc>
          <w:tcPr>
            <w:tcW w:w="1239" w:type="dxa"/>
            <w:shd w:val="clear" w:color="auto" w:fill="auto"/>
            <w:vAlign w:val="center"/>
          </w:tcPr>
          <w:p w14:paraId="3B1A41AC"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6%; 4%</w:t>
            </w:r>
          </w:p>
        </w:tc>
        <w:tc>
          <w:tcPr>
            <w:tcW w:w="1239" w:type="dxa"/>
            <w:vAlign w:val="center"/>
          </w:tcPr>
          <w:p w14:paraId="795649C2"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5%; 3%</w:t>
            </w:r>
          </w:p>
        </w:tc>
        <w:tc>
          <w:tcPr>
            <w:tcW w:w="1239" w:type="dxa"/>
            <w:vAlign w:val="center"/>
          </w:tcPr>
          <w:p w14:paraId="7E58955A"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5%; 4%</w:t>
            </w:r>
          </w:p>
        </w:tc>
        <w:tc>
          <w:tcPr>
            <w:tcW w:w="1239" w:type="dxa"/>
            <w:vAlign w:val="center"/>
          </w:tcPr>
          <w:p w14:paraId="2766A3E5"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10%; 67%</w:t>
            </w:r>
          </w:p>
        </w:tc>
        <w:tc>
          <w:tcPr>
            <w:tcW w:w="1354" w:type="dxa"/>
            <w:shd w:val="clear" w:color="auto" w:fill="auto"/>
            <w:vAlign w:val="center"/>
          </w:tcPr>
          <w:p w14:paraId="27AA47F5"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10%; 64%</w:t>
            </w:r>
          </w:p>
        </w:tc>
        <w:tc>
          <w:tcPr>
            <w:tcW w:w="1354" w:type="dxa"/>
            <w:vAlign w:val="center"/>
          </w:tcPr>
          <w:p w14:paraId="4A974B95"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9%; 69%</w:t>
            </w:r>
          </w:p>
        </w:tc>
      </w:tr>
      <w:tr w:rsidR="001B1AA2" w:rsidRPr="00E120AC" w14:paraId="4ED31D8F" w14:textId="77777777" w:rsidTr="00B77CF5">
        <w:trPr>
          <w:trHeight w:val="227"/>
        </w:trPr>
        <w:tc>
          <w:tcPr>
            <w:tcW w:w="3408" w:type="dxa"/>
          </w:tcPr>
          <w:p w14:paraId="69F25F31" w14:textId="77777777" w:rsidR="001B1AA2" w:rsidRPr="00E120AC" w:rsidRDefault="001B1AA2" w:rsidP="00B77CF5">
            <w:pPr>
              <w:spacing w:line="480" w:lineRule="auto"/>
              <w:jc w:val="right"/>
              <w:rPr>
                <w:rFonts w:ascii="Arial" w:hAnsi="Arial" w:cs="Arial"/>
                <w:lang w:val="en-GB"/>
              </w:rPr>
            </w:pPr>
            <w:r w:rsidRPr="00E120AC">
              <w:rPr>
                <w:rFonts w:ascii="Arial" w:hAnsi="Arial" w:cs="Arial"/>
                <w:lang w:val="en-GB"/>
              </w:rPr>
              <w:t>2. Sub-acute/chronic</w:t>
            </w:r>
          </w:p>
        </w:tc>
        <w:tc>
          <w:tcPr>
            <w:tcW w:w="795" w:type="dxa"/>
            <w:vAlign w:val="center"/>
          </w:tcPr>
          <w:p w14:paraId="123ACAD2"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U</w:t>
            </w:r>
          </w:p>
        </w:tc>
        <w:tc>
          <w:tcPr>
            <w:tcW w:w="1239" w:type="dxa"/>
            <w:shd w:val="clear" w:color="auto" w:fill="auto"/>
            <w:vAlign w:val="center"/>
          </w:tcPr>
          <w:p w14:paraId="7483A2F7"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64%; 42%</w:t>
            </w:r>
          </w:p>
        </w:tc>
        <w:tc>
          <w:tcPr>
            <w:tcW w:w="1239" w:type="dxa"/>
            <w:shd w:val="clear" w:color="auto" w:fill="auto"/>
            <w:vAlign w:val="center"/>
          </w:tcPr>
          <w:p w14:paraId="790FE546"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56%; 40%</w:t>
            </w:r>
          </w:p>
        </w:tc>
        <w:tc>
          <w:tcPr>
            <w:tcW w:w="1239" w:type="dxa"/>
            <w:vAlign w:val="center"/>
          </w:tcPr>
          <w:p w14:paraId="71DB9EE5"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59%; 42%</w:t>
            </w:r>
          </w:p>
        </w:tc>
        <w:tc>
          <w:tcPr>
            <w:tcW w:w="1239" w:type="dxa"/>
            <w:vAlign w:val="center"/>
          </w:tcPr>
          <w:p w14:paraId="116BA9C3"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58%; 4%</w:t>
            </w:r>
          </w:p>
        </w:tc>
        <w:tc>
          <w:tcPr>
            <w:tcW w:w="1354" w:type="dxa"/>
            <w:vAlign w:val="center"/>
          </w:tcPr>
          <w:p w14:paraId="6A5C46F9"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53%; 8%</w:t>
            </w:r>
          </w:p>
        </w:tc>
        <w:tc>
          <w:tcPr>
            <w:tcW w:w="1354" w:type="dxa"/>
            <w:vAlign w:val="center"/>
          </w:tcPr>
          <w:p w14:paraId="711BB3F1"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54%; 8%</w:t>
            </w:r>
          </w:p>
        </w:tc>
      </w:tr>
      <w:tr w:rsidR="001B1AA2" w:rsidRPr="00E120AC" w14:paraId="156B59FB" w14:textId="77777777" w:rsidTr="00B77CF5">
        <w:trPr>
          <w:trHeight w:val="227"/>
        </w:trPr>
        <w:tc>
          <w:tcPr>
            <w:tcW w:w="3408" w:type="dxa"/>
          </w:tcPr>
          <w:p w14:paraId="1421DE47" w14:textId="77777777" w:rsidR="001B1AA2" w:rsidRPr="00E120AC" w:rsidRDefault="001B1AA2" w:rsidP="00B77CF5">
            <w:pPr>
              <w:spacing w:line="480" w:lineRule="auto"/>
              <w:jc w:val="right"/>
              <w:rPr>
                <w:rFonts w:ascii="Arial" w:hAnsi="Arial" w:cs="Arial"/>
                <w:lang w:val="en-GB"/>
              </w:rPr>
            </w:pPr>
            <w:r w:rsidRPr="00E120AC">
              <w:rPr>
                <w:rFonts w:ascii="Arial" w:hAnsi="Arial" w:cs="Arial"/>
                <w:lang w:val="en-GB"/>
              </w:rPr>
              <w:t>3a. Allometric scaling factor</w:t>
            </w:r>
          </w:p>
        </w:tc>
        <w:tc>
          <w:tcPr>
            <w:tcW w:w="795" w:type="dxa"/>
            <w:vAlign w:val="center"/>
          </w:tcPr>
          <w:p w14:paraId="72590FC6"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U</w:t>
            </w:r>
          </w:p>
        </w:tc>
        <w:tc>
          <w:tcPr>
            <w:tcW w:w="1239" w:type="dxa"/>
            <w:vAlign w:val="center"/>
          </w:tcPr>
          <w:p w14:paraId="5DBF11CB"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2%</w:t>
            </w:r>
          </w:p>
        </w:tc>
        <w:tc>
          <w:tcPr>
            <w:tcW w:w="1239" w:type="dxa"/>
            <w:shd w:val="clear" w:color="auto" w:fill="auto"/>
            <w:vAlign w:val="center"/>
          </w:tcPr>
          <w:p w14:paraId="061A841F"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&lt;1%</w:t>
            </w:r>
          </w:p>
        </w:tc>
        <w:tc>
          <w:tcPr>
            <w:tcW w:w="1239" w:type="dxa"/>
            <w:vAlign w:val="center"/>
          </w:tcPr>
          <w:p w14:paraId="424B57E7"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&lt;1%</w:t>
            </w:r>
          </w:p>
        </w:tc>
        <w:tc>
          <w:tcPr>
            <w:tcW w:w="1239" w:type="dxa"/>
            <w:vAlign w:val="center"/>
          </w:tcPr>
          <w:p w14:paraId="5F780D10"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&lt;0%</w:t>
            </w:r>
          </w:p>
        </w:tc>
        <w:tc>
          <w:tcPr>
            <w:tcW w:w="1354" w:type="dxa"/>
            <w:vAlign w:val="center"/>
          </w:tcPr>
          <w:p w14:paraId="1B99F7FB"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&lt;1%</w:t>
            </w:r>
          </w:p>
        </w:tc>
        <w:tc>
          <w:tcPr>
            <w:tcW w:w="1354" w:type="dxa"/>
            <w:vAlign w:val="center"/>
          </w:tcPr>
          <w:p w14:paraId="7CCB1180"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&lt;1%</w:t>
            </w:r>
          </w:p>
        </w:tc>
      </w:tr>
      <w:tr w:rsidR="001B1AA2" w:rsidRPr="00E120AC" w14:paraId="3D659F48" w14:textId="77777777" w:rsidTr="00B77CF5">
        <w:trPr>
          <w:trHeight w:val="227"/>
        </w:trPr>
        <w:tc>
          <w:tcPr>
            <w:tcW w:w="3408" w:type="dxa"/>
          </w:tcPr>
          <w:p w14:paraId="5267BD09" w14:textId="77777777" w:rsidR="001B1AA2" w:rsidRPr="00E120AC" w:rsidRDefault="001B1AA2" w:rsidP="00B77CF5">
            <w:pPr>
              <w:spacing w:line="480" w:lineRule="auto"/>
              <w:jc w:val="right"/>
              <w:rPr>
                <w:rFonts w:ascii="Arial" w:hAnsi="Arial" w:cs="Arial"/>
                <w:lang w:val="en-GB"/>
              </w:rPr>
            </w:pPr>
            <w:r w:rsidRPr="00E120AC">
              <w:rPr>
                <w:rFonts w:ascii="Arial" w:hAnsi="Arial" w:cs="Arial"/>
                <w:lang w:val="en-GB"/>
              </w:rPr>
              <w:t>3b. Remaining interspecies diff.</w:t>
            </w:r>
          </w:p>
        </w:tc>
        <w:tc>
          <w:tcPr>
            <w:tcW w:w="795" w:type="dxa"/>
            <w:vAlign w:val="center"/>
          </w:tcPr>
          <w:p w14:paraId="70CBEDB7"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U</w:t>
            </w:r>
          </w:p>
        </w:tc>
        <w:tc>
          <w:tcPr>
            <w:tcW w:w="1239" w:type="dxa"/>
            <w:vAlign w:val="center"/>
          </w:tcPr>
          <w:p w14:paraId="5A6B7173"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16%; 14%</w:t>
            </w:r>
          </w:p>
        </w:tc>
        <w:tc>
          <w:tcPr>
            <w:tcW w:w="1239" w:type="dxa"/>
            <w:shd w:val="clear" w:color="auto" w:fill="auto"/>
            <w:vAlign w:val="center"/>
          </w:tcPr>
          <w:p w14:paraId="66EC3F3D"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15%; 18%</w:t>
            </w:r>
          </w:p>
        </w:tc>
        <w:tc>
          <w:tcPr>
            <w:tcW w:w="1239" w:type="dxa"/>
            <w:vAlign w:val="center"/>
          </w:tcPr>
          <w:p w14:paraId="1042E7AC"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16%; 6%</w:t>
            </w:r>
          </w:p>
        </w:tc>
        <w:tc>
          <w:tcPr>
            <w:tcW w:w="1239" w:type="dxa"/>
            <w:vAlign w:val="center"/>
          </w:tcPr>
          <w:p w14:paraId="71BE6329"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17%; 3%</w:t>
            </w:r>
          </w:p>
        </w:tc>
        <w:tc>
          <w:tcPr>
            <w:tcW w:w="1354" w:type="dxa"/>
            <w:vAlign w:val="center"/>
          </w:tcPr>
          <w:p w14:paraId="2FEF0625"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15%; 3%</w:t>
            </w:r>
          </w:p>
        </w:tc>
        <w:tc>
          <w:tcPr>
            <w:tcW w:w="1354" w:type="dxa"/>
            <w:vAlign w:val="center"/>
          </w:tcPr>
          <w:p w14:paraId="7FCB82CB"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15%; 1%</w:t>
            </w:r>
          </w:p>
        </w:tc>
      </w:tr>
      <w:tr w:rsidR="001B1AA2" w:rsidRPr="00E120AC" w14:paraId="6572D9EB" w14:textId="77777777" w:rsidTr="00B77CF5">
        <w:trPr>
          <w:trHeight w:val="227"/>
        </w:trPr>
        <w:tc>
          <w:tcPr>
            <w:tcW w:w="3408" w:type="dxa"/>
            <w:vMerge w:val="restart"/>
          </w:tcPr>
          <w:p w14:paraId="7E9C589B" w14:textId="77777777" w:rsidR="001B1AA2" w:rsidRPr="00E120AC" w:rsidRDefault="001B1AA2" w:rsidP="00B77CF5">
            <w:pPr>
              <w:spacing w:line="480" w:lineRule="auto"/>
              <w:jc w:val="right"/>
              <w:rPr>
                <w:rFonts w:ascii="Arial" w:hAnsi="Arial" w:cs="Arial"/>
                <w:lang w:val="en-GB"/>
              </w:rPr>
            </w:pPr>
            <w:r w:rsidRPr="00E120AC">
              <w:rPr>
                <w:rFonts w:ascii="Arial" w:hAnsi="Arial" w:cs="Arial"/>
                <w:lang w:val="en-GB"/>
              </w:rPr>
              <w:t>4a. Toxicokinetics</w:t>
            </w:r>
          </w:p>
        </w:tc>
        <w:tc>
          <w:tcPr>
            <w:tcW w:w="795" w:type="dxa"/>
            <w:vAlign w:val="center"/>
          </w:tcPr>
          <w:p w14:paraId="4F002F23"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U</w:t>
            </w:r>
          </w:p>
        </w:tc>
        <w:tc>
          <w:tcPr>
            <w:tcW w:w="1239" w:type="dxa"/>
            <w:vAlign w:val="center"/>
          </w:tcPr>
          <w:p w14:paraId="551D433B"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1%</w:t>
            </w:r>
          </w:p>
        </w:tc>
        <w:tc>
          <w:tcPr>
            <w:tcW w:w="1239" w:type="dxa"/>
            <w:vAlign w:val="center"/>
          </w:tcPr>
          <w:p w14:paraId="5EA90F64"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1%</w:t>
            </w:r>
          </w:p>
        </w:tc>
        <w:tc>
          <w:tcPr>
            <w:tcW w:w="1239" w:type="dxa"/>
            <w:vAlign w:val="center"/>
          </w:tcPr>
          <w:p w14:paraId="16C04AD2"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2%</w:t>
            </w:r>
          </w:p>
        </w:tc>
        <w:tc>
          <w:tcPr>
            <w:tcW w:w="1239" w:type="dxa"/>
            <w:shd w:val="clear" w:color="auto" w:fill="auto"/>
            <w:vAlign w:val="center"/>
          </w:tcPr>
          <w:p w14:paraId="6A030572"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1%</w:t>
            </w:r>
          </w:p>
        </w:tc>
        <w:tc>
          <w:tcPr>
            <w:tcW w:w="1354" w:type="dxa"/>
            <w:vAlign w:val="center"/>
          </w:tcPr>
          <w:p w14:paraId="10F4D83C"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1%</w:t>
            </w:r>
          </w:p>
        </w:tc>
        <w:tc>
          <w:tcPr>
            <w:tcW w:w="1354" w:type="dxa"/>
            <w:vAlign w:val="center"/>
          </w:tcPr>
          <w:p w14:paraId="1C1825E7"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1%</w:t>
            </w:r>
          </w:p>
        </w:tc>
      </w:tr>
      <w:tr w:rsidR="001B1AA2" w:rsidRPr="00E120AC" w14:paraId="1AEF3BC6" w14:textId="77777777" w:rsidTr="00B77CF5">
        <w:trPr>
          <w:trHeight w:val="227"/>
        </w:trPr>
        <w:tc>
          <w:tcPr>
            <w:tcW w:w="3408" w:type="dxa"/>
            <w:vMerge/>
          </w:tcPr>
          <w:p w14:paraId="021F05C2" w14:textId="77777777" w:rsidR="001B1AA2" w:rsidRPr="00E120AC" w:rsidRDefault="001B1AA2" w:rsidP="00B77CF5">
            <w:pPr>
              <w:spacing w:line="480" w:lineRule="auto"/>
              <w:jc w:val="right"/>
              <w:rPr>
                <w:rFonts w:ascii="Arial" w:hAnsi="Arial" w:cs="Arial"/>
                <w:lang w:val="en-GB"/>
              </w:rPr>
            </w:pPr>
          </w:p>
        </w:tc>
        <w:tc>
          <w:tcPr>
            <w:tcW w:w="795" w:type="dxa"/>
            <w:vAlign w:val="center"/>
          </w:tcPr>
          <w:p w14:paraId="7B2CA0D7"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IV</w:t>
            </w:r>
          </w:p>
        </w:tc>
        <w:tc>
          <w:tcPr>
            <w:tcW w:w="1239" w:type="dxa"/>
            <w:vAlign w:val="center"/>
          </w:tcPr>
          <w:p w14:paraId="7A234F3E"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4%; &lt;1%</w:t>
            </w:r>
          </w:p>
        </w:tc>
        <w:tc>
          <w:tcPr>
            <w:tcW w:w="1239" w:type="dxa"/>
            <w:vAlign w:val="center"/>
          </w:tcPr>
          <w:p w14:paraId="37A3E719"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14%; 3%</w:t>
            </w:r>
          </w:p>
        </w:tc>
        <w:tc>
          <w:tcPr>
            <w:tcW w:w="1239" w:type="dxa"/>
            <w:vAlign w:val="center"/>
          </w:tcPr>
          <w:p w14:paraId="25E58160"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7%; 5%</w:t>
            </w:r>
          </w:p>
        </w:tc>
        <w:tc>
          <w:tcPr>
            <w:tcW w:w="1239" w:type="dxa"/>
            <w:vAlign w:val="center"/>
          </w:tcPr>
          <w:p w14:paraId="70A10ACD"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7%; &lt;1%</w:t>
            </w:r>
          </w:p>
        </w:tc>
        <w:tc>
          <w:tcPr>
            <w:tcW w:w="1354" w:type="dxa"/>
            <w:vAlign w:val="center"/>
          </w:tcPr>
          <w:p w14:paraId="6D284CE3"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14%; 6%</w:t>
            </w:r>
          </w:p>
        </w:tc>
        <w:tc>
          <w:tcPr>
            <w:tcW w:w="1354" w:type="dxa"/>
            <w:vAlign w:val="center"/>
          </w:tcPr>
          <w:p w14:paraId="3E1A8864"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7%; 1%</w:t>
            </w:r>
          </w:p>
        </w:tc>
      </w:tr>
      <w:tr w:rsidR="001B1AA2" w:rsidRPr="00E120AC" w14:paraId="4C1148F0" w14:textId="77777777" w:rsidTr="00B77CF5">
        <w:trPr>
          <w:trHeight w:val="227"/>
        </w:trPr>
        <w:tc>
          <w:tcPr>
            <w:tcW w:w="3408" w:type="dxa"/>
            <w:vMerge w:val="restart"/>
          </w:tcPr>
          <w:p w14:paraId="66D4CD6E" w14:textId="77777777" w:rsidR="001B1AA2" w:rsidRPr="00E120AC" w:rsidRDefault="001B1AA2" w:rsidP="00B77CF5">
            <w:pPr>
              <w:spacing w:line="480" w:lineRule="auto"/>
              <w:jc w:val="right"/>
              <w:rPr>
                <w:rFonts w:ascii="Arial" w:hAnsi="Arial" w:cs="Arial"/>
                <w:lang w:val="en-GB"/>
              </w:rPr>
            </w:pPr>
            <w:r w:rsidRPr="00E120AC">
              <w:rPr>
                <w:rFonts w:ascii="Arial" w:hAnsi="Arial" w:cs="Arial"/>
                <w:lang w:val="en-GB"/>
              </w:rPr>
              <w:t>4b. Toxicodynamics</w:t>
            </w:r>
          </w:p>
        </w:tc>
        <w:tc>
          <w:tcPr>
            <w:tcW w:w="795" w:type="dxa"/>
            <w:vAlign w:val="center"/>
          </w:tcPr>
          <w:p w14:paraId="0CD9DF23"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U</w:t>
            </w:r>
          </w:p>
        </w:tc>
        <w:tc>
          <w:tcPr>
            <w:tcW w:w="1239" w:type="dxa"/>
            <w:vAlign w:val="center"/>
          </w:tcPr>
          <w:p w14:paraId="1D5203F4"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13%</w:t>
            </w:r>
          </w:p>
        </w:tc>
        <w:tc>
          <w:tcPr>
            <w:tcW w:w="1239" w:type="dxa"/>
            <w:vAlign w:val="center"/>
          </w:tcPr>
          <w:p w14:paraId="6E6E70FE"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18%</w:t>
            </w:r>
          </w:p>
        </w:tc>
        <w:tc>
          <w:tcPr>
            <w:tcW w:w="1239" w:type="dxa"/>
            <w:vAlign w:val="center"/>
          </w:tcPr>
          <w:p w14:paraId="1DF1B9CF"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20%</w:t>
            </w:r>
          </w:p>
        </w:tc>
        <w:tc>
          <w:tcPr>
            <w:tcW w:w="1239" w:type="dxa"/>
            <w:vAlign w:val="center"/>
          </w:tcPr>
          <w:p w14:paraId="5D7205A7"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14%</w:t>
            </w:r>
          </w:p>
        </w:tc>
        <w:tc>
          <w:tcPr>
            <w:tcW w:w="1354" w:type="dxa"/>
            <w:vAlign w:val="center"/>
          </w:tcPr>
          <w:p w14:paraId="7A4FAE22"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8%</w:t>
            </w:r>
          </w:p>
        </w:tc>
        <w:tc>
          <w:tcPr>
            <w:tcW w:w="1354" w:type="dxa"/>
            <w:vAlign w:val="center"/>
          </w:tcPr>
          <w:p w14:paraId="5DD83FB7"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4%</w:t>
            </w:r>
          </w:p>
        </w:tc>
      </w:tr>
      <w:tr w:rsidR="001B1AA2" w:rsidRPr="00E120AC" w14:paraId="362DC83A" w14:textId="77777777" w:rsidTr="00B77CF5">
        <w:trPr>
          <w:trHeight w:val="227"/>
        </w:trPr>
        <w:tc>
          <w:tcPr>
            <w:tcW w:w="3408" w:type="dxa"/>
            <w:vMerge/>
          </w:tcPr>
          <w:p w14:paraId="4E2809E3" w14:textId="77777777" w:rsidR="001B1AA2" w:rsidRPr="00E120AC" w:rsidRDefault="001B1AA2" w:rsidP="00B77CF5">
            <w:pPr>
              <w:spacing w:line="480" w:lineRule="auto"/>
              <w:rPr>
                <w:rFonts w:ascii="Arial" w:hAnsi="Arial" w:cs="Arial"/>
                <w:lang w:val="en-GB"/>
              </w:rPr>
            </w:pPr>
          </w:p>
        </w:tc>
        <w:tc>
          <w:tcPr>
            <w:tcW w:w="795" w:type="dxa"/>
            <w:vAlign w:val="center"/>
          </w:tcPr>
          <w:p w14:paraId="7110161D"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IV</w:t>
            </w:r>
          </w:p>
        </w:tc>
        <w:tc>
          <w:tcPr>
            <w:tcW w:w="1239" w:type="dxa"/>
            <w:vAlign w:val="center"/>
          </w:tcPr>
          <w:p w14:paraId="112D4FC6"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10%; 24%</w:t>
            </w:r>
          </w:p>
        </w:tc>
        <w:tc>
          <w:tcPr>
            <w:tcW w:w="1239" w:type="dxa"/>
            <w:vAlign w:val="center"/>
          </w:tcPr>
          <w:p w14:paraId="125A0E83"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10%; 18%</w:t>
            </w:r>
          </w:p>
        </w:tc>
        <w:tc>
          <w:tcPr>
            <w:tcW w:w="1239" w:type="dxa"/>
            <w:vAlign w:val="center"/>
          </w:tcPr>
          <w:p w14:paraId="23EB782E"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13%; 21%</w:t>
            </w:r>
          </w:p>
        </w:tc>
        <w:tc>
          <w:tcPr>
            <w:tcW w:w="1239" w:type="dxa"/>
            <w:vAlign w:val="center"/>
          </w:tcPr>
          <w:p w14:paraId="1B6E4638"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8%; 11%</w:t>
            </w:r>
          </w:p>
        </w:tc>
        <w:tc>
          <w:tcPr>
            <w:tcW w:w="1354" w:type="dxa"/>
            <w:vAlign w:val="center"/>
          </w:tcPr>
          <w:p w14:paraId="70888D16"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8%; 10%</w:t>
            </w:r>
          </w:p>
        </w:tc>
        <w:tc>
          <w:tcPr>
            <w:tcW w:w="1354" w:type="dxa"/>
            <w:vAlign w:val="center"/>
          </w:tcPr>
          <w:p w14:paraId="41996E6B"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14%; 15%</w:t>
            </w:r>
          </w:p>
        </w:tc>
      </w:tr>
      <w:tr w:rsidR="001B1AA2" w:rsidRPr="00E120AC" w14:paraId="56E1E6D8" w14:textId="77777777" w:rsidTr="00B77CF5">
        <w:trPr>
          <w:trHeight w:val="227"/>
        </w:trPr>
        <w:tc>
          <w:tcPr>
            <w:tcW w:w="3408" w:type="dxa"/>
          </w:tcPr>
          <w:p w14:paraId="15672C3E" w14:textId="77777777" w:rsidR="001B1AA2" w:rsidRPr="00E120AC" w:rsidRDefault="001B1AA2" w:rsidP="00B77CF5">
            <w:pPr>
              <w:spacing w:line="480" w:lineRule="auto"/>
              <w:jc w:val="right"/>
              <w:rPr>
                <w:rFonts w:ascii="Arial" w:hAnsi="Arial" w:cs="Arial"/>
                <w:lang w:val="en-GB"/>
              </w:rPr>
            </w:pPr>
            <w:r w:rsidRPr="00E120AC">
              <w:rPr>
                <w:rFonts w:ascii="Arial" w:hAnsi="Arial" w:cs="Arial"/>
                <w:b/>
                <w:lang w:val="en-GB"/>
              </w:rPr>
              <w:t>Total contribution U</w:t>
            </w:r>
          </w:p>
        </w:tc>
        <w:tc>
          <w:tcPr>
            <w:tcW w:w="795" w:type="dxa"/>
            <w:vAlign w:val="center"/>
          </w:tcPr>
          <w:p w14:paraId="321911D4" w14:textId="77777777" w:rsidR="001B1AA2" w:rsidRPr="00E120AC" w:rsidRDefault="001B1AA2" w:rsidP="00B77CF5">
            <w:pPr>
              <w:spacing w:line="480" w:lineRule="auto"/>
              <w:jc w:val="center"/>
              <w:rPr>
                <w:rFonts w:ascii="Arial" w:hAnsi="Arial" w:cs="Arial"/>
                <w:lang w:val="en-GB"/>
              </w:rPr>
            </w:pPr>
          </w:p>
        </w:tc>
        <w:tc>
          <w:tcPr>
            <w:tcW w:w="1239" w:type="dxa"/>
            <w:vAlign w:val="center"/>
          </w:tcPr>
          <w:p w14:paraId="06CDBA8D"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86%; 76%</w:t>
            </w:r>
          </w:p>
        </w:tc>
        <w:tc>
          <w:tcPr>
            <w:tcW w:w="1239" w:type="dxa"/>
            <w:vAlign w:val="center"/>
          </w:tcPr>
          <w:p w14:paraId="1D7A601B"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76%; 79%</w:t>
            </w:r>
          </w:p>
        </w:tc>
        <w:tc>
          <w:tcPr>
            <w:tcW w:w="1239" w:type="dxa"/>
            <w:vAlign w:val="center"/>
          </w:tcPr>
          <w:p w14:paraId="7AC5BE14"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80%; 74%</w:t>
            </w:r>
          </w:p>
        </w:tc>
        <w:tc>
          <w:tcPr>
            <w:tcW w:w="1239" w:type="dxa"/>
            <w:vAlign w:val="center"/>
          </w:tcPr>
          <w:p w14:paraId="0F19F00B"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85%; 89%</w:t>
            </w:r>
          </w:p>
        </w:tc>
        <w:tc>
          <w:tcPr>
            <w:tcW w:w="1354" w:type="dxa"/>
            <w:vAlign w:val="center"/>
          </w:tcPr>
          <w:p w14:paraId="711A8353"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78%; 84%</w:t>
            </w:r>
          </w:p>
        </w:tc>
        <w:tc>
          <w:tcPr>
            <w:tcW w:w="1354" w:type="dxa"/>
            <w:vAlign w:val="center"/>
          </w:tcPr>
          <w:p w14:paraId="212D033C"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79%; 84%</w:t>
            </w:r>
          </w:p>
        </w:tc>
      </w:tr>
      <w:tr w:rsidR="001B1AA2" w:rsidRPr="00E120AC" w14:paraId="351690D3" w14:textId="77777777" w:rsidTr="00B77CF5">
        <w:trPr>
          <w:trHeight w:val="227"/>
        </w:trPr>
        <w:tc>
          <w:tcPr>
            <w:tcW w:w="3408" w:type="dxa"/>
          </w:tcPr>
          <w:p w14:paraId="3361C256" w14:textId="77777777" w:rsidR="001B1AA2" w:rsidRPr="00E120AC" w:rsidRDefault="001B1AA2" w:rsidP="00B77CF5">
            <w:pPr>
              <w:spacing w:line="480" w:lineRule="auto"/>
              <w:jc w:val="right"/>
              <w:rPr>
                <w:rFonts w:ascii="Arial" w:hAnsi="Arial" w:cs="Arial"/>
                <w:b/>
                <w:lang w:val="en-GB"/>
              </w:rPr>
            </w:pPr>
            <w:r w:rsidRPr="00E120AC">
              <w:rPr>
                <w:rFonts w:ascii="Arial" w:hAnsi="Arial" w:cs="Arial"/>
                <w:b/>
                <w:lang w:val="en-GB"/>
              </w:rPr>
              <w:t>Total contribution IV</w:t>
            </w:r>
          </w:p>
        </w:tc>
        <w:tc>
          <w:tcPr>
            <w:tcW w:w="795" w:type="dxa"/>
            <w:vAlign w:val="center"/>
          </w:tcPr>
          <w:p w14:paraId="48693D3A" w14:textId="77777777" w:rsidR="001B1AA2" w:rsidRPr="00E120AC" w:rsidRDefault="001B1AA2" w:rsidP="00B77CF5">
            <w:pPr>
              <w:spacing w:line="480" w:lineRule="auto"/>
              <w:jc w:val="center"/>
              <w:rPr>
                <w:rFonts w:ascii="Arial" w:hAnsi="Arial" w:cs="Arial"/>
                <w:b/>
                <w:lang w:val="en-GB"/>
              </w:rPr>
            </w:pPr>
          </w:p>
        </w:tc>
        <w:tc>
          <w:tcPr>
            <w:tcW w:w="1239" w:type="dxa"/>
            <w:vAlign w:val="center"/>
          </w:tcPr>
          <w:p w14:paraId="085EA7B3"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14%; 24%</w:t>
            </w:r>
          </w:p>
        </w:tc>
        <w:tc>
          <w:tcPr>
            <w:tcW w:w="1239" w:type="dxa"/>
            <w:vAlign w:val="center"/>
          </w:tcPr>
          <w:p w14:paraId="32543866"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24%; 21%</w:t>
            </w:r>
          </w:p>
        </w:tc>
        <w:tc>
          <w:tcPr>
            <w:tcW w:w="1239" w:type="dxa"/>
            <w:vAlign w:val="center"/>
          </w:tcPr>
          <w:p w14:paraId="640467A3"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20%; 26%</w:t>
            </w:r>
          </w:p>
        </w:tc>
        <w:tc>
          <w:tcPr>
            <w:tcW w:w="1239" w:type="dxa"/>
            <w:vAlign w:val="center"/>
          </w:tcPr>
          <w:p w14:paraId="1808B61A"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15%; 11%</w:t>
            </w:r>
          </w:p>
        </w:tc>
        <w:tc>
          <w:tcPr>
            <w:tcW w:w="1354" w:type="dxa"/>
            <w:vAlign w:val="center"/>
          </w:tcPr>
          <w:p w14:paraId="213ECDC7"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22%; 16%</w:t>
            </w:r>
          </w:p>
        </w:tc>
        <w:tc>
          <w:tcPr>
            <w:tcW w:w="1354" w:type="dxa"/>
            <w:vAlign w:val="center"/>
          </w:tcPr>
          <w:p w14:paraId="016905F7"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21%; 16%</w:t>
            </w:r>
          </w:p>
        </w:tc>
      </w:tr>
    </w:tbl>
    <w:p w14:paraId="10F6B315" w14:textId="77777777" w:rsidR="001B1AA2" w:rsidRDefault="001B1AA2" w:rsidP="00CB56E0">
      <w:pPr>
        <w:spacing w:after="0" w:line="480" w:lineRule="auto"/>
        <w:rPr>
          <w:rFonts w:ascii="Arial" w:hAnsi="Arial" w:cs="Arial"/>
          <w:i/>
        </w:rPr>
        <w:sectPr w:rsidR="001B1AA2" w:rsidSect="00E120AC">
          <w:pgSz w:w="16838" w:h="11906" w:orient="landscape"/>
          <w:pgMar w:top="1440" w:right="1440" w:bottom="1440" w:left="1440" w:header="708" w:footer="708" w:gutter="0"/>
          <w:lnNumType w:countBy="1" w:restart="continuous"/>
          <w:cols w:space="708"/>
          <w:docGrid w:linePitch="360"/>
        </w:sectPr>
      </w:pPr>
    </w:p>
    <w:p w14:paraId="45BF4786" w14:textId="0CB2D0B2" w:rsidR="00CB56E0" w:rsidRDefault="00CB56E0" w:rsidP="00CB56E0">
      <w:pPr>
        <w:spacing w:after="0" w:line="480" w:lineRule="auto"/>
        <w:rPr>
          <w:rFonts w:ascii="Arial" w:hAnsi="Arial" w:cs="Arial"/>
          <w:i/>
        </w:rPr>
      </w:pPr>
      <w:r w:rsidRPr="00447093">
        <w:rPr>
          <w:rFonts w:ascii="Arial" w:hAnsi="Arial" w:cs="Arial"/>
          <w:i/>
        </w:rPr>
        <w:lastRenderedPageBreak/>
        <w:t xml:space="preserve">Table </w:t>
      </w:r>
      <w:r w:rsidR="00156CF5">
        <w:rPr>
          <w:rFonts w:ascii="Arial" w:hAnsi="Arial" w:cs="Arial"/>
          <w:i/>
        </w:rPr>
        <w:t>SI3</w:t>
      </w:r>
      <w:r w:rsidRPr="00447093">
        <w:rPr>
          <w:rFonts w:ascii="Arial" w:hAnsi="Arial" w:cs="Arial"/>
          <w:i/>
        </w:rPr>
        <w:t>. Contribution of the extrapolation steps to the total variance in the</w:t>
      </w:r>
      <w:r>
        <w:rPr>
          <w:rFonts w:ascii="Arial" w:hAnsi="Arial" w:cs="Arial"/>
          <w:i/>
        </w:rPr>
        <w:t xml:space="preserve"> human dose</w:t>
      </w:r>
      <w:r w:rsidRPr="00447093">
        <w:rPr>
          <w:rFonts w:ascii="Arial" w:hAnsi="Arial" w:cs="Arial"/>
          <w:i/>
        </w:rPr>
        <w:t xml:space="preserve"> di</w:t>
      </w:r>
      <w:r>
        <w:rPr>
          <w:rFonts w:ascii="Arial" w:hAnsi="Arial" w:cs="Arial"/>
          <w:i/>
        </w:rPr>
        <w:t xml:space="preserve">stributions; methotrexate endpoint: red blood cell count; </w:t>
      </w:r>
      <w:r w:rsidR="001B1AA2">
        <w:rPr>
          <w:rFonts w:ascii="Arial" w:hAnsi="Arial" w:cs="Arial"/>
          <w:i/>
        </w:rPr>
        <w:t xml:space="preserve">exponential </w:t>
      </w:r>
      <w:r>
        <w:rPr>
          <w:rFonts w:ascii="Arial" w:hAnsi="Arial" w:cs="Arial"/>
          <w:i/>
        </w:rPr>
        <w:t>dose-response models.</w:t>
      </w:r>
      <w:r w:rsidR="008A60D5" w:rsidRPr="008A60D5">
        <w:rPr>
          <w:rFonts w:ascii="Arial" w:hAnsi="Arial" w:cs="Arial"/>
          <w:i/>
        </w:rPr>
        <w:t xml:space="preserve"> </w:t>
      </w:r>
      <w:r w:rsidR="008A60D5">
        <w:rPr>
          <w:rFonts w:ascii="Arial" w:hAnsi="Arial" w:cs="Arial"/>
          <w:i/>
        </w:rPr>
        <w:t>First percentages:</w:t>
      </w:r>
      <w:r w:rsidR="00C95E6C">
        <w:rPr>
          <w:rFonts w:ascii="Arial" w:hAnsi="Arial" w:cs="Arial"/>
          <w:i/>
        </w:rPr>
        <w:t xml:space="preserve"> contribution to total HD</w:t>
      </w:r>
      <w:r w:rsidR="00D41FCE" w:rsidRPr="00D41FCE">
        <w:rPr>
          <w:rFonts w:ascii="Arial" w:hAnsi="Arial" w:cs="Arial"/>
          <w:i/>
          <w:vertAlign w:val="subscript"/>
        </w:rPr>
        <w:t>M</w:t>
      </w:r>
      <w:r w:rsidR="00C95E6C">
        <w:rPr>
          <w:rFonts w:ascii="Arial" w:hAnsi="Arial" w:cs="Arial"/>
          <w:i/>
        </w:rPr>
        <w:t xml:space="preserve"> </w:t>
      </w:r>
      <w:r w:rsidR="008A60D5">
        <w:rPr>
          <w:rFonts w:ascii="Arial" w:hAnsi="Arial" w:cs="Arial"/>
          <w:i/>
        </w:rPr>
        <w:t>distribution; second percentages: contribution to lowest 10% of HD</w:t>
      </w:r>
      <w:r w:rsidR="00D41FCE" w:rsidRPr="00D41FCE">
        <w:rPr>
          <w:rFonts w:ascii="Arial" w:hAnsi="Arial" w:cs="Arial"/>
          <w:i/>
          <w:vertAlign w:val="subscript"/>
        </w:rPr>
        <w:t>M</w:t>
      </w:r>
      <w:r w:rsidR="008A60D5">
        <w:rPr>
          <w:rFonts w:ascii="Arial" w:hAnsi="Arial" w:cs="Arial"/>
          <w:i/>
        </w:rPr>
        <w:t>s.</w:t>
      </w:r>
    </w:p>
    <w:tbl>
      <w:tblPr>
        <w:tblStyle w:val="TableGrid"/>
        <w:tblW w:w="11879" w:type="dxa"/>
        <w:tblBorders>
          <w:insideH w:val="none" w:sz="0" w:space="0" w:color="auto"/>
          <w:insideV w:val="none" w:sz="0" w:space="0" w:color="auto"/>
        </w:tblBorders>
        <w:tblLook w:val="04A0" w:firstRow="1" w:lastRow="0" w:firstColumn="1" w:lastColumn="0" w:noHBand="0" w:noVBand="1"/>
      </w:tblPr>
      <w:tblGrid>
        <w:gridCol w:w="3408"/>
        <w:gridCol w:w="795"/>
        <w:gridCol w:w="1239"/>
        <w:gridCol w:w="1239"/>
        <w:gridCol w:w="1239"/>
        <w:gridCol w:w="1251"/>
        <w:gridCol w:w="1354"/>
        <w:gridCol w:w="1354"/>
      </w:tblGrid>
      <w:tr w:rsidR="001B1AA2" w:rsidRPr="00E120AC" w14:paraId="72D773D7" w14:textId="77777777" w:rsidTr="00B77CF5">
        <w:trPr>
          <w:trHeight w:val="227"/>
        </w:trPr>
        <w:tc>
          <w:tcPr>
            <w:tcW w:w="3408" w:type="dxa"/>
          </w:tcPr>
          <w:p w14:paraId="5DA62829" w14:textId="77777777" w:rsidR="001B1AA2" w:rsidRPr="00E120AC" w:rsidRDefault="001B1AA2" w:rsidP="00B77CF5">
            <w:pPr>
              <w:spacing w:line="480" w:lineRule="auto"/>
              <w:jc w:val="right"/>
              <w:rPr>
                <w:rFonts w:ascii="Arial" w:hAnsi="Arial" w:cs="Arial"/>
                <w:b/>
                <w:lang w:val="en-GB"/>
              </w:rPr>
            </w:pPr>
          </w:p>
        </w:tc>
        <w:tc>
          <w:tcPr>
            <w:tcW w:w="795" w:type="dxa"/>
          </w:tcPr>
          <w:p w14:paraId="4A5FA3F5" w14:textId="77777777" w:rsidR="001B1AA2" w:rsidRPr="00E120AC" w:rsidRDefault="001B1AA2" w:rsidP="00B77CF5">
            <w:pPr>
              <w:spacing w:line="480" w:lineRule="auto"/>
              <w:jc w:val="center"/>
              <w:rPr>
                <w:rFonts w:ascii="Arial" w:hAnsi="Arial" w:cs="Arial"/>
                <w:b/>
                <w:lang w:val="en-GB"/>
              </w:rPr>
            </w:pPr>
          </w:p>
        </w:tc>
        <w:tc>
          <w:tcPr>
            <w:tcW w:w="7676" w:type="dxa"/>
            <w:gridSpan w:val="6"/>
          </w:tcPr>
          <w:p w14:paraId="5221B988" w14:textId="77777777" w:rsidR="001B1AA2" w:rsidRPr="00E120AC" w:rsidRDefault="001B1AA2" w:rsidP="00B77CF5">
            <w:pPr>
              <w:spacing w:line="480" w:lineRule="auto"/>
              <w:jc w:val="center"/>
              <w:rPr>
                <w:rFonts w:ascii="Arial" w:hAnsi="Arial" w:cs="Arial"/>
                <w:b/>
                <w:lang w:val="en-GB"/>
              </w:rPr>
            </w:pPr>
            <w:r w:rsidRPr="00E120AC">
              <w:rPr>
                <w:rFonts w:ascii="Arial" w:hAnsi="Arial" w:cs="Arial"/>
                <w:b/>
                <w:lang w:val="en-GB"/>
              </w:rPr>
              <w:t xml:space="preserve">Contribution to variance in </w:t>
            </w:r>
            <w:r>
              <w:rPr>
                <w:rFonts w:ascii="Arial" w:hAnsi="Arial" w:cs="Arial"/>
                <w:b/>
                <w:lang w:val="en-GB"/>
              </w:rPr>
              <w:t>HD</w:t>
            </w:r>
            <w:r w:rsidRPr="00D41FCE">
              <w:rPr>
                <w:rFonts w:ascii="Arial" w:hAnsi="Arial" w:cs="Arial"/>
                <w:b/>
                <w:vertAlign w:val="subscript"/>
                <w:lang w:val="en-GB"/>
              </w:rPr>
              <w:t>M</w:t>
            </w:r>
            <w:r>
              <w:rPr>
                <w:rFonts w:ascii="Arial" w:hAnsi="Arial" w:cs="Arial"/>
                <w:b/>
                <w:lang w:val="en-GB"/>
              </w:rPr>
              <w:t xml:space="preserve"> </w:t>
            </w:r>
            <w:r w:rsidRPr="00E120AC">
              <w:rPr>
                <w:rFonts w:ascii="Arial" w:hAnsi="Arial" w:cs="Arial"/>
                <w:b/>
                <w:lang w:val="en-GB"/>
              </w:rPr>
              <w:t>distribution</w:t>
            </w:r>
          </w:p>
        </w:tc>
      </w:tr>
      <w:tr w:rsidR="001B1AA2" w:rsidRPr="00E120AC" w14:paraId="48D44F51" w14:textId="77777777" w:rsidTr="00B77CF5">
        <w:trPr>
          <w:trHeight w:val="227"/>
        </w:trPr>
        <w:tc>
          <w:tcPr>
            <w:tcW w:w="3408" w:type="dxa"/>
          </w:tcPr>
          <w:p w14:paraId="4E83EC5A" w14:textId="77777777" w:rsidR="001B1AA2" w:rsidRPr="00E120AC" w:rsidRDefault="001B1AA2" w:rsidP="00B77CF5">
            <w:pPr>
              <w:spacing w:line="480" w:lineRule="auto"/>
              <w:jc w:val="right"/>
              <w:rPr>
                <w:rFonts w:ascii="Arial" w:hAnsi="Arial" w:cs="Arial"/>
                <w:b/>
                <w:lang w:val="en-GB"/>
              </w:rPr>
            </w:pPr>
          </w:p>
        </w:tc>
        <w:tc>
          <w:tcPr>
            <w:tcW w:w="795" w:type="dxa"/>
          </w:tcPr>
          <w:p w14:paraId="360F0C3E" w14:textId="77777777" w:rsidR="001B1AA2" w:rsidRPr="00E120AC" w:rsidRDefault="001B1AA2" w:rsidP="00B77CF5">
            <w:pPr>
              <w:spacing w:line="480" w:lineRule="auto"/>
              <w:jc w:val="center"/>
              <w:rPr>
                <w:rFonts w:ascii="Arial" w:hAnsi="Arial" w:cs="Arial"/>
                <w:b/>
                <w:lang w:val="en-GB"/>
              </w:rPr>
            </w:pPr>
          </w:p>
        </w:tc>
        <w:tc>
          <w:tcPr>
            <w:tcW w:w="3717" w:type="dxa"/>
            <w:gridSpan w:val="3"/>
          </w:tcPr>
          <w:p w14:paraId="7A556E4D" w14:textId="77777777" w:rsidR="001B1AA2" w:rsidRPr="00E120AC" w:rsidRDefault="001B1AA2" w:rsidP="00B77CF5">
            <w:pPr>
              <w:spacing w:line="480" w:lineRule="auto"/>
              <w:jc w:val="center"/>
              <w:rPr>
                <w:rFonts w:ascii="Arial" w:hAnsi="Arial" w:cs="Arial"/>
                <w:b/>
                <w:lang w:val="en-GB"/>
              </w:rPr>
            </w:pPr>
            <w:r w:rsidRPr="00E120AC">
              <w:rPr>
                <w:rFonts w:ascii="Arial" w:hAnsi="Arial" w:cs="Arial"/>
                <w:b/>
                <w:lang w:val="en-GB"/>
              </w:rPr>
              <w:t>Methotrexate</w:t>
            </w:r>
          </w:p>
        </w:tc>
        <w:tc>
          <w:tcPr>
            <w:tcW w:w="3959" w:type="dxa"/>
            <w:gridSpan w:val="3"/>
          </w:tcPr>
          <w:p w14:paraId="3A7580A0" w14:textId="77777777" w:rsidR="001B1AA2" w:rsidRPr="00E120AC" w:rsidRDefault="001B1AA2" w:rsidP="00B77CF5">
            <w:pPr>
              <w:spacing w:line="480" w:lineRule="auto"/>
              <w:jc w:val="center"/>
              <w:rPr>
                <w:rFonts w:ascii="Arial" w:hAnsi="Arial" w:cs="Arial"/>
                <w:b/>
                <w:lang w:val="en-GB"/>
              </w:rPr>
            </w:pPr>
            <w:r w:rsidRPr="00E120AC">
              <w:rPr>
                <w:rFonts w:ascii="Arial" w:hAnsi="Arial" w:cs="Arial"/>
                <w:b/>
                <w:lang w:val="en-GB"/>
              </w:rPr>
              <w:t>Ciprofloxacin</w:t>
            </w:r>
          </w:p>
        </w:tc>
      </w:tr>
      <w:tr w:rsidR="001B1AA2" w:rsidRPr="00E120AC" w14:paraId="2290C092" w14:textId="77777777" w:rsidTr="00B77CF5">
        <w:trPr>
          <w:trHeight w:val="227"/>
        </w:trPr>
        <w:tc>
          <w:tcPr>
            <w:tcW w:w="3408" w:type="dxa"/>
          </w:tcPr>
          <w:p w14:paraId="13F3C46C" w14:textId="77777777" w:rsidR="001B1AA2" w:rsidRPr="00E120AC" w:rsidRDefault="001B1AA2" w:rsidP="00B77CF5">
            <w:pPr>
              <w:spacing w:line="480" w:lineRule="auto"/>
              <w:jc w:val="right"/>
              <w:rPr>
                <w:rFonts w:ascii="Arial" w:hAnsi="Arial" w:cs="Arial"/>
                <w:b/>
                <w:lang w:val="en-GB"/>
              </w:rPr>
            </w:pPr>
            <w:r w:rsidRPr="00E120AC">
              <w:rPr>
                <w:rFonts w:ascii="Arial" w:hAnsi="Arial" w:cs="Arial"/>
                <w:b/>
                <w:lang w:val="en-GB"/>
              </w:rPr>
              <w:t>Extrapolation step</w:t>
            </w:r>
          </w:p>
        </w:tc>
        <w:tc>
          <w:tcPr>
            <w:tcW w:w="795" w:type="dxa"/>
          </w:tcPr>
          <w:p w14:paraId="09C32F97" w14:textId="77777777" w:rsidR="001B1AA2" w:rsidRPr="00E120AC" w:rsidRDefault="001B1AA2" w:rsidP="00B77CF5">
            <w:pPr>
              <w:spacing w:line="480" w:lineRule="auto"/>
              <w:jc w:val="center"/>
              <w:rPr>
                <w:rFonts w:ascii="Arial" w:hAnsi="Arial" w:cs="Arial"/>
                <w:b/>
                <w:lang w:val="en-GB"/>
              </w:rPr>
            </w:pPr>
            <w:r w:rsidRPr="00E120AC">
              <w:rPr>
                <w:rFonts w:ascii="Arial" w:hAnsi="Arial" w:cs="Arial"/>
                <w:b/>
                <w:lang w:val="en-GB"/>
              </w:rPr>
              <w:t>Type</w:t>
            </w:r>
          </w:p>
        </w:tc>
        <w:tc>
          <w:tcPr>
            <w:tcW w:w="1239" w:type="dxa"/>
          </w:tcPr>
          <w:p w14:paraId="20056ADB" w14:textId="77777777" w:rsidR="001B1AA2" w:rsidRPr="00E120AC" w:rsidRDefault="001B1AA2" w:rsidP="00B77CF5">
            <w:pPr>
              <w:spacing w:line="480" w:lineRule="auto"/>
              <w:jc w:val="center"/>
              <w:rPr>
                <w:rFonts w:ascii="Arial" w:hAnsi="Arial" w:cs="Arial"/>
                <w:b/>
                <w:lang w:val="en-GB"/>
              </w:rPr>
            </w:pPr>
            <w:r w:rsidRPr="00E120AC">
              <w:rPr>
                <w:rFonts w:ascii="Arial" w:hAnsi="Arial" w:cs="Arial"/>
                <w:b/>
                <w:lang w:val="en-GB"/>
              </w:rPr>
              <w:t>Adult</w:t>
            </w:r>
          </w:p>
        </w:tc>
        <w:tc>
          <w:tcPr>
            <w:tcW w:w="1239" w:type="dxa"/>
          </w:tcPr>
          <w:p w14:paraId="0AE1137A" w14:textId="77777777" w:rsidR="001B1AA2" w:rsidRPr="00E120AC" w:rsidRDefault="001B1AA2" w:rsidP="00B77CF5">
            <w:pPr>
              <w:spacing w:line="480" w:lineRule="auto"/>
              <w:jc w:val="center"/>
              <w:rPr>
                <w:rFonts w:ascii="Arial" w:hAnsi="Arial" w:cs="Arial"/>
                <w:b/>
                <w:lang w:val="en-GB"/>
              </w:rPr>
            </w:pPr>
            <w:r>
              <w:rPr>
                <w:rFonts w:ascii="Arial" w:hAnsi="Arial" w:cs="Arial"/>
                <w:b/>
                <w:lang w:val="en-GB"/>
              </w:rPr>
              <w:t>Children</w:t>
            </w:r>
          </w:p>
        </w:tc>
        <w:tc>
          <w:tcPr>
            <w:tcW w:w="1239" w:type="dxa"/>
          </w:tcPr>
          <w:p w14:paraId="77B4E078" w14:textId="77777777" w:rsidR="001B1AA2" w:rsidRPr="00E120AC" w:rsidRDefault="001B1AA2" w:rsidP="00B77CF5">
            <w:pPr>
              <w:spacing w:line="480" w:lineRule="auto"/>
              <w:jc w:val="center"/>
              <w:rPr>
                <w:rFonts w:ascii="Arial" w:hAnsi="Arial" w:cs="Arial"/>
                <w:b/>
                <w:lang w:val="en-GB"/>
              </w:rPr>
            </w:pPr>
            <w:r w:rsidRPr="00E120AC">
              <w:rPr>
                <w:rFonts w:ascii="Arial" w:hAnsi="Arial" w:cs="Arial"/>
                <w:b/>
                <w:lang w:val="en-GB"/>
              </w:rPr>
              <w:t>Default</w:t>
            </w:r>
          </w:p>
        </w:tc>
        <w:tc>
          <w:tcPr>
            <w:tcW w:w="1251" w:type="dxa"/>
          </w:tcPr>
          <w:p w14:paraId="711461CA" w14:textId="77777777" w:rsidR="001B1AA2" w:rsidRPr="00E120AC" w:rsidRDefault="001B1AA2" w:rsidP="00B77CF5">
            <w:pPr>
              <w:spacing w:line="480" w:lineRule="auto"/>
              <w:jc w:val="center"/>
              <w:rPr>
                <w:rFonts w:ascii="Arial" w:hAnsi="Arial" w:cs="Arial"/>
                <w:b/>
                <w:lang w:val="en-GB"/>
              </w:rPr>
            </w:pPr>
            <w:r w:rsidRPr="00E120AC">
              <w:rPr>
                <w:rFonts w:ascii="Arial" w:hAnsi="Arial" w:cs="Arial"/>
                <w:b/>
                <w:lang w:val="en-GB"/>
              </w:rPr>
              <w:t>Adult</w:t>
            </w:r>
          </w:p>
        </w:tc>
        <w:tc>
          <w:tcPr>
            <w:tcW w:w="1354" w:type="dxa"/>
          </w:tcPr>
          <w:p w14:paraId="35F86883" w14:textId="77777777" w:rsidR="001B1AA2" w:rsidRPr="00E120AC" w:rsidRDefault="001B1AA2" w:rsidP="00B77CF5">
            <w:pPr>
              <w:spacing w:line="480" w:lineRule="auto"/>
              <w:jc w:val="center"/>
              <w:rPr>
                <w:rFonts w:ascii="Arial" w:hAnsi="Arial" w:cs="Arial"/>
                <w:b/>
                <w:lang w:val="en-GB"/>
              </w:rPr>
            </w:pPr>
            <w:r>
              <w:rPr>
                <w:rFonts w:ascii="Arial" w:hAnsi="Arial" w:cs="Arial"/>
                <w:b/>
                <w:lang w:val="en-GB"/>
              </w:rPr>
              <w:t>Children</w:t>
            </w:r>
          </w:p>
        </w:tc>
        <w:tc>
          <w:tcPr>
            <w:tcW w:w="1354" w:type="dxa"/>
          </w:tcPr>
          <w:p w14:paraId="15CE333F" w14:textId="77777777" w:rsidR="001B1AA2" w:rsidRPr="00E120AC" w:rsidRDefault="001B1AA2" w:rsidP="00B77CF5">
            <w:pPr>
              <w:spacing w:line="480" w:lineRule="auto"/>
              <w:jc w:val="center"/>
              <w:rPr>
                <w:rFonts w:ascii="Arial" w:hAnsi="Arial" w:cs="Arial"/>
                <w:b/>
                <w:lang w:val="en-GB"/>
              </w:rPr>
            </w:pPr>
            <w:r w:rsidRPr="00E120AC">
              <w:rPr>
                <w:rFonts w:ascii="Arial" w:hAnsi="Arial" w:cs="Arial"/>
                <w:b/>
                <w:lang w:val="en-GB"/>
              </w:rPr>
              <w:t>Default</w:t>
            </w:r>
          </w:p>
        </w:tc>
      </w:tr>
      <w:tr w:rsidR="001B1AA2" w:rsidRPr="00E120AC" w14:paraId="303B43A1" w14:textId="77777777" w:rsidTr="00B77CF5">
        <w:trPr>
          <w:trHeight w:val="227"/>
        </w:trPr>
        <w:tc>
          <w:tcPr>
            <w:tcW w:w="3408" w:type="dxa"/>
          </w:tcPr>
          <w:p w14:paraId="26385BDC" w14:textId="77777777" w:rsidR="001B1AA2" w:rsidRPr="00E120AC" w:rsidRDefault="001B1AA2" w:rsidP="00B77CF5">
            <w:pPr>
              <w:spacing w:line="480" w:lineRule="auto"/>
              <w:jc w:val="right"/>
              <w:rPr>
                <w:rFonts w:ascii="Arial" w:hAnsi="Arial" w:cs="Arial"/>
                <w:lang w:val="en-GB"/>
              </w:rPr>
            </w:pPr>
            <w:r w:rsidRPr="00E120AC">
              <w:rPr>
                <w:rFonts w:ascii="Arial" w:hAnsi="Arial" w:cs="Arial"/>
                <w:lang w:val="en-GB"/>
              </w:rPr>
              <w:t>1. PoD derivation</w:t>
            </w:r>
          </w:p>
        </w:tc>
        <w:tc>
          <w:tcPr>
            <w:tcW w:w="795" w:type="dxa"/>
            <w:vAlign w:val="center"/>
          </w:tcPr>
          <w:p w14:paraId="5B28D0F3"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U</w:t>
            </w:r>
          </w:p>
        </w:tc>
        <w:tc>
          <w:tcPr>
            <w:tcW w:w="1239" w:type="dxa"/>
            <w:shd w:val="clear" w:color="auto" w:fill="auto"/>
            <w:vAlign w:val="center"/>
          </w:tcPr>
          <w:p w14:paraId="47E4E5CD"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4%; 6%</w:t>
            </w:r>
          </w:p>
        </w:tc>
        <w:tc>
          <w:tcPr>
            <w:tcW w:w="1239" w:type="dxa"/>
            <w:vAlign w:val="center"/>
          </w:tcPr>
          <w:p w14:paraId="3350B60D"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4%; 1%</w:t>
            </w:r>
          </w:p>
        </w:tc>
        <w:tc>
          <w:tcPr>
            <w:tcW w:w="1239" w:type="dxa"/>
            <w:vAlign w:val="center"/>
          </w:tcPr>
          <w:p w14:paraId="3A64DCA0"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3%; 1%</w:t>
            </w:r>
          </w:p>
        </w:tc>
        <w:tc>
          <w:tcPr>
            <w:tcW w:w="1251" w:type="dxa"/>
            <w:vAlign w:val="center"/>
          </w:tcPr>
          <w:p w14:paraId="4A70C00A"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6%; 23%</w:t>
            </w:r>
          </w:p>
        </w:tc>
        <w:tc>
          <w:tcPr>
            <w:tcW w:w="1354" w:type="dxa"/>
            <w:shd w:val="clear" w:color="auto" w:fill="auto"/>
            <w:vAlign w:val="center"/>
          </w:tcPr>
          <w:p w14:paraId="62841845"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6%; 16%</w:t>
            </w:r>
          </w:p>
        </w:tc>
        <w:tc>
          <w:tcPr>
            <w:tcW w:w="1354" w:type="dxa"/>
            <w:vAlign w:val="center"/>
          </w:tcPr>
          <w:p w14:paraId="00A40AB4"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5%; 22%</w:t>
            </w:r>
          </w:p>
        </w:tc>
      </w:tr>
      <w:tr w:rsidR="001B1AA2" w:rsidRPr="00E120AC" w14:paraId="61AD27B0" w14:textId="77777777" w:rsidTr="00B77CF5">
        <w:trPr>
          <w:trHeight w:val="227"/>
        </w:trPr>
        <w:tc>
          <w:tcPr>
            <w:tcW w:w="3408" w:type="dxa"/>
          </w:tcPr>
          <w:p w14:paraId="6C9E3FB8" w14:textId="77777777" w:rsidR="001B1AA2" w:rsidRPr="00E120AC" w:rsidRDefault="001B1AA2" w:rsidP="00B77CF5">
            <w:pPr>
              <w:spacing w:line="480" w:lineRule="auto"/>
              <w:jc w:val="right"/>
              <w:rPr>
                <w:rFonts w:ascii="Arial" w:hAnsi="Arial" w:cs="Arial"/>
                <w:lang w:val="en-GB"/>
              </w:rPr>
            </w:pPr>
            <w:r w:rsidRPr="00E120AC">
              <w:rPr>
                <w:rFonts w:ascii="Arial" w:hAnsi="Arial" w:cs="Arial"/>
                <w:lang w:val="en-GB"/>
              </w:rPr>
              <w:t>2. Sub-acute/chronic</w:t>
            </w:r>
          </w:p>
        </w:tc>
        <w:tc>
          <w:tcPr>
            <w:tcW w:w="795" w:type="dxa"/>
            <w:vAlign w:val="center"/>
          </w:tcPr>
          <w:p w14:paraId="0DFF5F15"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U</w:t>
            </w:r>
          </w:p>
        </w:tc>
        <w:tc>
          <w:tcPr>
            <w:tcW w:w="1239" w:type="dxa"/>
            <w:shd w:val="clear" w:color="auto" w:fill="auto"/>
            <w:vAlign w:val="center"/>
          </w:tcPr>
          <w:p w14:paraId="18EF73C9"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65%; 43%</w:t>
            </w:r>
          </w:p>
        </w:tc>
        <w:tc>
          <w:tcPr>
            <w:tcW w:w="1239" w:type="dxa"/>
            <w:shd w:val="clear" w:color="auto" w:fill="auto"/>
            <w:vAlign w:val="center"/>
          </w:tcPr>
          <w:p w14:paraId="3539A09D"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57%; 40%</w:t>
            </w:r>
          </w:p>
        </w:tc>
        <w:tc>
          <w:tcPr>
            <w:tcW w:w="1239" w:type="dxa"/>
            <w:vAlign w:val="center"/>
          </w:tcPr>
          <w:p w14:paraId="7ED38285"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60%; 44%</w:t>
            </w:r>
          </w:p>
        </w:tc>
        <w:tc>
          <w:tcPr>
            <w:tcW w:w="1251" w:type="dxa"/>
            <w:vAlign w:val="center"/>
          </w:tcPr>
          <w:p w14:paraId="13432034"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61%; 33%</w:t>
            </w:r>
          </w:p>
        </w:tc>
        <w:tc>
          <w:tcPr>
            <w:tcW w:w="1354" w:type="dxa"/>
            <w:vAlign w:val="center"/>
          </w:tcPr>
          <w:p w14:paraId="11373659"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56%; 33%</w:t>
            </w:r>
          </w:p>
        </w:tc>
        <w:tc>
          <w:tcPr>
            <w:tcW w:w="1354" w:type="dxa"/>
            <w:vAlign w:val="center"/>
          </w:tcPr>
          <w:p w14:paraId="0E2CA470"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57%; 35%</w:t>
            </w:r>
          </w:p>
        </w:tc>
      </w:tr>
      <w:tr w:rsidR="001B1AA2" w:rsidRPr="00E120AC" w14:paraId="58EB7C46" w14:textId="77777777" w:rsidTr="00B77CF5">
        <w:trPr>
          <w:trHeight w:val="227"/>
        </w:trPr>
        <w:tc>
          <w:tcPr>
            <w:tcW w:w="3408" w:type="dxa"/>
          </w:tcPr>
          <w:p w14:paraId="4AD88452" w14:textId="77777777" w:rsidR="001B1AA2" w:rsidRPr="00E120AC" w:rsidRDefault="001B1AA2" w:rsidP="00B77CF5">
            <w:pPr>
              <w:spacing w:line="480" w:lineRule="auto"/>
              <w:jc w:val="right"/>
              <w:rPr>
                <w:rFonts w:ascii="Arial" w:hAnsi="Arial" w:cs="Arial"/>
                <w:lang w:val="en-GB"/>
              </w:rPr>
            </w:pPr>
            <w:r w:rsidRPr="00E120AC">
              <w:rPr>
                <w:rFonts w:ascii="Arial" w:hAnsi="Arial" w:cs="Arial"/>
                <w:lang w:val="en-GB"/>
              </w:rPr>
              <w:t>3a. Allometric scaling factor</w:t>
            </w:r>
          </w:p>
        </w:tc>
        <w:tc>
          <w:tcPr>
            <w:tcW w:w="795" w:type="dxa"/>
            <w:vAlign w:val="center"/>
          </w:tcPr>
          <w:p w14:paraId="6F592184"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U</w:t>
            </w:r>
          </w:p>
        </w:tc>
        <w:tc>
          <w:tcPr>
            <w:tcW w:w="1239" w:type="dxa"/>
            <w:vAlign w:val="center"/>
          </w:tcPr>
          <w:p w14:paraId="4967BC17"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2%</w:t>
            </w:r>
          </w:p>
        </w:tc>
        <w:tc>
          <w:tcPr>
            <w:tcW w:w="1239" w:type="dxa"/>
            <w:shd w:val="clear" w:color="auto" w:fill="auto"/>
            <w:vAlign w:val="center"/>
          </w:tcPr>
          <w:p w14:paraId="2BA79101"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&lt;1%</w:t>
            </w:r>
          </w:p>
        </w:tc>
        <w:tc>
          <w:tcPr>
            <w:tcW w:w="1239" w:type="dxa"/>
            <w:vAlign w:val="center"/>
          </w:tcPr>
          <w:p w14:paraId="56729440"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&lt;1%</w:t>
            </w:r>
          </w:p>
        </w:tc>
        <w:tc>
          <w:tcPr>
            <w:tcW w:w="1251" w:type="dxa"/>
            <w:vAlign w:val="center"/>
          </w:tcPr>
          <w:p w14:paraId="04AE40A2"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&lt;1%</w:t>
            </w:r>
          </w:p>
        </w:tc>
        <w:tc>
          <w:tcPr>
            <w:tcW w:w="1354" w:type="dxa"/>
            <w:vAlign w:val="center"/>
          </w:tcPr>
          <w:p w14:paraId="2BF2311D"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&lt;1%</w:t>
            </w:r>
          </w:p>
        </w:tc>
        <w:tc>
          <w:tcPr>
            <w:tcW w:w="1354" w:type="dxa"/>
            <w:vAlign w:val="center"/>
          </w:tcPr>
          <w:p w14:paraId="0552EA19"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&lt;1%</w:t>
            </w:r>
          </w:p>
        </w:tc>
      </w:tr>
      <w:tr w:rsidR="001B1AA2" w:rsidRPr="00E120AC" w14:paraId="181F6B78" w14:textId="77777777" w:rsidTr="00B77CF5">
        <w:trPr>
          <w:trHeight w:val="227"/>
        </w:trPr>
        <w:tc>
          <w:tcPr>
            <w:tcW w:w="3408" w:type="dxa"/>
          </w:tcPr>
          <w:p w14:paraId="5D0B764D" w14:textId="77777777" w:rsidR="001B1AA2" w:rsidRPr="00E120AC" w:rsidRDefault="001B1AA2" w:rsidP="00B77CF5">
            <w:pPr>
              <w:spacing w:line="480" w:lineRule="auto"/>
              <w:jc w:val="right"/>
              <w:rPr>
                <w:rFonts w:ascii="Arial" w:hAnsi="Arial" w:cs="Arial"/>
                <w:lang w:val="en-GB"/>
              </w:rPr>
            </w:pPr>
            <w:r w:rsidRPr="00E120AC">
              <w:rPr>
                <w:rFonts w:ascii="Arial" w:hAnsi="Arial" w:cs="Arial"/>
                <w:lang w:val="en-GB"/>
              </w:rPr>
              <w:t>3b. Remaining interspecies diff.</w:t>
            </w:r>
          </w:p>
        </w:tc>
        <w:tc>
          <w:tcPr>
            <w:tcW w:w="795" w:type="dxa"/>
            <w:vAlign w:val="center"/>
          </w:tcPr>
          <w:p w14:paraId="1BC63EE4"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U</w:t>
            </w:r>
          </w:p>
        </w:tc>
        <w:tc>
          <w:tcPr>
            <w:tcW w:w="1239" w:type="dxa"/>
            <w:vAlign w:val="center"/>
          </w:tcPr>
          <w:p w14:paraId="1F677F48"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17%; 13%</w:t>
            </w:r>
          </w:p>
        </w:tc>
        <w:tc>
          <w:tcPr>
            <w:tcW w:w="1239" w:type="dxa"/>
            <w:shd w:val="clear" w:color="auto" w:fill="auto"/>
            <w:vAlign w:val="center"/>
          </w:tcPr>
          <w:p w14:paraId="608AA773"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15%; 16%</w:t>
            </w:r>
          </w:p>
        </w:tc>
        <w:tc>
          <w:tcPr>
            <w:tcW w:w="1239" w:type="dxa"/>
            <w:vAlign w:val="center"/>
          </w:tcPr>
          <w:p w14:paraId="4246CCC1"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16%; 4%</w:t>
            </w:r>
          </w:p>
        </w:tc>
        <w:tc>
          <w:tcPr>
            <w:tcW w:w="1251" w:type="dxa"/>
            <w:vAlign w:val="center"/>
          </w:tcPr>
          <w:p w14:paraId="3129EA1F"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17%; 6%</w:t>
            </w:r>
          </w:p>
        </w:tc>
        <w:tc>
          <w:tcPr>
            <w:tcW w:w="1354" w:type="dxa"/>
            <w:vAlign w:val="center"/>
          </w:tcPr>
          <w:p w14:paraId="30077138"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16%; 6%</w:t>
            </w:r>
          </w:p>
        </w:tc>
        <w:tc>
          <w:tcPr>
            <w:tcW w:w="1354" w:type="dxa"/>
            <w:vAlign w:val="center"/>
          </w:tcPr>
          <w:p w14:paraId="288F2F89"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16%; 4%</w:t>
            </w:r>
          </w:p>
        </w:tc>
      </w:tr>
      <w:tr w:rsidR="001B1AA2" w:rsidRPr="00E120AC" w14:paraId="5077F8A9" w14:textId="77777777" w:rsidTr="00B77CF5">
        <w:trPr>
          <w:trHeight w:val="227"/>
        </w:trPr>
        <w:tc>
          <w:tcPr>
            <w:tcW w:w="3408" w:type="dxa"/>
            <w:vMerge w:val="restart"/>
          </w:tcPr>
          <w:p w14:paraId="086AA620" w14:textId="77777777" w:rsidR="001B1AA2" w:rsidRPr="00E120AC" w:rsidRDefault="001B1AA2" w:rsidP="00B77CF5">
            <w:pPr>
              <w:spacing w:line="480" w:lineRule="auto"/>
              <w:jc w:val="right"/>
              <w:rPr>
                <w:rFonts w:ascii="Arial" w:hAnsi="Arial" w:cs="Arial"/>
                <w:lang w:val="en-GB"/>
              </w:rPr>
            </w:pPr>
            <w:r w:rsidRPr="00E120AC">
              <w:rPr>
                <w:rFonts w:ascii="Arial" w:hAnsi="Arial" w:cs="Arial"/>
                <w:lang w:val="en-GB"/>
              </w:rPr>
              <w:t>4a. Toxicokinetics</w:t>
            </w:r>
          </w:p>
        </w:tc>
        <w:tc>
          <w:tcPr>
            <w:tcW w:w="795" w:type="dxa"/>
            <w:vAlign w:val="center"/>
          </w:tcPr>
          <w:p w14:paraId="7E73D0B2"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U</w:t>
            </w:r>
          </w:p>
        </w:tc>
        <w:tc>
          <w:tcPr>
            <w:tcW w:w="1239" w:type="dxa"/>
            <w:vAlign w:val="center"/>
          </w:tcPr>
          <w:p w14:paraId="3C1A29E9"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1%</w:t>
            </w:r>
          </w:p>
        </w:tc>
        <w:tc>
          <w:tcPr>
            <w:tcW w:w="1239" w:type="dxa"/>
            <w:vAlign w:val="center"/>
          </w:tcPr>
          <w:p w14:paraId="52C6A330"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&lt;1%</w:t>
            </w:r>
          </w:p>
        </w:tc>
        <w:tc>
          <w:tcPr>
            <w:tcW w:w="1239" w:type="dxa"/>
            <w:vAlign w:val="center"/>
          </w:tcPr>
          <w:p w14:paraId="296F5695"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1%</w:t>
            </w:r>
          </w:p>
        </w:tc>
        <w:tc>
          <w:tcPr>
            <w:tcW w:w="1251" w:type="dxa"/>
            <w:shd w:val="clear" w:color="auto" w:fill="auto"/>
            <w:vAlign w:val="center"/>
          </w:tcPr>
          <w:p w14:paraId="2F596C6B"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2%</w:t>
            </w:r>
          </w:p>
        </w:tc>
        <w:tc>
          <w:tcPr>
            <w:tcW w:w="1354" w:type="dxa"/>
            <w:vAlign w:val="center"/>
          </w:tcPr>
          <w:p w14:paraId="14A119FE"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1%</w:t>
            </w:r>
          </w:p>
        </w:tc>
        <w:tc>
          <w:tcPr>
            <w:tcW w:w="1354" w:type="dxa"/>
            <w:vAlign w:val="center"/>
          </w:tcPr>
          <w:p w14:paraId="036EE5F1"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3%</w:t>
            </w:r>
          </w:p>
        </w:tc>
      </w:tr>
      <w:tr w:rsidR="001B1AA2" w:rsidRPr="00E120AC" w14:paraId="2A8BE5A7" w14:textId="77777777" w:rsidTr="00B77CF5">
        <w:trPr>
          <w:trHeight w:val="227"/>
        </w:trPr>
        <w:tc>
          <w:tcPr>
            <w:tcW w:w="3408" w:type="dxa"/>
            <w:vMerge/>
          </w:tcPr>
          <w:p w14:paraId="258B4862" w14:textId="77777777" w:rsidR="001B1AA2" w:rsidRPr="00E120AC" w:rsidRDefault="001B1AA2" w:rsidP="00B77CF5">
            <w:pPr>
              <w:spacing w:line="480" w:lineRule="auto"/>
              <w:jc w:val="right"/>
              <w:rPr>
                <w:rFonts w:ascii="Arial" w:hAnsi="Arial" w:cs="Arial"/>
                <w:lang w:val="en-GB"/>
              </w:rPr>
            </w:pPr>
          </w:p>
        </w:tc>
        <w:tc>
          <w:tcPr>
            <w:tcW w:w="795" w:type="dxa"/>
            <w:vAlign w:val="center"/>
          </w:tcPr>
          <w:p w14:paraId="6B649B09"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IV</w:t>
            </w:r>
          </w:p>
        </w:tc>
        <w:tc>
          <w:tcPr>
            <w:tcW w:w="1239" w:type="dxa"/>
            <w:vAlign w:val="center"/>
          </w:tcPr>
          <w:p w14:paraId="0D9C9465"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4%; &lt;1%</w:t>
            </w:r>
          </w:p>
        </w:tc>
        <w:tc>
          <w:tcPr>
            <w:tcW w:w="1239" w:type="dxa"/>
            <w:vAlign w:val="center"/>
          </w:tcPr>
          <w:p w14:paraId="4AF59E5D"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14%; 4%</w:t>
            </w:r>
          </w:p>
        </w:tc>
        <w:tc>
          <w:tcPr>
            <w:tcW w:w="1239" w:type="dxa"/>
            <w:vAlign w:val="center"/>
          </w:tcPr>
          <w:p w14:paraId="4BC92E0D"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7%; 4%</w:t>
            </w:r>
          </w:p>
        </w:tc>
        <w:tc>
          <w:tcPr>
            <w:tcW w:w="1251" w:type="dxa"/>
            <w:vAlign w:val="center"/>
          </w:tcPr>
          <w:p w14:paraId="7FF88182"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7%; 1%</w:t>
            </w:r>
          </w:p>
        </w:tc>
        <w:tc>
          <w:tcPr>
            <w:tcW w:w="1354" w:type="dxa"/>
            <w:vAlign w:val="center"/>
          </w:tcPr>
          <w:p w14:paraId="7B8D61CB"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14%; 13%</w:t>
            </w:r>
          </w:p>
        </w:tc>
        <w:tc>
          <w:tcPr>
            <w:tcW w:w="1354" w:type="dxa"/>
            <w:vAlign w:val="center"/>
          </w:tcPr>
          <w:p w14:paraId="79ED9577"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7%; 3%</w:t>
            </w:r>
          </w:p>
        </w:tc>
      </w:tr>
      <w:tr w:rsidR="001B1AA2" w:rsidRPr="00E120AC" w14:paraId="67D68C2E" w14:textId="77777777" w:rsidTr="00B77CF5">
        <w:trPr>
          <w:trHeight w:val="227"/>
        </w:trPr>
        <w:tc>
          <w:tcPr>
            <w:tcW w:w="3408" w:type="dxa"/>
            <w:vMerge w:val="restart"/>
          </w:tcPr>
          <w:p w14:paraId="53F5EF0A" w14:textId="77777777" w:rsidR="001B1AA2" w:rsidRPr="00E120AC" w:rsidRDefault="001B1AA2" w:rsidP="00B77CF5">
            <w:pPr>
              <w:spacing w:line="480" w:lineRule="auto"/>
              <w:jc w:val="right"/>
              <w:rPr>
                <w:rFonts w:ascii="Arial" w:hAnsi="Arial" w:cs="Arial"/>
                <w:lang w:val="en-GB"/>
              </w:rPr>
            </w:pPr>
            <w:r w:rsidRPr="00E120AC">
              <w:rPr>
                <w:rFonts w:ascii="Arial" w:hAnsi="Arial" w:cs="Arial"/>
                <w:lang w:val="en-GB"/>
              </w:rPr>
              <w:t>4b. Toxicodynamics</w:t>
            </w:r>
          </w:p>
        </w:tc>
        <w:tc>
          <w:tcPr>
            <w:tcW w:w="795" w:type="dxa"/>
            <w:vAlign w:val="center"/>
          </w:tcPr>
          <w:p w14:paraId="1CE03564"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U</w:t>
            </w:r>
          </w:p>
        </w:tc>
        <w:tc>
          <w:tcPr>
            <w:tcW w:w="1239" w:type="dxa"/>
            <w:vAlign w:val="center"/>
          </w:tcPr>
          <w:p w14:paraId="606D003D"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14%</w:t>
            </w:r>
          </w:p>
        </w:tc>
        <w:tc>
          <w:tcPr>
            <w:tcW w:w="1239" w:type="dxa"/>
            <w:vAlign w:val="center"/>
          </w:tcPr>
          <w:p w14:paraId="50AF05DE"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19%</w:t>
            </w:r>
          </w:p>
        </w:tc>
        <w:tc>
          <w:tcPr>
            <w:tcW w:w="1239" w:type="dxa"/>
            <w:vAlign w:val="center"/>
          </w:tcPr>
          <w:p w14:paraId="6580EA17"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23%</w:t>
            </w:r>
          </w:p>
        </w:tc>
        <w:tc>
          <w:tcPr>
            <w:tcW w:w="1251" w:type="dxa"/>
            <w:vAlign w:val="center"/>
          </w:tcPr>
          <w:p w14:paraId="1DA16965"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16%</w:t>
            </w:r>
          </w:p>
        </w:tc>
        <w:tc>
          <w:tcPr>
            <w:tcW w:w="1354" w:type="dxa"/>
            <w:vAlign w:val="center"/>
          </w:tcPr>
          <w:p w14:paraId="545516E4"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14%</w:t>
            </w:r>
          </w:p>
        </w:tc>
        <w:tc>
          <w:tcPr>
            <w:tcW w:w="1354" w:type="dxa"/>
            <w:vAlign w:val="center"/>
          </w:tcPr>
          <w:p w14:paraId="5F5C0271"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&lt;1%; 8%</w:t>
            </w:r>
          </w:p>
        </w:tc>
      </w:tr>
      <w:tr w:rsidR="001B1AA2" w:rsidRPr="00E120AC" w14:paraId="1B1D12D9" w14:textId="77777777" w:rsidTr="00B77CF5">
        <w:trPr>
          <w:trHeight w:val="227"/>
        </w:trPr>
        <w:tc>
          <w:tcPr>
            <w:tcW w:w="3408" w:type="dxa"/>
            <w:vMerge/>
          </w:tcPr>
          <w:p w14:paraId="2CCCA677" w14:textId="77777777" w:rsidR="001B1AA2" w:rsidRPr="00E120AC" w:rsidRDefault="001B1AA2" w:rsidP="00B77CF5">
            <w:pPr>
              <w:spacing w:line="480" w:lineRule="auto"/>
              <w:rPr>
                <w:rFonts w:ascii="Arial" w:hAnsi="Arial" w:cs="Arial"/>
                <w:lang w:val="en-GB"/>
              </w:rPr>
            </w:pPr>
          </w:p>
        </w:tc>
        <w:tc>
          <w:tcPr>
            <w:tcW w:w="795" w:type="dxa"/>
            <w:vAlign w:val="center"/>
          </w:tcPr>
          <w:p w14:paraId="421AF055"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IV</w:t>
            </w:r>
          </w:p>
        </w:tc>
        <w:tc>
          <w:tcPr>
            <w:tcW w:w="1239" w:type="dxa"/>
            <w:vAlign w:val="center"/>
          </w:tcPr>
          <w:p w14:paraId="1E82C333"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11%; 21%</w:t>
            </w:r>
          </w:p>
        </w:tc>
        <w:tc>
          <w:tcPr>
            <w:tcW w:w="1239" w:type="dxa"/>
            <w:vAlign w:val="center"/>
          </w:tcPr>
          <w:p w14:paraId="19873899"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10%; 19%</w:t>
            </w:r>
          </w:p>
        </w:tc>
        <w:tc>
          <w:tcPr>
            <w:tcW w:w="1239" w:type="dxa"/>
            <w:vAlign w:val="center"/>
          </w:tcPr>
          <w:p w14:paraId="7392FA7B"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13%; 22%</w:t>
            </w:r>
          </w:p>
        </w:tc>
        <w:tc>
          <w:tcPr>
            <w:tcW w:w="1251" w:type="dxa"/>
            <w:vAlign w:val="center"/>
          </w:tcPr>
          <w:p w14:paraId="68A023A9"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9%; 18%</w:t>
            </w:r>
          </w:p>
        </w:tc>
        <w:tc>
          <w:tcPr>
            <w:tcW w:w="1354" w:type="dxa"/>
            <w:vAlign w:val="center"/>
          </w:tcPr>
          <w:p w14:paraId="628508A6"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8%; 19%</w:t>
            </w:r>
          </w:p>
        </w:tc>
        <w:tc>
          <w:tcPr>
            <w:tcW w:w="1354" w:type="dxa"/>
            <w:vAlign w:val="center"/>
          </w:tcPr>
          <w:p w14:paraId="24A9A49E"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15%; 23%</w:t>
            </w:r>
          </w:p>
        </w:tc>
      </w:tr>
      <w:tr w:rsidR="001B1AA2" w:rsidRPr="00E120AC" w14:paraId="38573B96" w14:textId="77777777" w:rsidTr="00B77CF5">
        <w:trPr>
          <w:trHeight w:val="227"/>
        </w:trPr>
        <w:tc>
          <w:tcPr>
            <w:tcW w:w="3408" w:type="dxa"/>
          </w:tcPr>
          <w:p w14:paraId="4568D351" w14:textId="77777777" w:rsidR="001B1AA2" w:rsidRPr="00E120AC" w:rsidRDefault="001B1AA2" w:rsidP="00B77CF5">
            <w:pPr>
              <w:spacing w:line="480" w:lineRule="auto"/>
              <w:jc w:val="right"/>
              <w:rPr>
                <w:rFonts w:ascii="Arial" w:hAnsi="Arial" w:cs="Arial"/>
                <w:lang w:val="en-GB"/>
              </w:rPr>
            </w:pPr>
            <w:r w:rsidRPr="00E120AC">
              <w:rPr>
                <w:rFonts w:ascii="Arial" w:hAnsi="Arial" w:cs="Arial"/>
                <w:b/>
                <w:lang w:val="en-GB"/>
              </w:rPr>
              <w:t>Total contribution U</w:t>
            </w:r>
          </w:p>
        </w:tc>
        <w:tc>
          <w:tcPr>
            <w:tcW w:w="795" w:type="dxa"/>
            <w:vAlign w:val="center"/>
          </w:tcPr>
          <w:p w14:paraId="617FA503" w14:textId="77777777" w:rsidR="001B1AA2" w:rsidRPr="00E120AC" w:rsidRDefault="001B1AA2" w:rsidP="00B77CF5">
            <w:pPr>
              <w:spacing w:line="480" w:lineRule="auto"/>
              <w:jc w:val="center"/>
              <w:rPr>
                <w:rFonts w:ascii="Arial" w:hAnsi="Arial" w:cs="Arial"/>
                <w:lang w:val="en-GB"/>
              </w:rPr>
            </w:pPr>
          </w:p>
        </w:tc>
        <w:tc>
          <w:tcPr>
            <w:tcW w:w="1239" w:type="dxa"/>
            <w:vAlign w:val="center"/>
          </w:tcPr>
          <w:p w14:paraId="78EA5514"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86%; 79%</w:t>
            </w:r>
          </w:p>
        </w:tc>
        <w:tc>
          <w:tcPr>
            <w:tcW w:w="1239" w:type="dxa"/>
            <w:vAlign w:val="center"/>
          </w:tcPr>
          <w:p w14:paraId="50CEDD2C"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76%; 77%</w:t>
            </w:r>
          </w:p>
        </w:tc>
        <w:tc>
          <w:tcPr>
            <w:tcW w:w="1239" w:type="dxa"/>
            <w:vAlign w:val="center"/>
          </w:tcPr>
          <w:p w14:paraId="2B07B308"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80%; 74%</w:t>
            </w:r>
          </w:p>
        </w:tc>
        <w:tc>
          <w:tcPr>
            <w:tcW w:w="1251" w:type="dxa"/>
            <w:vAlign w:val="center"/>
          </w:tcPr>
          <w:p w14:paraId="616C0FC6"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84%; 81%</w:t>
            </w:r>
          </w:p>
        </w:tc>
        <w:tc>
          <w:tcPr>
            <w:tcW w:w="1354" w:type="dxa"/>
            <w:vAlign w:val="center"/>
          </w:tcPr>
          <w:p w14:paraId="09A5FEEB"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78%; 68%</w:t>
            </w:r>
          </w:p>
        </w:tc>
        <w:tc>
          <w:tcPr>
            <w:tcW w:w="1354" w:type="dxa"/>
            <w:vAlign w:val="center"/>
          </w:tcPr>
          <w:p w14:paraId="403124A2"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78%; 74%</w:t>
            </w:r>
          </w:p>
        </w:tc>
      </w:tr>
      <w:tr w:rsidR="001B1AA2" w:rsidRPr="00E120AC" w14:paraId="12F57A36" w14:textId="77777777" w:rsidTr="00B77CF5">
        <w:trPr>
          <w:trHeight w:val="227"/>
        </w:trPr>
        <w:tc>
          <w:tcPr>
            <w:tcW w:w="3408" w:type="dxa"/>
          </w:tcPr>
          <w:p w14:paraId="0595B014" w14:textId="77777777" w:rsidR="001B1AA2" w:rsidRPr="00E120AC" w:rsidRDefault="001B1AA2" w:rsidP="00B77CF5">
            <w:pPr>
              <w:spacing w:line="480" w:lineRule="auto"/>
              <w:jc w:val="right"/>
              <w:rPr>
                <w:rFonts w:ascii="Arial" w:hAnsi="Arial" w:cs="Arial"/>
                <w:b/>
                <w:lang w:val="en-GB"/>
              </w:rPr>
            </w:pPr>
            <w:r w:rsidRPr="00E120AC">
              <w:rPr>
                <w:rFonts w:ascii="Arial" w:hAnsi="Arial" w:cs="Arial"/>
                <w:b/>
                <w:lang w:val="en-GB"/>
              </w:rPr>
              <w:t>Total contribution IV</w:t>
            </w:r>
          </w:p>
        </w:tc>
        <w:tc>
          <w:tcPr>
            <w:tcW w:w="795" w:type="dxa"/>
            <w:vAlign w:val="center"/>
          </w:tcPr>
          <w:p w14:paraId="5A90A6C9" w14:textId="77777777" w:rsidR="001B1AA2" w:rsidRPr="00E120AC" w:rsidRDefault="001B1AA2" w:rsidP="00B77CF5">
            <w:pPr>
              <w:spacing w:line="480" w:lineRule="auto"/>
              <w:jc w:val="center"/>
              <w:rPr>
                <w:rFonts w:ascii="Arial" w:hAnsi="Arial" w:cs="Arial"/>
                <w:b/>
                <w:lang w:val="en-GB"/>
              </w:rPr>
            </w:pPr>
          </w:p>
        </w:tc>
        <w:tc>
          <w:tcPr>
            <w:tcW w:w="1239" w:type="dxa"/>
            <w:vAlign w:val="center"/>
          </w:tcPr>
          <w:p w14:paraId="7A5B5DB5"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14%; 21%</w:t>
            </w:r>
          </w:p>
        </w:tc>
        <w:tc>
          <w:tcPr>
            <w:tcW w:w="1239" w:type="dxa"/>
            <w:vAlign w:val="center"/>
          </w:tcPr>
          <w:p w14:paraId="1E26F027"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24%; 23%</w:t>
            </w:r>
          </w:p>
        </w:tc>
        <w:tc>
          <w:tcPr>
            <w:tcW w:w="1239" w:type="dxa"/>
            <w:vAlign w:val="center"/>
          </w:tcPr>
          <w:p w14:paraId="56D7C456"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20%; 26%</w:t>
            </w:r>
          </w:p>
        </w:tc>
        <w:tc>
          <w:tcPr>
            <w:tcW w:w="1251" w:type="dxa"/>
            <w:vAlign w:val="center"/>
          </w:tcPr>
          <w:p w14:paraId="2E93EB9D"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16%; 19%</w:t>
            </w:r>
          </w:p>
        </w:tc>
        <w:tc>
          <w:tcPr>
            <w:tcW w:w="1354" w:type="dxa"/>
            <w:vAlign w:val="center"/>
          </w:tcPr>
          <w:p w14:paraId="7BC2ADBD"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22%; 32%</w:t>
            </w:r>
          </w:p>
        </w:tc>
        <w:tc>
          <w:tcPr>
            <w:tcW w:w="1354" w:type="dxa"/>
            <w:vAlign w:val="center"/>
          </w:tcPr>
          <w:p w14:paraId="76902557" w14:textId="77777777" w:rsidR="001B1AA2" w:rsidRPr="00E120AC" w:rsidRDefault="001B1AA2" w:rsidP="00B77CF5">
            <w:pPr>
              <w:spacing w:line="480" w:lineRule="auto"/>
              <w:jc w:val="center"/>
              <w:rPr>
                <w:rFonts w:ascii="Arial" w:hAnsi="Arial" w:cs="Arial"/>
                <w:lang w:val="en-GB"/>
              </w:rPr>
            </w:pPr>
            <w:r w:rsidRPr="00E120AC">
              <w:rPr>
                <w:rFonts w:ascii="Arial" w:hAnsi="Arial" w:cs="Arial"/>
                <w:lang w:val="en-GB"/>
              </w:rPr>
              <w:t>22%; 26%</w:t>
            </w:r>
          </w:p>
        </w:tc>
      </w:tr>
    </w:tbl>
    <w:p w14:paraId="297E6131" w14:textId="77777777" w:rsidR="001B1AA2" w:rsidRDefault="001B1AA2" w:rsidP="00CB56E0">
      <w:pPr>
        <w:spacing w:after="0" w:line="480" w:lineRule="auto"/>
        <w:rPr>
          <w:rFonts w:ascii="Arial" w:hAnsi="Arial" w:cs="Arial"/>
          <w:i/>
        </w:rPr>
      </w:pPr>
    </w:p>
    <w:p w14:paraId="2772A9F0" w14:textId="45E0A3C9" w:rsidR="00CB56E0" w:rsidRPr="00FA39DD" w:rsidRDefault="00CB56E0" w:rsidP="00E120AC">
      <w:pPr>
        <w:spacing w:line="480" w:lineRule="auto"/>
        <w:rPr>
          <w:rFonts w:ascii="Arial" w:hAnsi="Arial" w:cs="Arial"/>
          <w:lang w:val="en-GB"/>
        </w:rPr>
      </w:pPr>
    </w:p>
    <w:sectPr w:rsidR="00CB56E0" w:rsidRPr="00FA39DD" w:rsidSect="00E120AC">
      <w:pgSz w:w="16838" w:h="11906" w:orient="landscape"/>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9E93E6" w14:textId="77777777" w:rsidR="009377CE" w:rsidRDefault="009377CE" w:rsidP="00D64DA0">
      <w:pPr>
        <w:spacing w:after="0" w:line="240" w:lineRule="auto"/>
      </w:pPr>
      <w:r>
        <w:separator/>
      </w:r>
    </w:p>
  </w:endnote>
  <w:endnote w:type="continuationSeparator" w:id="0">
    <w:p w14:paraId="68B92590" w14:textId="77777777" w:rsidR="009377CE" w:rsidRDefault="009377CE" w:rsidP="00D64D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92956"/>
      <w:docPartObj>
        <w:docPartGallery w:val="Page Numbers (Bottom of Page)"/>
        <w:docPartUnique/>
      </w:docPartObj>
    </w:sdtPr>
    <w:sdtEndPr/>
    <w:sdtContent>
      <w:p w14:paraId="52BDE246" w14:textId="77777777" w:rsidR="00E77370" w:rsidRDefault="00E77370">
        <w:pPr>
          <w:pStyle w:val="Footer"/>
          <w:jc w:val="center"/>
        </w:pPr>
        <w:r>
          <w:fldChar w:fldCharType="begin"/>
        </w:r>
        <w:r>
          <w:instrText xml:space="preserve"> PAGE   \* MERGEFORMAT </w:instrText>
        </w:r>
        <w:r>
          <w:fldChar w:fldCharType="separate"/>
        </w:r>
        <w:r w:rsidR="003C67F1">
          <w:rPr>
            <w:noProof/>
          </w:rPr>
          <w:t>15</w:t>
        </w:r>
        <w:r>
          <w:rPr>
            <w:noProof/>
          </w:rPr>
          <w:fldChar w:fldCharType="end"/>
        </w:r>
      </w:p>
    </w:sdtContent>
  </w:sdt>
  <w:p w14:paraId="599E66C7" w14:textId="77777777" w:rsidR="00E77370" w:rsidRDefault="00E773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2B062B" w14:textId="77777777" w:rsidR="009377CE" w:rsidRDefault="009377CE" w:rsidP="00D64DA0">
      <w:pPr>
        <w:spacing w:after="0" w:line="240" w:lineRule="auto"/>
      </w:pPr>
      <w:r>
        <w:separator/>
      </w:r>
    </w:p>
  </w:footnote>
  <w:footnote w:type="continuationSeparator" w:id="0">
    <w:p w14:paraId="598346FB" w14:textId="77777777" w:rsidR="009377CE" w:rsidRDefault="009377CE" w:rsidP="00D64D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37E3E"/>
    <w:multiLevelType w:val="hybridMultilevel"/>
    <w:tmpl w:val="089CB976"/>
    <w:lvl w:ilvl="0" w:tplc="E2CA024A">
      <w:numFmt w:val="bullet"/>
      <w:lvlText w:val="-"/>
      <w:lvlJc w:val="left"/>
      <w:pPr>
        <w:ind w:left="720" w:hanging="360"/>
      </w:pPr>
      <w:rPr>
        <w:rFonts w:ascii="Calibri" w:eastAsiaTheme="minorEastAsia"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3A38AC"/>
    <w:multiLevelType w:val="hybridMultilevel"/>
    <w:tmpl w:val="55C83B90"/>
    <w:lvl w:ilvl="0" w:tplc="6CE40698">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B13792"/>
    <w:multiLevelType w:val="hybridMultilevel"/>
    <w:tmpl w:val="2024649E"/>
    <w:lvl w:ilvl="0" w:tplc="DBFAA68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04A1513"/>
    <w:multiLevelType w:val="hybridMultilevel"/>
    <w:tmpl w:val="A73C5A1C"/>
    <w:lvl w:ilvl="0" w:tplc="8E246EB6">
      <w:start w:val="4"/>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36F62"/>
    <w:multiLevelType w:val="hybridMultilevel"/>
    <w:tmpl w:val="27BCC798"/>
    <w:lvl w:ilvl="0" w:tplc="D842013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D8252C"/>
    <w:multiLevelType w:val="hybridMultilevel"/>
    <w:tmpl w:val="82767E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53C81"/>
    <w:multiLevelType w:val="hybridMultilevel"/>
    <w:tmpl w:val="400C8F74"/>
    <w:lvl w:ilvl="0" w:tplc="3AD69568">
      <w:numFmt w:val="bullet"/>
      <w:lvlText w:val="-"/>
      <w:lvlJc w:val="left"/>
      <w:pPr>
        <w:ind w:left="720" w:hanging="360"/>
      </w:pPr>
      <w:rPr>
        <w:rFonts w:ascii="Calibri" w:eastAsiaTheme="minorEastAsia"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337543C"/>
    <w:multiLevelType w:val="hybridMultilevel"/>
    <w:tmpl w:val="0DC0C302"/>
    <w:lvl w:ilvl="0" w:tplc="6B1EDA7A">
      <w:start w:val="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820B4B"/>
    <w:multiLevelType w:val="hybridMultilevel"/>
    <w:tmpl w:val="27EAC928"/>
    <w:lvl w:ilvl="0" w:tplc="A6D4BF4A">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98D6691"/>
    <w:multiLevelType w:val="hybridMultilevel"/>
    <w:tmpl w:val="B314A6A0"/>
    <w:lvl w:ilvl="0" w:tplc="C186A704">
      <w:numFmt w:val="bullet"/>
      <w:lvlText w:val="-"/>
      <w:lvlJc w:val="left"/>
      <w:pPr>
        <w:ind w:left="720" w:hanging="360"/>
      </w:pPr>
      <w:rPr>
        <w:rFonts w:ascii="Calibri" w:eastAsiaTheme="minorEastAsia"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A29411E"/>
    <w:multiLevelType w:val="hybridMultilevel"/>
    <w:tmpl w:val="962CC4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E68403D"/>
    <w:multiLevelType w:val="hybridMultilevel"/>
    <w:tmpl w:val="0BDA18E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EDC14F8"/>
    <w:multiLevelType w:val="hybridMultilevel"/>
    <w:tmpl w:val="3F04F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9957C4"/>
    <w:multiLevelType w:val="hybridMultilevel"/>
    <w:tmpl w:val="BE2294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AE0203"/>
    <w:multiLevelType w:val="hybridMultilevel"/>
    <w:tmpl w:val="49165EB2"/>
    <w:lvl w:ilvl="0" w:tplc="435EC384">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E166C8"/>
    <w:multiLevelType w:val="hybridMultilevel"/>
    <w:tmpl w:val="DDFA63BC"/>
    <w:lvl w:ilvl="0" w:tplc="DC5AE77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9FF476F"/>
    <w:multiLevelType w:val="hybridMultilevel"/>
    <w:tmpl w:val="74020584"/>
    <w:lvl w:ilvl="0" w:tplc="DBFAA682">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DFF4D42"/>
    <w:multiLevelType w:val="hybridMultilevel"/>
    <w:tmpl w:val="3016345E"/>
    <w:lvl w:ilvl="0" w:tplc="8AF43D4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02110D4"/>
    <w:multiLevelType w:val="hybridMultilevel"/>
    <w:tmpl w:val="8D403C7C"/>
    <w:lvl w:ilvl="0" w:tplc="8AF43D46">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25F27F1"/>
    <w:multiLevelType w:val="hybridMultilevel"/>
    <w:tmpl w:val="29F87D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32B4068"/>
    <w:multiLevelType w:val="hybridMultilevel"/>
    <w:tmpl w:val="74FC59B8"/>
    <w:lvl w:ilvl="0" w:tplc="25CE9DAC">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7C3121"/>
    <w:multiLevelType w:val="hybridMultilevel"/>
    <w:tmpl w:val="F7F40302"/>
    <w:lvl w:ilvl="0" w:tplc="D8188ECE">
      <w:start w:val="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5072D1"/>
    <w:multiLevelType w:val="hybridMultilevel"/>
    <w:tmpl w:val="BBE00B86"/>
    <w:lvl w:ilvl="0" w:tplc="52CE0A98">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E55F96"/>
    <w:multiLevelType w:val="hybridMultilevel"/>
    <w:tmpl w:val="A2E0F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3A01BA"/>
    <w:multiLevelType w:val="hybridMultilevel"/>
    <w:tmpl w:val="DB0E3CC2"/>
    <w:lvl w:ilvl="0" w:tplc="A33A576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388210B7"/>
    <w:multiLevelType w:val="hybridMultilevel"/>
    <w:tmpl w:val="BCFA53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BC07195"/>
    <w:multiLevelType w:val="hybridMultilevel"/>
    <w:tmpl w:val="AD1213FE"/>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3BB311A"/>
    <w:multiLevelType w:val="hybridMultilevel"/>
    <w:tmpl w:val="D94E4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B730D8"/>
    <w:multiLevelType w:val="hybridMultilevel"/>
    <w:tmpl w:val="775A580A"/>
    <w:lvl w:ilvl="0" w:tplc="7FBE1A7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6BF637C"/>
    <w:multiLevelType w:val="hybridMultilevel"/>
    <w:tmpl w:val="58D20A7C"/>
    <w:lvl w:ilvl="0" w:tplc="906C03E2">
      <w:start w:val="2"/>
      <w:numFmt w:val="bullet"/>
      <w:lvlText w:val=""/>
      <w:lvlJc w:val="left"/>
      <w:pPr>
        <w:ind w:left="720" w:hanging="360"/>
      </w:pPr>
      <w:rPr>
        <w:rFonts w:ascii="Wingdings" w:eastAsiaTheme="minorEastAsia"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A00205C"/>
    <w:multiLevelType w:val="hybridMultilevel"/>
    <w:tmpl w:val="1F429E6E"/>
    <w:lvl w:ilvl="0" w:tplc="6C2C4582">
      <w:start w:val="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122211"/>
    <w:multiLevelType w:val="hybridMultilevel"/>
    <w:tmpl w:val="4F3ABC58"/>
    <w:lvl w:ilvl="0" w:tplc="8AF43D4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C9A6D35"/>
    <w:multiLevelType w:val="hybridMultilevel"/>
    <w:tmpl w:val="C644B99C"/>
    <w:lvl w:ilvl="0" w:tplc="8AF43D4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E490455"/>
    <w:multiLevelType w:val="hybridMultilevel"/>
    <w:tmpl w:val="CCB258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4E6136B1"/>
    <w:multiLevelType w:val="multilevel"/>
    <w:tmpl w:val="DA8827F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FA95F9B"/>
    <w:multiLevelType w:val="hybridMultilevel"/>
    <w:tmpl w:val="6BB0DED0"/>
    <w:lvl w:ilvl="0" w:tplc="32F2EC28">
      <w:start w:val="2"/>
      <w:numFmt w:val="bullet"/>
      <w:lvlText w:val="-"/>
      <w:lvlJc w:val="left"/>
      <w:pPr>
        <w:ind w:left="720" w:hanging="360"/>
      </w:pPr>
      <w:rPr>
        <w:rFonts w:ascii="Arial" w:eastAsiaTheme="minorEastAsia"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FD60894"/>
    <w:multiLevelType w:val="hybridMultilevel"/>
    <w:tmpl w:val="7F86C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115868"/>
    <w:multiLevelType w:val="hybridMultilevel"/>
    <w:tmpl w:val="191E1046"/>
    <w:lvl w:ilvl="0" w:tplc="989895F4">
      <w:numFmt w:val="bullet"/>
      <w:lvlText w:val="-"/>
      <w:lvlJc w:val="left"/>
      <w:pPr>
        <w:ind w:left="360" w:hanging="360"/>
      </w:pPr>
      <w:rPr>
        <w:rFonts w:ascii="Arial" w:eastAsiaTheme="minorEastAsia"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3CD1933"/>
    <w:multiLevelType w:val="hybridMultilevel"/>
    <w:tmpl w:val="CF8CEAD0"/>
    <w:lvl w:ilvl="0" w:tplc="D842013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60B1E74"/>
    <w:multiLevelType w:val="hybridMultilevel"/>
    <w:tmpl w:val="C352A210"/>
    <w:lvl w:ilvl="0" w:tplc="D842013E">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591E1A02"/>
    <w:multiLevelType w:val="hybridMultilevel"/>
    <w:tmpl w:val="1B1A241A"/>
    <w:lvl w:ilvl="0" w:tplc="20CC9DB8">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A8269B7"/>
    <w:multiLevelType w:val="hybridMultilevel"/>
    <w:tmpl w:val="DF7EA8FC"/>
    <w:lvl w:ilvl="0" w:tplc="501464A0">
      <w:start w:val="3"/>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B563FF3"/>
    <w:multiLevelType w:val="hybridMultilevel"/>
    <w:tmpl w:val="D4902A86"/>
    <w:lvl w:ilvl="0" w:tplc="DF767248">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B8B1D1A"/>
    <w:multiLevelType w:val="hybridMultilevel"/>
    <w:tmpl w:val="1ABAC8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ED56C38"/>
    <w:multiLevelType w:val="hybridMultilevel"/>
    <w:tmpl w:val="DEC024D2"/>
    <w:lvl w:ilvl="0" w:tplc="3D7AE0B4">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F7B325A"/>
    <w:multiLevelType w:val="hybridMultilevel"/>
    <w:tmpl w:val="03AA10C0"/>
    <w:lvl w:ilvl="0" w:tplc="8AF43D46">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62290F8A"/>
    <w:multiLevelType w:val="hybridMultilevel"/>
    <w:tmpl w:val="9B8016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624F3980"/>
    <w:multiLevelType w:val="hybridMultilevel"/>
    <w:tmpl w:val="32BCAC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63893D4E"/>
    <w:multiLevelType w:val="hybridMultilevel"/>
    <w:tmpl w:val="DA848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4381359"/>
    <w:multiLevelType w:val="hybridMultilevel"/>
    <w:tmpl w:val="D430D0D8"/>
    <w:lvl w:ilvl="0" w:tplc="8AF43D4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65873AA9"/>
    <w:multiLevelType w:val="hybridMultilevel"/>
    <w:tmpl w:val="29BA0A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65E428A6"/>
    <w:multiLevelType w:val="hybridMultilevel"/>
    <w:tmpl w:val="5D9A7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6AA6623"/>
    <w:multiLevelType w:val="hybridMultilevel"/>
    <w:tmpl w:val="3FC6F28C"/>
    <w:lvl w:ilvl="0" w:tplc="C17E7FA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66D83279"/>
    <w:multiLevelType w:val="hybridMultilevel"/>
    <w:tmpl w:val="387C56C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66F2279E"/>
    <w:multiLevelType w:val="hybridMultilevel"/>
    <w:tmpl w:val="FAA63922"/>
    <w:lvl w:ilvl="0" w:tplc="255A4C84">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69BB7CF0"/>
    <w:multiLevelType w:val="hybridMultilevel"/>
    <w:tmpl w:val="F79CE360"/>
    <w:lvl w:ilvl="0" w:tplc="88CC9D3E">
      <w:start w:val="20"/>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6C3B6090"/>
    <w:multiLevelType w:val="hybridMultilevel"/>
    <w:tmpl w:val="634A6570"/>
    <w:lvl w:ilvl="0" w:tplc="8AF43D4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6E9B0CBA"/>
    <w:multiLevelType w:val="hybridMultilevel"/>
    <w:tmpl w:val="C1F2112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721D018B"/>
    <w:multiLevelType w:val="hybridMultilevel"/>
    <w:tmpl w:val="5DD8B516"/>
    <w:lvl w:ilvl="0" w:tplc="79FACCB8">
      <w:start w:val="2"/>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3BA7CAA"/>
    <w:multiLevelType w:val="hybridMultilevel"/>
    <w:tmpl w:val="CB143F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74617A74"/>
    <w:multiLevelType w:val="hybridMultilevel"/>
    <w:tmpl w:val="078CD0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75CD0754"/>
    <w:multiLevelType w:val="hybridMultilevel"/>
    <w:tmpl w:val="66B82BBE"/>
    <w:lvl w:ilvl="0" w:tplc="96AE0AAA">
      <w:numFmt w:val="bullet"/>
      <w:lvlText w:val="-"/>
      <w:lvlJc w:val="left"/>
      <w:pPr>
        <w:ind w:left="720" w:hanging="360"/>
      </w:pPr>
      <w:rPr>
        <w:rFonts w:ascii="Calibri" w:eastAsiaTheme="minorHAnsi" w:hAnsi="Calibri" w:cstheme="minorBidi" w:hint="default"/>
      </w:rPr>
    </w:lvl>
    <w:lvl w:ilvl="1" w:tplc="0413000F">
      <w:start w:val="1"/>
      <w:numFmt w:val="decimal"/>
      <w:lvlText w:val="%2."/>
      <w:lvlJc w:val="left"/>
      <w:pPr>
        <w:ind w:left="1440" w:hanging="360"/>
      </w:pPr>
      <w:rPr>
        <w:rFonts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75EF2B63"/>
    <w:multiLevelType w:val="hybridMultilevel"/>
    <w:tmpl w:val="63842DFA"/>
    <w:lvl w:ilvl="0" w:tplc="3D7AE0B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79C5BDE"/>
    <w:multiLevelType w:val="hybridMultilevel"/>
    <w:tmpl w:val="5D7CE044"/>
    <w:lvl w:ilvl="0" w:tplc="DBFAA68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77C474BB"/>
    <w:multiLevelType w:val="hybridMultilevel"/>
    <w:tmpl w:val="D85CBE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780B20F4"/>
    <w:multiLevelType w:val="hybridMultilevel"/>
    <w:tmpl w:val="1D189C16"/>
    <w:lvl w:ilvl="0" w:tplc="4BC06F02">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60"/>
  </w:num>
  <w:num w:numId="2">
    <w:abstractNumId w:val="45"/>
  </w:num>
  <w:num w:numId="3">
    <w:abstractNumId w:val="56"/>
  </w:num>
  <w:num w:numId="4">
    <w:abstractNumId w:val="32"/>
  </w:num>
  <w:num w:numId="5">
    <w:abstractNumId w:val="61"/>
  </w:num>
  <w:num w:numId="6">
    <w:abstractNumId w:val="18"/>
  </w:num>
  <w:num w:numId="7">
    <w:abstractNumId w:val="10"/>
  </w:num>
  <w:num w:numId="8">
    <w:abstractNumId w:val="8"/>
  </w:num>
  <w:num w:numId="9">
    <w:abstractNumId w:val="47"/>
  </w:num>
  <w:num w:numId="10">
    <w:abstractNumId w:val="65"/>
  </w:num>
  <w:num w:numId="11">
    <w:abstractNumId w:val="50"/>
  </w:num>
  <w:num w:numId="12">
    <w:abstractNumId w:val="24"/>
  </w:num>
  <w:num w:numId="13">
    <w:abstractNumId w:val="53"/>
  </w:num>
  <w:num w:numId="14">
    <w:abstractNumId w:val="11"/>
  </w:num>
  <w:num w:numId="15">
    <w:abstractNumId w:val="46"/>
  </w:num>
  <w:num w:numId="16">
    <w:abstractNumId w:val="4"/>
  </w:num>
  <w:num w:numId="17">
    <w:abstractNumId w:val="38"/>
  </w:num>
  <w:num w:numId="18">
    <w:abstractNumId w:val="59"/>
  </w:num>
  <w:num w:numId="19">
    <w:abstractNumId w:val="31"/>
  </w:num>
  <w:num w:numId="20">
    <w:abstractNumId w:val="17"/>
  </w:num>
  <w:num w:numId="21">
    <w:abstractNumId w:val="49"/>
  </w:num>
  <w:num w:numId="22">
    <w:abstractNumId w:val="39"/>
  </w:num>
  <w:num w:numId="23">
    <w:abstractNumId w:val="19"/>
  </w:num>
  <w:num w:numId="24">
    <w:abstractNumId w:val="6"/>
  </w:num>
  <w:num w:numId="25">
    <w:abstractNumId w:val="25"/>
  </w:num>
  <w:num w:numId="26">
    <w:abstractNumId w:val="9"/>
  </w:num>
  <w:num w:numId="27">
    <w:abstractNumId w:val="52"/>
  </w:num>
  <w:num w:numId="28">
    <w:abstractNumId w:val="0"/>
  </w:num>
  <w:num w:numId="29">
    <w:abstractNumId w:val="57"/>
  </w:num>
  <w:num w:numId="30">
    <w:abstractNumId w:val="33"/>
  </w:num>
  <w:num w:numId="31">
    <w:abstractNumId w:val="15"/>
  </w:num>
  <w:num w:numId="32">
    <w:abstractNumId w:val="64"/>
  </w:num>
  <w:num w:numId="33">
    <w:abstractNumId w:val="16"/>
  </w:num>
  <w:num w:numId="34">
    <w:abstractNumId w:val="2"/>
  </w:num>
  <w:num w:numId="35">
    <w:abstractNumId w:val="63"/>
  </w:num>
  <w:num w:numId="36">
    <w:abstractNumId w:val="55"/>
  </w:num>
  <w:num w:numId="37">
    <w:abstractNumId w:val="54"/>
  </w:num>
  <w:num w:numId="38">
    <w:abstractNumId w:val="28"/>
  </w:num>
  <w:num w:numId="39">
    <w:abstractNumId w:val="51"/>
  </w:num>
  <w:num w:numId="40">
    <w:abstractNumId w:val="40"/>
  </w:num>
  <w:num w:numId="41">
    <w:abstractNumId w:val="5"/>
  </w:num>
  <w:num w:numId="42">
    <w:abstractNumId w:val="43"/>
  </w:num>
  <w:num w:numId="43">
    <w:abstractNumId w:val="23"/>
  </w:num>
  <w:num w:numId="44">
    <w:abstractNumId w:val="1"/>
  </w:num>
  <w:num w:numId="45">
    <w:abstractNumId w:val="44"/>
  </w:num>
  <w:num w:numId="46">
    <w:abstractNumId w:val="62"/>
  </w:num>
  <w:num w:numId="47">
    <w:abstractNumId w:val="26"/>
  </w:num>
  <w:num w:numId="48">
    <w:abstractNumId w:val="20"/>
  </w:num>
  <w:num w:numId="49">
    <w:abstractNumId w:val="13"/>
  </w:num>
  <w:num w:numId="50">
    <w:abstractNumId w:val="14"/>
  </w:num>
  <w:num w:numId="51">
    <w:abstractNumId w:val="42"/>
  </w:num>
  <w:num w:numId="52">
    <w:abstractNumId w:val="58"/>
  </w:num>
  <w:num w:numId="53">
    <w:abstractNumId w:val="29"/>
  </w:num>
  <w:num w:numId="54">
    <w:abstractNumId w:val="22"/>
  </w:num>
  <w:num w:numId="55">
    <w:abstractNumId w:val="36"/>
  </w:num>
  <w:num w:numId="56">
    <w:abstractNumId w:val="48"/>
  </w:num>
  <w:num w:numId="57">
    <w:abstractNumId w:val="30"/>
  </w:num>
  <w:num w:numId="58">
    <w:abstractNumId w:val="3"/>
  </w:num>
  <w:num w:numId="59">
    <w:abstractNumId w:val="7"/>
  </w:num>
  <w:num w:numId="60">
    <w:abstractNumId w:val="41"/>
  </w:num>
  <w:num w:numId="61">
    <w:abstractNumId w:val="27"/>
  </w:num>
  <w:num w:numId="62">
    <w:abstractNumId w:val="37"/>
  </w:num>
  <w:num w:numId="63">
    <w:abstractNumId w:val="12"/>
  </w:num>
  <w:num w:numId="64">
    <w:abstractNumId w:val="34"/>
  </w:num>
  <w:num w:numId="65">
    <w:abstractNumId w:val="21"/>
  </w:num>
  <w:num w:numId="66">
    <w:abstractNumId w:val="3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ical Ge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5zfvevpm0pd5hewwazxt0vwpvx99t9zxds5&quot;&gt;D4-2&lt;record-ids&gt;&lt;item&gt;29&lt;/item&gt;&lt;item&gt;30&lt;/item&gt;&lt;item&gt;32&lt;/item&gt;&lt;item&gt;67&lt;/item&gt;&lt;item&gt;68&lt;/item&gt;&lt;item&gt;73&lt;/item&gt;&lt;item&gt;74&lt;/item&gt;&lt;item&gt;77&lt;/item&gt;&lt;item&gt;93&lt;/item&gt;&lt;item&gt;95&lt;/item&gt;&lt;item&gt;97&lt;/item&gt;&lt;item&gt;113&lt;/item&gt;&lt;item&gt;124&lt;/item&gt;&lt;item&gt;173&lt;/item&gt;&lt;item&gt;181&lt;/item&gt;&lt;item&gt;196&lt;/item&gt;&lt;item&gt;232&lt;/item&gt;&lt;item&gt;267&lt;/item&gt;&lt;item&gt;315&lt;/item&gt;&lt;item&gt;321&lt;/item&gt;&lt;item&gt;330&lt;/item&gt;&lt;item&gt;332&lt;/item&gt;&lt;item&gt;333&lt;/item&gt;&lt;item&gt;399&lt;/item&gt;&lt;item&gt;402&lt;/item&gt;&lt;item&gt;466&lt;/item&gt;&lt;item&gt;525&lt;/item&gt;&lt;item&gt;526&lt;/item&gt;&lt;item&gt;528&lt;/item&gt;&lt;item&gt;643&lt;/item&gt;&lt;item&gt;779&lt;/item&gt;&lt;item&gt;1335&lt;/item&gt;&lt;item&gt;1699&lt;/item&gt;&lt;item&gt;1767&lt;/item&gt;&lt;item&gt;1773&lt;/item&gt;&lt;item&gt;1807&lt;/item&gt;&lt;item&gt;1814&lt;/item&gt;&lt;item&gt;1831&lt;/item&gt;&lt;item&gt;1832&lt;/item&gt;&lt;item&gt;1868&lt;/item&gt;&lt;item&gt;2151&lt;/item&gt;&lt;item&gt;2165&lt;/item&gt;&lt;item&gt;2236&lt;/item&gt;&lt;item&gt;2249&lt;/item&gt;&lt;item&gt;2281&lt;/item&gt;&lt;item&gt;2378&lt;/item&gt;&lt;item&gt;2496&lt;/item&gt;&lt;item&gt;2572&lt;/item&gt;&lt;item&gt;2783&lt;/item&gt;&lt;item&gt;2794&lt;/item&gt;&lt;item&gt;2936&lt;/item&gt;&lt;item&gt;3595&lt;/item&gt;&lt;item&gt;3685&lt;/item&gt;&lt;item&gt;4974&lt;/item&gt;&lt;item&gt;6218&lt;/item&gt;&lt;item&gt;6263&lt;/item&gt;&lt;item&gt;6327&lt;/item&gt;&lt;item&gt;6328&lt;/item&gt;&lt;item&gt;6359&lt;/item&gt;&lt;item&gt;6368&lt;/item&gt;&lt;item&gt;7714&lt;/item&gt;&lt;item&gt;7724&lt;/item&gt;&lt;item&gt;7734&lt;/item&gt;&lt;item&gt;7790&lt;/item&gt;&lt;item&gt;7815&lt;/item&gt;&lt;item&gt;7822&lt;/item&gt;&lt;item&gt;7891&lt;/item&gt;&lt;item&gt;7899&lt;/item&gt;&lt;item&gt;7900&lt;/item&gt;&lt;item&gt;9552&lt;/item&gt;&lt;item&gt;9905&lt;/item&gt;&lt;item&gt;9906&lt;/item&gt;&lt;item&gt;10835&lt;/item&gt;&lt;item&gt;10864&lt;/item&gt;&lt;item&gt;11808&lt;/item&gt;&lt;item&gt;12007&lt;/item&gt;&lt;item&gt;12012&lt;/item&gt;&lt;item&gt;12059&lt;/item&gt;&lt;item&gt;12062&lt;/item&gt;&lt;item&gt;12063&lt;/item&gt;&lt;item&gt;12064&lt;/item&gt;&lt;item&gt;12066&lt;/item&gt;&lt;item&gt;12075&lt;/item&gt;&lt;item&gt;12076&lt;/item&gt;&lt;item&gt;12079&lt;/item&gt;&lt;item&gt;12089&lt;/item&gt;&lt;item&gt;12090&lt;/item&gt;&lt;item&gt;12093&lt;/item&gt;&lt;item&gt;12188&lt;/item&gt;&lt;item&gt;12191&lt;/item&gt;&lt;item&gt;12206&lt;/item&gt;&lt;item&gt;12208&lt;/item&gt;&lt;item&gt;12209&lt;/item&gt;&lt;item&gt;12213&lt;/item&gt;&lt;item&gt;12214&lt;/item&gt;&lt;item&gt;12215&lt;/item&gt;&lt;item&gt;12218&lt;/item&gt;&lt;item&gt;12222&lt;/item&gt;&lt;item&gt;12223&lt;/item&gt;&lt;item&gt;12224&lt;/item&gt;&lt;item&gt;12225&lt;/item&gt;&lt;item&gt;12227&lt;/item&gt;&lt;item&gt;12228&lt;/item&gt;&lt;item&gt;12230&lt;/item&gt;&lt;item&gt;12231&lt;/item&gt;&lt;item&gt;12232&lt;/item&gt;&lt;item&gt;12234&lt;/item&gt;&lt;item&gt;12235&lt;/item&gt;&lt;item&gt;12236&lt;/item&gt;&lt;item&gt;12239&lt;/item&gt;&lt;item&gt;12240&lt;/item&gt;&lt;item&gt;12241&lt;/item&gt;&lt;item&gt;12243&lt;/item&gt;&lt;item&gt;12244&lt;/item&gt;&lt;item&gt;12245&lt;/item&gt;&lt;/record-ids&gt;&lt;/item&gt;&lt;/Libraries&gt;"/>
  </w:docVars>
  <w:rsids>
    <w:rsidRoot w:val="00EC615A"/>
    <w:rsid w:val="000000DA"/>
    <w:rsid w:val="00000250"/>
    <w:rsid w:val="000003A1"/>
    <w:rsid w:val="00000748"/>
    <w:rsid w:val="00001D69"/>
    <w:rsid w:val="00001E96"/>
    <w:rsid w:val="00002258"/>
    <w:rsid w:val="00002455"/>
    <w:rsid w:val="00002AAC"/>
    <w:rsid w:val="00002FAB"/>
    <w:rsid w:val="0000321B"/>
    <w:rsid w:val="0000324D"/>
    <w:rsid w:val="0000357C"/>
    <w:rsid w:val="00003948"/>
    <w:rsid w:val="00004B12"/>
    <w:rsid w:val="00004DFA"/>
    <w:rsid w:val="00005391"/>
    <w:rsid w:val="00006A6A"/>
    <w:rsid w:val="00007C5A"/>
    <w:rsid w:val="00007EF1"/>
    <w:rsid w:val="000115E9"/>
    <w:rsid w:val="00011632"/>
    <w:rsid w:val="00011EA8"/>
    <w:rsid w:val="00011FF7"/>
    <w:rsid w:val="00012278"/>
    <w:rsid w:val="00012CCA"/>
    <w:rsid w:val="000141C1"/>
    <w:rsid w:val="000149F4"/>
    <w:rsid w:val="00016073"/>
    <w:rsid w:val="000164F1"/>
    <w:rsid w:val="00017DA1"/>
    <w:rsid w:val="000203BF"/>
    <w:rsid w:val="0002060E"/>
    <w:rsid w:val="0002061B"/>
    <w:rsid w:val="000206B4"/>
    <w:rsid w:val="00020C60"/>
    <w:rsid w:val="00022039"/>
    <w:rsid w:val="00022C10"/>
    <w:rsid w:val="00022DCC"/>
    <w:rsid w:val="00023619"/>
    <w:rsid w:val="000241F0"/>
    <w:rsid w:val="00025897"/>
    <w:rsid w:val="00026B94"/>
    <w:rsid w:val="00027C5B"/>
    <w:rsid w:val="00027E2F"/>
    <w:rsid w:val="00030FBA"/>
    <w:rsid w:val="00035184"/>
    <w:rsid w:val="000354C3"/>
    <w:rsid w:val="00035A48"/>
    <w:rsid w:val="00035C68"/>
    <w:rsid w:val="00035DDD"/>
    <w:rsid w:val="00035F4E"/>
    <w:rsid w:val="00037FDC"/>
    <w:rsid w:val="00040506"/>
    <w:rsid w:val="0004079F"/>
    <w:rsid w:val="000408BC"/>
    <w:rsid w:val="000410D5"/>
    <w:rsid w:val="000422A5"/>
    <w:rsid w:val="000434FD"/>
    <w:rsid w:val="00044098"/>
    <w:rsid w:val="00044D60"/>
    <w:rsid w:val="00044D67"/>
    <w:rsid w:val="000453E2"/>
    <w:rsid w:val="0004543B"/>
    <w:rsid w:val="00045CF6"/>
    <w:rsid w:val="000463B3"/>
    <w:rsid w:val="00046F54"/>
    <w:rsid w:val="00047920"/>
    <w:rsid w:val="000513A5"/>
    <w:rsid w:val="000522A4"/>
    <w:rsid w:val="00052552"/>
    <w:rsid w:val="00053A5E"/>
    <w:rsid w:val="00054228"/>
    <w:rsid w:val="00054389"/>
    <w:rsid w:val="00054992"/>
    <w:rsid w:val="00054AC6"/>
    <w:rsid w:val="00055291"/>
    <w:rsid w:val="00055EE6"/>
    <w:rsid w:val="000570A8"/>
    <w:rsid w:val="00057300"/>
    <w:rsid w:val="000574B9"/>
    <w:rsid w:val="00057848"/>
    <w:rsid w:val="00057879"/>
    <w:rsid w:val="00060610"/>
    <w:rsid w:val="00061563"/>
    <w:rsid w:val="00061FD9"/>
    <w:rsid w:val="0006275D"/>
    <w:rsid w:val="000628EC"/>
    <w:rsid w:val="000638C6"/>
    <w:rsid w:val="000638EA"/>
    <w:rsid w:val="00063D11"/>
    <w:rsid w:val="00064D4C"/>
    <w:rsid w:val="0006504F"/>
    <w:rsid w:val="00065ED3"/>
    <w:rsid w:val="00067338"/>
    <w:rsid w:val="000709DA"/>
    <w:rsid w:val="000723DE"/>
    <w:rsid w:val="00072672"/>
    <w:rsid w:val="00072759"/>
    <w:rsid w:val="00072AA5"/>
    <w:rsid w:val="00073391"/>
    <w:rsid w:val="0007482B"/>
    <w:rsid w:val="00074DD7"/>
    <w:rsid w:val="00075DD0"/>
    <w:rsid w:val="00076C19"/>
    <w:rsid w:val="00077F43"/>
    <w:rsid w:val="000812BB"/>
    <w:rsid w:val="000813DC"/>
    <w:rsid w:val="00082BE3"/>
    <w:rsid w:val="0008415B"/>
    <w:rsid w:val="000848E7"/>
    <w:rsid w:val="00085051"/>
    <w:rsid w:val="00085994"/>
    <w:rsid w:val="0008771C"/>
    <w:rsid w:val="00090181"/>
    <w:rsid w:val="00090C07"/>
    <w:rsid w:val="00090EF5"/>
    <w:rsid w:val="00091B08"/>
    <w:rsid w:val="00091BD2"/>
    <w:rsid w:val="00091EFB"/>
    <w:rsid w:val="000924A9"/>
    <w:rsid w:val="000925E6"/>
    <w:rsid w:val="00092A01"/>
    <w:rsid w:val="00092D1E"/>
    <w:rsid w:val="00092FA0"/>
    <w:rsid w:val="00094D1B"/>
    <w:rsid w:val="00095C7E"/>
    <w:rsid w:val="00095C95"/>
    <w:rsid w:val="00096488"/>
    <w:rsid w:val="00096D83"/>
    <w:rsid w:val="00097CC6"/>
    <w:rsid w:val="00097F44"/>
    <w:rsid w:val="000A033F"/>
    <w:rsid w:val="000A1A27"/>
    <w:rsid w:val="000A262A"/>
    <w:rsid w:val="000A40C4"/>
    <w:rsid w:val="000A49A5"/>
    <w:rsid w:val="000B0555"/>
    <w:rsid w:val="000B3078"/>
    <w:rsid w:val="000B3436"/>
    <w:rsid w:val="000B3628"/>
    <w:rsid w:val="000B36E2"/>
    <w:rsid w:val="000B382B"/>
    <w:rsid w:val="000B3E02"/>
    <w:rsid w:val="000B4326"/>
    <w:rsid w:val="000B4865"/>
    <w:rsid w:val="000B612B"/>
    <w:rsid w:val="000B615E"/>
    <w:rsid w:val="000B682A"/>
    <w:rsid w:val="000B6889"/>
    <w:rsid w:val="000B6B6F"/>
    <w:rsid w:val="000B72FE"/>
    <w:rsid w:val="000B7990"/>
    <w:rsid w:val="000C14FD"/>
    <w:rsid w:val="000C1760"/>
    <w:rsid w:val="000C21B4"/>
    <w:rsid w:val="000C22C5"/>
    <w:rsid w:val="000C3826"/>
    <w:rsid w:val="000C3FED"/>
    <w:rsid w:val="000C44E1"/>
    <w:rsid w:val="000C4A72"/>
    <w:rsid w:val="000C5E58"/>
    <w:rsid w:val="000C6413"/>
    <w:rsid w:val="000C678D"/>
    <w:rsid w:val="000C6E8D"/>
    <w:rsid w:val="000C747A"/>
    <w:rsid w:val="000C748E"/>
    <w:rsid w:val="000C75D7"/>
    <w:rsid w:val="000C765E"/>
    <w:rsid w:val="000C7D3C"/>
    <w:rsid w:val="000D02A9"/>
    <w:rsid w:val="000D1885"/>
    <w:rsid w:val="000D1926"/>
    <w:rsid w:val="000D19B1"/>
    <w:rsid w:val="000D1FA4"/>
    <w:rsid w:val="000D2A70"/>
    <w:rsid w:val="000D2E69"/>
    <w:rsid w:val="000D3661"/>
    <w:rsid w:val="000D3990"/>
    <w:rsid w:val="000D3BF0"/>
    <w:rsid w:val="000D3C2B"/>
    <w:rsid w:val="000D4258"/>
    <w:rsid w:val="000D46ED"/>
    <w:rsid w:val="000D484D"/>
    <w:rsid w:val="000D4BB9"/>
    <w:rsid w:val="000D5193"/>
    <w:rsid w:val="000D53B6"/>
    <w:rsid w:val="000D5673"/>
    <w:rsid w:val="000D6013"/>
    <w:rsid w:val="000D6064"/>
    <w:rsid w:val="000D616C"/>
    <w:rsid w:val="000D6EA6"/>
    <w:rsid w:val="000D7083"/>
    <w:rsid w:val="000E0DDB"/>
    <w:rsid w:val="000E1B46"/>
    <w:rsid w:val="000E1D90"/>
    <w:rsid w:val="000E2AD9"/>
    <w:rsid w:val="000E2E1B"/>
    <w:rsid w:val="000E342F"/>
    <w:rsid w:val="000E3BE6"/>
    <w:rsid w:val="000E4122"/>
    <w:rsid w:val="000E5375"/>
    <w:rsid w:val="000E5BDD"/>
    <w:rsid w:val="000E5C22"/>
    <w:rsid w:val="000E6102"/>
    <w:rsid w:val="000E65AA"/>
    <w:rsid w:val="000E6ABC"/>
    <w:rsid w:val="000E6E64"/>
    <w:rsid w:val="000E72A2"/>
    <w:rsid w:val="000F004E"/>
    <w:rsid w:val="000F2DFE"/>
    <w:rsid w:val="000F3E97"/>
    <w:rsid w:val="000F429D"/>
    <w:rsid w:val="000F5450"/>
    <w:rsid w:val="000F5996"/>
    <w:rsid w:val="000F5C5E"/>
    <w:rsid w:val="000F615F"/>
    <w:rsid w:val="000F633D"/>
    <w:rsid w:val="000F682D"/>
    <w:rsid w:val="000F6D6B"/>
    <w:rsid w:val="000F7994"/>
    <w:rsid w:val="00101D12"/>
    <w:rsid w:val="0010347A"/>
    <w:rsid w:val="001040FA"/>
    <w:rsid w:val="001049FF"/>
    <w:rsid w:val="001050DD"/>
    <w:rsid w:val="00106AC9"/>
    <w:rsid w:val="00106F7E"/>
    <w:rsid w:val="00107B34"/>
    <w:rsid w:val="00107E51"/>
    <w:rsid w:val="00110A6F"/>
    <w:rsid w:val="00110B21"/>
    <w:rsid w:val="00111802"/>
    <w:rsid w:val="00112080"/>
    <w:rsid w:val="00112255"/>
    <w:rsid w:val="0011381E"/>
    <w:rsid w:val="001140E4"/>
    <w:rsid w:val="00114BFC"/>
    <w:rsid w:val="00114F03"/>
    <w:rsid w:val="001155E8"/>
    <w:rsid w:val="00115A5C"/>
    <w:rsid w:val="00117D39"/>
    <w:rsid w:val="00117E0D"/>
    <w:rsid w:val="00121720"/>
    <w:rsid w:val="00121915"/>
    <w:rsid w:val="00121C33"/>
    <w:rsid w:val="00122661"/>
    <w:rsid w:val="001226DB"/>
    <w:rsid w:val="00122AA1"/>
    <w:rsid w:val="001234C5"/>
    <w:rsid w:val="00123CC1"/>
    <w:rsid w:val="001242FD"/>
    <w:rsid w:val="00124A79"/>
    <w:rsid w:val="00124F19"/>
    <w:rsid w:val="0012526A"/>
    <w:rsid w:val="0012591E"/>
    <w:rsid w:val="00125B5A"/>
    <w:rsid w:val="0012639B"/>
    <w:rsid w:val="00126960"/>
    <w:rsid w:val="0012698E"/>
    <w:rsid w:val="00127610"/>
    <w:rsid w:val="001306DB"/>
    <w:rsid w:val="00130A2E"/>
    <w:rsid w:val="00130C71"/>
    <w:rsid w:val="001323EF"/>
    <w:rsid w:val="00132A93"/>
    <w:rsid w:val="00132D4D"/>
    <w:rsid w:val="0013409B"/>
    <w:rsid w:val="00135F65"/>
    <w:rsid w:val="001363D9"/>
    <w:rsid w:val="00140F4F"/>
    <w:rsid w:val="001416AD"/>
    <w:rsid w:val="00141A52"/>
    <w:rsid w:val="001422DB"/>
    <w:rsid w:val="001429CF"/>
    <w:rsid w:val="001429EF"/>
    <w:rsid w:val="001433C5"/>
    <w:rsid w:val="001440E5"/>
    <w:rsid w:val="0014446D"/>
    <w:rsid w:val="00144DB0"/>
    <w:rsid w:val="001453B7"/>
    <w:rsid w:val="00145BAF"/>
    <w:rsid w:val="001473F5"/>
    <w:rsid w:val="0014766A"/>
    <w:rsid w:val="00147ADB"/>
    <w:rsid w:val="001503EE"/>
    <w:rsid w:val="00150904"/>
    <w:rsid w:val="001514E7"/>
    <w:rsid w:val="00151A9C"/>
    <w:rsid w:val="00151CDB"/>
    <w:rsid w:val="00152B77"/>
    <w:rsid w:val="00152E42"/>
    <w:rsid w:val="00153045"/>
    <w:rsid w:val="00153523"/>
    <w:rsid w:val="001537D0"/>
    <w:rsid w:val="00155BA2"/>
    <w:rsid w:val="00155FC2"/>
    <w:rsid w:val="00156BEF"/>
    <w:rsid w:val="00156C85"/>
    <w:rsid w:val="00156CF5"/>
    <w:rsid w:val="00157CA3"/>
    <w:rsid w:val="0016033D"/>
    <w:rsid w:val="001618A1"/>
    <w:rsid w:val="00161E4C"/>
    <w:rsid w:val="00161FC1"/>
    <w:rsid w:val="00163AB8"/>
    <w:rsid w:val="001659F6"/>
    <w:rsid w:val="00165FE0"/>
    <w:rsid w:val="00167729"/>
    <w:rsid w:val="00167DCE"/>
    <w:rsid w:val="001704A4"/>
    <w:rsid w:val="0017087D"/>
    <w:rsid w:val="00171715"/>
    <w:rsid w:val="00171C57"/>
    <w:rsid w:val="00171DA5"/>
    <w:rsid w:val="00172596"/>
    <w:rsid w:val="00172E14"/>
    <w:rsid w:val="00174B68"/>
    <w:rsid w:val="00176346"/>
    <w:rsid w:val="00176D18"/>
    <w:rsid w:val="00177586"/>
    <w:rsid w:val="001775FE"/>
    <w:rsid w:val="00180537"/>
    <w:rsid w:val="001808BD"/>
    <w:rsid w:val="00180B34"/>
    <w:rsid w:val="00180BCA"/>
    <w:rsid w:val="00180DFD"/>
    <w:rsid w:val="001838DB"/>
    <w:rsid w:val="00184F19"/>
    <w:rsid w:val="001850D3"/>
    <w:rsid w:val="00185973"/>
    <w:rsid w:val="00186B60"/>
    <w:rsid w:val="00187290"/>
    <w:rsid w:val="001910B6"/>
    <w:rsid w:val="001917E2"/>
    <w:rsid w:val="001921F1"/>
    <w:rsid w:val="001926FA"/>
    <w:rsid w:val="00192AEF"/>
    <w:rsid w:val="001933F8"/>
    <w:rsid w:val="001936E3"/>
    <w:rsid w:val="00194718"/>
    <w:rsid w:val="001948DF"/>
    <w:rsid w:val="00195202"/>
    <w:rsid w:val="001959FB"/>
    <w:rsid w:val="001963AA"/>
    <w:rsid w:val="0019696F"/>
    <w:rsid w:val="001969D2"/>
    <w:rsid w:val="00196A2D"/>
    <w:rsid w:val="001A01B5"/>
    <w:rsid w:val="001A01ED"/>
    <w:rsid w:val="001A05BD"/>
    <w:rsid w:val="001A33AB"/>
    <w:rsid w:val="001A3460"/>
    <w:rsid w:val="001A3D77"/>
    <w:rsid w:val="001A4B08"/>
    <w:rsid w:val="001A548E"/>
    <w:rsid w:val="001A5549"/>
    <w:rsid w:val="001A59AB"/>
    <w:rsid w:val="001A73B8"/>
    <w:rsid w:val="001A7600"/>
    <w:rsid w:val="001B05E0"/>
    <w:rsid w:val="001B06B1"/>
    <w:rsid w:val="001B094E"/>
    <w:rsid w:val="001B0E3D"/>
    <w:rsid w:val="001B1003"/>
    <w:rsid w:val="001B13F9"/>
    <w:rsid w:val="001B1AA2"/>
    <w:rsid w:val="001B261D"/>
    <w:rsid w:val="001B2F5B"/>
    <w:rsid w:val="001B2F99"/>
    <w:rsid w:val="001B3DEC"/>
    <w:rsid w:val="001B41A3"/>
    <w:rsid w:val="001B4619"/>
    <w:rsid w:val="001B4C4C"/>
    <w:rsid w:val="001B5483"/>
    <w:rsid w:val="001B56FA"/>
    <w:rsid w:val="001B5D7A"/>
    <w:rsid w:val="001B6CF1"/>
    <w:rsid w:val="001B6E7C"/>
    <w:rsid w:val="001B76D1"/>
    <w:rsid w:val="001B7E10"/>
    <w:rsid w:val="001B7FB8"/>
    <w:rsid w:val="001C047C"/>
    <w:rsid w:val="001C0AC1"/>
    <w:rsid w:val="001C0C54"/>
    <w:rsid w:val="001C0D63"/>
    <w:rsid w:val="001C11E0"/>
    <w:rsid w:val="001C1554"/>
    <w:rsid w:val="001C18CD"/>
    <w:rsid w:val="001C2461"/>
    <w:rsid w:val="001C254A"/>
    <w:rsid w:val="001C2E00"/>
    <w:rsid w:val="001C4AC1"/>
    <w:rsid w:val="001C4F75"/>
    <w:rsid w:val="001C6869"/>
    <w:rsid w:val="001C6DB5"/>
    <w:rsid w:val="001C6FAB"/>
    <w:rsid w:val="001D0FAA"/>
    <w:rsid w:val="001D154B"/>
    <w:rsid w:val="001D2386"/>
    <w:rsid w:val="001D26E3"/>
    <w:rsid w:val="001D3899"/>
    <w:rsid w:val="001D4036"/>
    <w:rsid w:val="001D4607"/>
    <w:rsid w:val="001D47AD"/>
    <w:rsid w:val="001D4AF4"/>
    <w:rsid w:val="001D54DB"/>
    <w:rsid w:val="001D73FE"/>
    <w:rsid w:val="001D7751"/>
    <w:rsid w:val="001D7CAB"/>
    <w:rsid w:val="001D7D1F"/>
    <w:rsid w:val="001E0317"/>
    <w:rsid w:val="001E038D"/>
    <w:rsid w:val="001E1F2F"/>
    <w:rsid w:val="001E1FBF"/>
    <w:rsid w:val="001E20FB"/>
    <w:rsid w:val="001E2426"/>
    <w:rsid w:val="001E2779"/>
    <w:rsid w:val="001E37E7"/>
    <w:rsid w:val="001E3BB0"/>
    <w:rsid w:val="001E447C"/>
    <w:rsid w:val="001E4595"/>
    <w:rsid w:val="001E476F"/>
    <w:rsid w:val="001E4978"/>
    <w:rsid w:val="001E51DA"/>
    <w:rsid w:val="001E528B"/>
    <w:rsid w:val="001E568E"/>
    <w:rsid w:val="001E57F2"/>
    <w:rsid w:val="001E6C6F"/>
    <w:rsid w:val="001E75AF"/>
    <w:rsid w:val="001E7CE0"/>
    <w:rsid w:val="001F06C8"/>
    <w:rsid w:val="001F1938"/>
    <w:rsid w:val="001F1D69"/>
    <w:rsid w:val="001F29E3"/>
    <w:rsid w:val="001F2A26"/>
    <w:rsid w:val="001F3481"/>
    <w:rsid w:val="001F3778"/>
    <w:rsid w:val="001F43B5"/>
    <w:rsid w:val="001F5371"/>
    <w:rsid w:val="001F568F"/>
    <w:rsid w:val="001F59D4"/>
    <w:rsid w:val="001F5D97"/>
    <w:rsid w:val="001F5DF2"/>
    <w:rsid w:val="00200B1C"/>
    <w:rsid w:val="00200FEF"/>
    <w:rsid w:val="002013D4"/>
    <w:rsid w:val="00201811"/>
    <w:rsid w:val="00201861"/>
    <w:rsid w:val="00202157"/>
    <w:rsid w:val="00202310"/>
    <w:rsid w:val="00203FB3"/>
    <w:rsid w:val="002042AE"/>
    <w:rsid w:val="00205E1C"/>
    <w:rsid w:val="002063F1"/>
    <w:rsid w:val="0020714F"/>
    <w:rsid w:val="00207734"/>
    <w:rsid w:val="00207A78"/>
    <w:rsid w:val="0021014D"/>
    <w:rsid w:val="00210202"/>
    <w:rsid w:val="002105F9"/>
    <w:rsid w:val="00211189"/>
    <w:rsid w:val="00212743"/>
    <w:rsid w:val="002129D6"/>
    <w:rsid w:val="0021514F"/>
    <w:rsid w:val="002151E7"/>
    <w:rsid w:val="002152C3"/>
    <w:rsid w:val="002165CD"/>
    <w:rsid w:val="00216F0E"/>
    <w:rsid w:val="002178B4"/>
    <w:rsid w:val="00217B24"/>
    <w:rsid w:val="00220006"/>
    <w:rsid w:val="002200D9"/>
    <w:rsid w:val="0022033D"/>
    <w:rsid w:val="00221711"/>
    <w:rsid w:val="00221A20"/>
    <w:rsid w:val="00223A62"/>
    <w:rsid w:val="00224D87"/>
    <w:rsid w:val="002256DA"/>
    <w:rsid w:val="00225994"/>
    <w:rsid w:val="00225B25"/>
    <w:rsid w:val="00226874"/>
    <w:rsid w:val="00226C06"/>
    <w:rsid w:val="00226E88"/>
    <w:rsid w:val="002301E6"/>
    <w:rsid w:val="00231459"/>
    <w:rsid w:val="00232D76"/>
    <w:rsid w:val="00232FE5"/>
    <w:rsid w:val="00233FE8"/>
    <w:rsid w:val="0023700D"/>
    <w:rsid w:val="002370C9"/>
    <w:rsid w:val="00237A77"/>
    <w:rsid w:val="00237DCE"/>
    <w:rsid w:val="00240217"/>
    <w:rsid w:val="00240C78"/>
    <w:rsid w:val="00245D35"/>
    <w:rsid w:val="00245EBD"/>
    <w:rsid w:val="0024665E"/>
    <w:rsid w:val="0024717A"/>
    <w:rsid w:val="002472FC"/>
    <w:rsid w:val="00247EB8"/>
    <w:rsid w:val="00250AA9"/>
    <w:rsid w:val="00251A1F"/>
    <w:rsid w:val="00251C2C"/>
    <w:rsid w:val="00251E31"/>
    <w:rsid w:val="00252833"/>
    <w:rsid w:val="00252D43"/>
    <w:rsid w:val="00253042"/>
    <w:rsid w:val="00253B81"/>
    <w:rsid w:val="00254396"/>
    <w:rsid w:val="0025459B"/>
    <w:rsid w:val="002545FA"/>
    <w:rsid w:val="00254852"/>
    <w:rsid w:val="002554B7"/>
    <w:rsid w:val="00255515"/>
    <w:rsid w:val="00260053"/>
    <w:rsid w:val="00261658"/>
    <w:rsid w:val="002616A5"/>
    <w:rsid w:val="0026180B"/>
    <w:rsid w:val="002618B9"/>
    <w:rsid w:val="00261BE8"/>
    <w:rsid w:val="00261E25"/>
    <w:rsid w:val="00261F65"/>
    <w:rsid w:val="00262B43"/>
    <w:rsid w:val="00263ACE"/>
    <w:rsid w:val="002649EF"/>
    <w:rsid w:val="002650FE"/>
    <w:rsid w:val="0026680B"/>
    <w:rsid w:val="00266FD9"/>
    <w:rsid w:val="0027022B"/>
    <w:rsid w:val="00271480"/>
    <w:rsid w:val="0027172B"/>
    <w:rsid w:val="00271F23"/>
    <w:rsid w:val="002723B6"/>
    <w:rsid w:val="00272DA3"/>
    <w:rsid w:val="00272EC5"/>
    <w:rsid w:val="00272FA1"/>
    <w:rsid w:val="00273684"/>
    <w:rsid w:val="00273F12"/>
    <w:rsid w:val="0027440A"/>
    <w:rsid w:val="00274E3E"/>
    <w:rsid w:val="00275267"/>
    <w:rsid w:val="00275480"/>
    <w:rsid w:val="00275525"/>
    <w:rsid w:val="00277EFB"/>
    <w:rsid w:val="00280635"/>
    <w:rsid w:val="00280B67"/>
    <w:rsid w:val="00281171"/>
    <w:rsid w:val="002823F0"/>
    <w:rsid w:val="0028323E"/>
    <w:rsid w:val="00283995"/>
    <w:rsid w:val="002840AF"/>
    <w:rsid w:val="00284A0E"/>
    <w:rsid w:val="00286517"/>
    <w:rsid w:val="0028659C"/>
    <w:rsid w:val="00286759"/>
    <w:rsid w:val="00286840"/>
    <w:rsid w:val="00287C67"/>
    <w:rsid w:val="00290120"/>
    <w:rsid w:val="0029176B"/>
    <w:rsid w:val="00291D9F"/>
    <w:rsid w:val="002922F9"/>
    <w:rsid w:val="00293C4C"/>
    <w:rsid w:val="00293F7D"/>
    <w:rsid w:val="00296FB7"/>
    <w:rsid w:val="002971F9"/>
    <w:rsid w:val="00297E65"/>
    <w:rsid w:val="002A0942"/>
    <w:rsid w:val="002A0DBF"/>
    <w:rsid w:val="002A33B0"/>
    <w:rsid w:val="002A5F9F"/>
    <w:rsid w:val="002A6A4E"/>
    <w:rsid w:val="002B1378"/>
    <w:rsid w:val="002B224C"/>
    <w:rsid w:val="002B226A"/>
    <w:rsid w:val="002B2423"/>
    <w:rsid w:val="002B2700"/>
    <w:rsid w:val="002B2776"/>
    <w:rsid w:val="002B35A8"/>
    <w:rsid w:val="002B4B4D"/>
    <w:rsid w:val="002B5098"/>
    <w:rsid w:val="002B522D"/>
    <w:rsid w:val="002B77F3"/>
    <w:rsid w:val="002C043E"/>
    <w:rsid w:val="002C18A5"/>
    <w:rsid w:val="002C1A9B"/>
    <w:rsid w:val="002C2834"/>
    <w:rsid w:val="002C2E4A"/>
    <w:rsid w:val="002C2FDD"/>
    <w:rsid w:val="002C33FA"/>
    <w:rsid w:val="002C3F76"/>
    <w:rsid w:val="002C4364"/>
    <w:rsid w:val="002C4982"/>
    <w:rsid w:val="002C4E3C"/>
    <w:rsid w:val="002C7526"/>
    <w:rsid w:val="002C7545"/>
    <w:rsid w:val="002C77BE"/>
    <w:rsid w:val="002C7A0B"/>
    <w:rsid w:val="002C7E91"/>
    <w:rsid w:val="002D0853"/>
    <w:rsid w:val="002D09CD"/>
    <w:rsid w:val="002D0FC4"/>
    <w:rsid w:val="002D1C18"/>
    <w:rsid w:val="002D21BF"/>
    <w:rsid w:val="002D2636"/>
    <w:rsid w:val="002D327E"/>
    <w:rsid w:val="002D6CDE"/>
    <w:rsid w:val="002D6F79"/>
    <w:rsid w:val="002D7BA7"/>
    <w:rsid w:val="002E011D"/>
    <w:rsid w:val="002E0819"/>
    <w:rsid w:val="002E09E9"/>
    <w:rsid w:val="002E0B57"/>
    <w:rsid w:val="002E0F9B"/>
    <w:rsid w:val="002E2078"/>
    <w:rsid w:val="002E21F4"/>
    <w:rsid w:val="002E2CDF"/>
    <w:rsid w:val="002E3892"/>
    <w:rsid w:val="002E3E7E"/>
    <w:rsid w:val="002E4703"/>
    <w:rsid w:val="002E5C79"/>
    <w:rsid w:val="002E6132"/>
    <w:rsid w:val="002E6FDD"/>
    <w:rsid w:val="002E7F22"/>
    <w:rsid w:val="002F0067"/>
    <w:rsid w:val="002F0B56"/>
    <w:rsid w:val="002F1196"/>
    <w:rsid w:val="002F33B1"/>
    <w:rsid w:val="002F3527"/>
    <w:rsid w:val="002F3D6E"/>
    <w:rsid w:val="002F47AD"/>
    <w:rsid w:val="002F6995"/>
    <w:rsid w:val="002F7590"/>
    <w:rsid w:val="002F76E5"/>
    <w:rsid w:val="002F790C"/>
    <w:rsid w:val="00301183"/>
    <w:rsid w:val="00301FFB"/>
    <w:rsid w:val="0030271F"/>
    <w:rsid w:val="00302F92"/>
    <w:rsid w:val="00304FCE"/>
    <w:rsid w:val="00305FD7"/>
    <w:rsid w:val="00306556"/>
    <w:rsid w:val="003100BC"/>
    <w:rsid w:val="003104DA"/>
    <w:rsid w:val="00311585"/>
    <w:rsid w:val="00311CD4"/>
    <w:rsid w:val="00315882"/>
    <w:rsid w:val="00316A1A"/>
    <w:rsid w:val="00316A23"/>
    <w:rsid w:val="00317D22"/>
    <w:rsid w:val="003205D3"/>
    <w:rsid w:val="0032278A"/>
    <w:rsid w:val="00323B35"/>
    <w:rsid w:val="003245CE"/>
    <w:rsid w:val="00324864"/>
    <w:rsid w:val="00324D2D"/>
    <w:rsid w:val="00326CE2"/>
    <w:rsid w:val="00327196"/>
    <w:rsid w:val="00327624"/>
    <w:rsid w:val="00327710"/>
    <w:rsid w:val="0033053F"/>
    <w:rsid w:val="0033071E"/>
    <w:rsid w:val="00331899"/>
    <w:rsid w:val="00333B3F"/>
    <w:rsid w:val="00334091"/>
    <w:rsid w:val="00334C4B"/>
    <w:rsid w:val="003354AD"/>
    <w:rsid w:val="00335B2E"/>
    <w:rsid w:val="00336D33"/>
    <w:rsid w:val="00337A2E"/>
    <w:rsid w:val="00337FEE"/>
    <w:rsid w:val="00340967"/>
    <w:rsid w:val="00340A7B"/>
    <w:rsid w:val="00340BCD"/>
    <w:rsid w:val="00341090"/>
    <w:rsid w:val="003428B8"/>
    <w:rsid w:val="00343317"/>
    <w:rsid w:val="00345A23"/>
    <w:rsid w:val="00346C35"/>
    <w:rsid w:val="00346FE3"/>
    <w:rsid w:val="0035001A"/>
    <w:rsid w:val="00350368"/>
    <w:rsid w:val="0035059E"/>
    <w:rsid w:val="00350A4C"/>
    <w:rsid w:val="00351A6A"/>
    <w:rsid w:val="00352166"/>
    <w:rsid w:val="003531D4"/>
    <w:rsid w:val="003533D1"/>
    <w:rsid w:val="00353ECF"/>
    <w:rsid w:val="00354136"/>
    <w:rsid w:val="00354543"/>
    <w:rsid w:val="00354C08"/>
    <w:rsid w:val="00354D4F"/>
    <w:rsid w:val="00354F40"/>
    <w:rsid w:val="00355171"/>
    <w:rsid w:val="0035526C"/>
    <w:rsid w:val="003559C6"/>
    <w:rsid w:val="00356702"/>
    <w:rsid w:val="0035705F"/>
    <w:rsid w:val="00360DCB"/>
    <w:rsid w:val="00361847"/>
    <w:rsid w:val="00361FB3"/>
    <w:rsid w:val="00362741"/>
    <w:rsid w:val="0036281B"/>
    <w:rsid w:val="003640D3"/>
    <w:rsid w:val="00364277"/>
    <w:rsid w:val="00364730"/>
    <w:rsid w:val="00365356"/>
    <w:rsid w:val="003661BF"/>
    <w:rsid w:val="0036737D"/>
    <w:rsid w:val="00367689"/>
    <w:rsid w:val="003678CA"/>
    <w:rsid w:val="00370A36"/>
    <w:rsid w:val="00371FAD"/>
    <w:rsid w:val="0037289D"/>
    <w:rsid w:val="00375554"/>
    <w:rsid w:val="003761EA"/>
    <w:rsid w:val="00376372"/>
    <w:rsid w:val="00376C03"/>
    <w:rsid w:val="00380AF3"/>
    <w:rsid w:val="00382196"/>
    <w:rsid w:val="003823A5"/>
    <w:rsid w:val="00382610"/>
    <w:rsid w:val="00382872"/>
    <w:rsid w:val="00383094"/>
    <w:rsid w:val="00384DA0"/>
    <w:rsid w:val="003865E9"/>
    <w:rsid w:val="00386612"/>
    <w:rsid w:val="00386CCF"/>
    <w:rsid w:val="00387068"/>
    <w:rsid w:val="00390AAD"/>
    <w:rsid w:val="00390E53"/>
    <w:rsid w:val="00390EBF"/>
    <w:rsid w:val="00390FD6"/>
    <w:rsid w:val="0039167F"/>
    <w:rsid w:val="00394EAA"/>
    <w:rsid w:val="00395432"/>
    <w:rsid w:val="00395833"/>
    <w:rsid w:val="00395F8D"/>
    <w:rsid w:val="00396834"/>
    <w:rsid w:val="00396D21"/>
    <w:rsid w:val="00397C54"/>
    <w:rsid w:val="003A0004"/>
    <w:rsid w:val="003A0691"/>
    <w:rsid w:val="003A09F7"/>
    <w:rsid w:val="003A131E"/>
    <w:rsid w:val="003A2F7E"/>
    <w:rsid w:val="003A3159"/>
    <w:rsid w:val="003A4AEA"/>
    <w:rsid w:val="003A4AF1"/>
    <w:rsid w:val="003A5C2C"/>
    <w:rsid w:val="003A75C8"/>
    <w:rsid w:val="003A776C"/>
    <w:rsid w:val="003A7B1A"/>
    <w:rsid w:val="003B0A70"/>
    <w:rsid w:val="003B105F"/>
    <w:rsid w:val="003B144A"/>
    <w:rsid w:val="003B156F"/>
    <w:rsid w:val="003B1FB0"/>
    <w:rsid w:val="003B2031"/>
    <w:rsid w:val="003B305C"/>
    <w:rsid w:val="003B3B1B"/>
    <w:rsid w:val="003B41B9"/>
    <w:rsid w:val="003B42E5"/>
    <w:rsid w:val="003B4795"/>
    <w:rsid w:val="003B47CD"/>
    <w:rsid w:val="003B4A13"/>
    <w:rsid w:val="003B4B97"/>
    <w:rsid w:val="003B67F1"/>
    <w:rsid w:val="003B681B"/>
    <w:rsid w:val="003B74FE"/>
    <w:rsid w:val="003B7878"/>
    <w:rsid w:val="003B7F98"/>
    <w:rsid w:val="003C02D1"/>
    <w:rsid w:val="003C0411"/>
    <w:rsid w:val="003C214F"/>
    <w:rsid w:val="003C22BC"/>
    <w:rsid w:val="003C2BF3"/>
    <w:rsid w:val="003C35B4"/>
    <w:rsid w:val="003C3A3D"/>
    <w:rsid w:val="003C48B3"/>
    <w:rsid w:val="003C58C0"/>
    <w:rsid w:val="003C6060"/>
    <w:rsid w:val="003C67F1"/>
    <w:rsid w:val="003C7856"/>
    <w:rsid w:val="003C7A44"/>
    <w:rsid w:val="003D14EB"/>
    <w:rsid w:val="003D1A9A"/>
    <w:rsid w:val="003D20BD"/>
    <w:rsid w:val="003D29E7"/>
    <w:rsid w:val="003D35A6"/>
    <w:rsid w:val="003D35B7"/>
    <w:rsid w:val="003D3AA4"/>
    <w:rsid w:val="003D5D3C"/>
    <w:rsid w:val="003D6F73"/>
    <w:rsid w:val="003D7912"/>
    <w:rsid w:val="003E03AD"/>
    <w:rsid w:val="003E2907"/>
    <w:rsid w:val="003E43FB"/>
    <w:rsid w:val="003E5212"/>
    <w:rsid w:val="003E692D"/>
    <w:rsid w:val="003E7AC3"/>
    <w:rsid w:val="003F05D2"/>
    <w:rsid w:val="003F06D9"/>
    <w:rsid w:val="003F1595"/>
    <w:rsid w:val="003F23DD"/>
    <w:rsid w:val="003F2DA1"/>
    <w:rsid w:val="003F2E12"/>
    <w:rsid w:val="003F3061"/>
    <w:rsid w:val="003F365A"/>
    <w:rsid w:val="003F3D07"/>
    <w:rsid w:val="003F4202"/>
    <w:rsid w:val="003F4C65"/>
    <w:rsid w:val="003F5080"/>
    <w:rsid w:val="003F5974"/>
    <w:rsid w:val="003F774B"/>
    <w:rsid w:val="00400198"/>
    <w:rsid w:val="0040453C"/>
    <w:rsid w:val="004049B4"/>
    <w:rsid w:val="00405531"/>
    <w:rsid w:val="00405A29"/>
    <w:rsid w:val="00405A5E"/>
    <w:rsid w:val="0040742A"/>
    <w:rsid w:val="00407A22"/>
    <w:rsid w:val="00407C7B"/>
    <w:rsid w:val="00410BE6"/>
    <w:rsid w:val="004127D1"/>
    <w:rsid w:val="00413000"/>
    <w:rsid w:val="00413C5A"/>
    <w:rsid w:val="00413DB3"/>
    <w:rsid w:val="004149B1"/>
    <w:rsid w:val="0041517F"/>
    <w:rsid w:val="0041534C"/>
    <w:rsid w:val="00415A6B"/>
    <w:rsid w:val="00415E97"/>
    <w:rsid w:val="0041710D"/>
    <w:rsid w:val="00417396"/>
    <w:rsid w:val="004173F1"/>
    <w:rsid w:val="0041788E"/>
    <w:rsid w:val="00420192"/>
    <w:rsid w:val="00420DEB"/>
    <w:rsid w:val="00421B4F"/>
    <w:rsid w:val="00422AB1"/>
    <w:rsid w:val="00423A2E"/>
    <w:rsid w:val="00424483"/>
    <w:rsid w:val="00424B31"/>
    <w:rsid w:val="00425D6F"/>
    <w:rsid w:val="00426656"/>
    <w:rsid w:val="00426990"/>
    <w:rsid w:val="00427299"/>
    <w:rsid w:val="00430100"/>
    <w:rsid w:val="00434381"/>
    <w:rsid w:val="0043451C"/>
    <w:rsid w:val="00434875"/>
    <w:rsid w:val="00435E1F"/>
    <w:rsid w:val="004360D4"/>
    <w:rsid w:val="004365F0"/>
    <w:rsid w:val="00436EAC"/>
    <w:rsid w:val="0043716A"/>
    <w:rsid w:val="004377A5"/>
    <w:rsid w:val="00437851"/>
    <w:rsid w:val="004405DA"/>
    <w:rsid w:val="00440E15"/>
    <w:rsid w:val="004419B4"/>
    <w:rsid w:val="00442E54"/>
    <w:rsid w:val="00443838"/>
    <w:rsid w:val="00443C9F"/>
    <w:rsid w:val="00444340"/>
    <w:rsid w:val="004448B3"/>
    <w:rsid w:val="00444A0D"/>
    <w:rsid w:val="00444A1B"/>
    <w:rsid w:val="0044663F"/>
    <w:rsid w:val="00447093"/>
    <w:rsid w:val="00447389"/>
    <w:rsid w:val="004477F9"/>
    <w:rsid w:val="0045059C"/>
    <w:rsid w:val="00451F4E"/>
    <w:rsid w:val="004522F8"/>
    <w:rsid w:val="004528C0"/>
    <w:rsid w:val="00452BA4"/>
    <w:rsid w:val="004549AD"/>
    <w:rsid w:val="00454B83"/>
    <w:rsid w:val="004568BD"/>
    <w:rsid w:val="00456D1C"/>
    <w:rsid w:val="00457187"/>
    <w:rsid w:val="00457318"/>
    <w:rsid w:val="00461911"/>
    <w:rsid w:val="00463D16"/>
    <w:rsid w:val="00464F96"/>
    <w:rsid w:val="00466081"/>
    <w:rsid w:val="00467B13"/>
    <w:rsid w:val="00470394"/>
    <w:rsid w:val="004714B3"/>
    <w:rsid w:val="004715E1"/>
    <w:rsid w:val="004722B5"/>
    <w:rsid w:val="00474B74"/>
    <w:rsid w:val="004755CE"/>
    <w:rsid w:val="00475806"/>
    <w:rsid w:val="00476627"/>
    <w:rsid w:val="00476CA9"/>
    <w:rsid w:val="0047771E"/>
    <w:rsid w:val="00477A39"/>
    <w:rsid w:val="00481592"/>
    <w:rsid w:val="00481B50"/>
    <w:rsid w:val="00483043"/>
    <w:rsid w:val="00483B98"/>
    <w:rsid w:val="004847E8"/>
    <w:rsid w:val="0048595F"/>
    <w:rsid w:val="00485E8A"/>
    <w:rsid w:val="00485EA7"/>
    <w:rsid w:val="00485ED0"/>
    <w:rsid w:val="00487489"/>
    <w:rsid w:val="004909B9"/>
    <w:rsid w:val="004913AE"/>
    <w:rsid w:val="004926FA"/>
    <w:rsid w:val="00494001"/>
    <w:rsid w:val="00494210"/>
    <w:rsid w:val="0049485D"/>
    <w:rsid w:val="00494B1E"/>
    <w:rsid w:val="00495896"/>
    <w:rsid w:val="00495B2A"/>
    <w:rsid w:val="00495CBF"/>
    <w:rsid w:val="00495F15"/>
    <w:rsid w:val="004961CF"/>
    <w:rsid w:val="00496241"/>
    <w:rsid w:val="00496A80"/>
    <w:rsid w:val="00496FA6"/>
    <w:rsid w:val="00497455"/>
    <w:rsid w:val="00497BCC"/>
    <w:rsid w:val="004A099B"/>
    <w:rsid w:val="004A15A3"/>
    <w:rsid w:val="004A162E"/>
    <w:rsid w:val="004A1880"/>
    <w:rsid w:val="004A24D1"/>
    <w:rsid w:val="004A2658"/>
    <w:rsid w:val="004A285D"/>
    <w:rsid w:val="004A2AC5"/>
    <w:rsid w:val="004A3114"/>
    <w:rsid w:val="004A3CE5"/>
    <w:rsid w:val="004A434D"/>
    <w:rsid w:val="004A5F07"/>
    <w:rsid w:val="004A627F"/>
    <w:rsid w:val="004A670A"/>
    <w:rsid w:val="004A6C45"/>
    <w:rsid w:val="004A6CC5"/>
    <w:rsid w:val="004A749C"/>
    <w:rsid w:val="004A7C77"/>
    <w:rsid w:val="004B0369"/>
    <w:rsid w:val="004B14EC"/>
    <w:rsid w:val="004B1924"/>
    <w:rsid w:val="004B38A1"/>
    <w:rsid w:val="004B39DE"/>
    <w:rsid w:val="004B3D97"/>
    <w:rsid w:val="004B44F0"/>
    <w:rsid w:val="004B5014"/>
    <w:rsid w:val="004B606D"/>
    <w:rsid w:val="004B6F49"/>
    <w:rsid w:val="004B77F6"/>
    <w:rsid w:val="004C077E"/>
    <w:rsid w:val="004C0924"/>
    <w:rsid w:val="004C1053"/>
    <w:rsid w:val="004C188F"/>
    <w:rsid w:val="004C20FC"/>
    <w:rsid w:val="004C256F"/>
    <w:rsid w:val="004C3236"/>
    <w:rsid w:val="004C3B89"/>
    <w:rsid w:val="004C56B6"/>
    <w:rsid w:val="004C5C6F"/>
    <w:rsid w:val="004C6002"/>
    <w:rsid w:val="004C60E8"/>
    <w:rsid w:val="004C6F70"/>
    <w:rsid w:val="004C7532"/>
    <w:rsid w:val="004C7908"/>
    <w:rsid w:val="004D0F6D"/>
    <w:rsid w:val="004D15E7"/>
    <w:rsid w:val="004D218B"/>
    <w:rsid w:val="004D2B2C"/>
    <w:rsid w:val="004D3A9F"/>
    <w:rsid w:val="004D41A8"/>
    <w:rsid w:val="004D469B"/>
    <w:rsid w:val="004D5E6C"/>
    <w:rsid w:val="004D6265"/>
    <w:rsid w:val="004D710B"/>
    <w:rsid w:val="004E0554"/>
    <w:rsid w:val="004E12CD"/>
    <w:rsid w:val="004E1381"/>
    <w:rsid w:val="004E13C4"/>
    <w:rsid w:val="004E299D"/>
    <w:rsid w:val="004E2A56"/>
    <w:rsid w:val="004E2C29"/>
    <w:rsid w:val="004E3DEF"/>
    <w:rsid w:val="004E51B2"/>
    <w:rsid w:val="004E53F9"/>
    <w:rsid w:val="004E621C"/>
    <w:rsid w:val="004E7C6C"/>
    <w:rsid w:val="004F0008"/>
    <w:rsid w:val="004F06DB"/>
    <w:rsid w:val="004F1367"/>
    <w:rsid w:val="004F18B9"/>
    <w:rsid w:val="004F2ACB"/>
    <w:rsid w:val="004F3077"/>
    <w:rsid w:val="004F3BA3"/>
    <w:rsid w:val="004F48EF"/>
    <w:rsid w:val="004F6087"/>
    <w:rsid w:val="004F640D"/>
    <w:rsid w:val="004F648D"/>
    <w:rsid w:val="004F6BA9"/>
    <w:rsid w:val="00500519"/>
    <w:rsid w:val="00502262"/>
    <w:rsid w:val="005036FF"/>
    <w:rsid w:val="005043A6"/>
    <w:rsid w:val="00505E05"/>
    <w:rsid w:val="00506CDC"/>
    <w:rsid w:val="00506D07"/>
    <w:rsid w:val="005073FF"/>
    <w:rsid w:val="005075ED"/>
    <w:rsid w:val="00507649"/>
    <w:rsid w:val="00507AFD"/>
    <w:rsid w:val="00507FE4"/>
    <w:rsid w:val="005103E8"/>
    <w:rsid w:val="00510467"/>
    <w:rsid w:val="005112CD"/>
    <w:rsid w:val="00511407"/>
    <w:rsid w:val="00511574"/>
    <w:rsid w:val="00511B0C"/>
    <w:rsid w:val="00512216"/>
    <w:rsid w:val="00512607"/>
    <w:rsid w:val="00513571"/>
    <w:rsid w:val="0051432E"/>
    <w:rsid w:val="00515465"/>
    <w:rsid w:val="0051696C"/>
    <w:rsid w:val="005230CE"/>
    <w:rsid w:val="0052388D"/>
    <w:rsid w:val="005240FF"/>
    <w:rsid w:val="00524E8B"/>
    <w:rsid w:val="005254C0"/>
    <w:rsid w:val="005267C7"/>
    <w:rsid w:val="00526DED"/>
    <w:rsid w:val="00530E54"/>
    <w:rsid w:val="00531E23"/>
    <w:rsid w:val="00532DB2"/>
    <w:rsid w:val="005337CE"/>
    <w:rsid w:val="00533AD1"/>
    <w:rsid w:val="00534188"/>
    <w:rsid w:val="00534A56"/>
    <w:rsid w:val="00534E9D"/>
    <w:rsid w:val="0053559C"/>
    <w:rsid w:val="00535A22"/>
    <w:rsid w:val="00535D0D"/>
    <w:rsid w:val="00537A69"/>
    <w:rsid w:val="0054001B"/>
    <w:rsid w:val="0054006A"/>
    <w:rsid w:val="0054015B"/>
    <w:rsid w:val="00540EF6"/>
    <w:rsid w:val="005419F0"/>
    <w:rsid w:val="00541B08"/>
    <w:rsid w:val="00542186"/>
    <w:rsid w:val="00542C25"/>
    <w:rsid w:val="00543E58"/>
    <w:rsid w:val="00544E8E"/>
    <w:rsid w:val="00545889"/>
    <w:rsid w:val="00545A63"/>
    <w:rsid w:val="005461D1"/>
    <w:rsid w:val="00547411"/>
    <w:rsid w:val="00547A8E"/>
    <w:rsid w:val="00547BF7"/>
    <w:rsid w:val="00551E29"/>
    <w:rsid w:val="00551FE8"/>
    <w:rsid w:val="00552764"/>
    <w:rsid w:val="005533DC"/>
    <w:rsid w:val="00553DC1"/>
    <w:rsid w:val="0055486D"/>
    <w:rsid w:val="00554B51"/>
    <w:rsid w:val="0055540D"/>
    <w:rsid w:val="00555779"/>
    <w:rsid w:val="00555956"/>
    <w:rsid w:val="0055634C"/>
    <w:rsid w:val="00556926"/>
    <w:rsid w:val="00556B4F"/>
    <w:rsid w:val="00556DD7"/>
    <w:rsid w:val="00557051"/>
    <w:rsid w:val="00557581"/>
    <w:rsid w:val="00557AA1"/>
    <w:rsid w:val="00557B37"/>
    <w:rsid w:val="00557CF5"/>
    <w:rsid w:val="005623DD"/>
    <w:rsid w:val="00562DDB"/>
    <w:rsid w:val="005635D8"/>
    <w:rsid w:val="00563C01"/>
    <w:rsid w:val="00564092"/>
    <w:rsid w:val="005646C2"/>
    <w:rsid w:val="00564ACF"/>
    <w:rsid w:val="0056558B"/>
    <w:rsid w:val="00565A07"/>
    <w:rsid w:val="00565CCA"/>
    <w:rsid w:val="005665C5"/>
    <w:rsid w:val="00566B3D"/>
    <w:rsid w:val="005670C4"/>
    <w:rsid w:val="00567F24"/>
    <w:rsid w:val="005721A6"/>
    <w:rsid w:val="00572FB6"/>
    <w:rsid w:val="00574975"/>
    <w:rsid w:val="00575695"/>
    <w:rsid w:val="005764AD"/>
    <w:rsid w:val="00576DC4"/>
    <w:rsid w:val="0058074E"/>
    <w:rsid w:val="005815E2"/>
    <w:rsid w:val="0058262B"/>
    <w:rsid w:val="005839C1"/>
    <w:rsid w:val="005841F1"/>
    <w:rsid w:val="0058473C"/>
    <w:rsid w:val="005848CB"/>
    <w:rsid w:val="0058490D"/>
    <w:rsid w:val="00584F38"/>
    <w:rsid w:val="00585051"/>
    <w:rsid w:val="00586C14"/>
    <w:rsid w:val="00590826"/>
    <w:rsid w:val="005916FF"/>
    <w:rsid w:val="005948B6"/>
    <w:rsid w:val="00594BEE"/>
    <w:rsid w:val="005950DC"/>
    <w:rsid w:val="00595968"/>
    <w:rsid w:val="00595D7C"/>
    <w:rsid w:val="005968B3"/>
    <w:rsid w:val="00596F6A"/>
    <w:rsid w:val="00597076"/>
    <w:rsid w:val="00597A10"/>
    <w:rsid w:val="005A0545"/>
    <w:rsid w:val="005A0B2E"/>
    <w:rsid w:val="005A0D8A"/>
    <w:rsid w:val="005A1803"/>
    <w:rsid w:val="005A2695"/>
    <w:rsid w:val="005A2FA9"/>
    <w:rsid w:val="005A33C7"/>
    <w:rsid w:val="005A4269"/>
    <w:rsid w:val="005A472B"/>
    <w:rsid w:val="005A4776"/>
    <w:rsid w:val="005A497A"/>
    <w:rsid w:val="005A4DA7"/>
    <w:rsid w:val="005A5B2A"/>
    <w:rsid w:val="005A6FD2"/>
    <w:rsid w:val="005B026A"/>
    <w:rsid w:val="005B0788"/>
    <w:rsid w:val="005B11CB"/>
    <w:rsid w:val="005B1CB6"/>
    <w:rsid w:val="005B2FDB"/>
    <w:rsid w:val="005B4D61"/>
    <w:rsid w:val="005B5BE6"/>
    <w:rsid w:val="005B6A61"/>
    <w:rsid w:val="005B6FFF"/>
    <w:rsid w:val="005B78D2"/>
    <w:rsid w:val="005B7946"/>
    <w:rsid w:val="005B7A80"/>
    <w:rsid w:val="005B7C6B"/>
    <w:rsid w:val="005C1E4C"/>
    <w:rsid w:val="005C23E1"/>
    <w:rsid w:val="005C283D"/>
    <w:rsid w:val="005C2D02"/>
    <w:rsid w:val="005C3A17"/>
    <w:rsid w:val="005C3FDC"/>
    <w:rsid w:val="005C4E45"/>
    <w:rsid w:val="005C5083"/>
    <w:rsid w:val="005C5C1B"/>
    <w:rsid w:val="005C665B"/>
    <w:rsid w:val="005C75CC"/>
    <w:rsid w:val="005D098B"/>
    <w:rsid w:val="005D0E2A"/>
    <w:rsid w:val="005D143A"/>
    <w:rsid w:val="005D19A8"/>
    <w:rsid w:val="005D2509"/>
    <w:rsid w:val="005D304C"/>
    <w:rsid w:val="005D3318"/>
    <w:rsid w:val="005D3B89"/>
    <w:rsid w:val="005D4461"/>
    <w:rsid w:val="005D4A9F"/>
    <w:rsid w:val="005D4D77"/>
    <w:rsid w:val="005D56C4"/>
    <w:rsid w:val="005D68B5"/>
    <w:rsid w:val="005D6AC7"/>
    <w:rsid w:val="005D6B72"/>
    <w:rsid w:val="005D6B99"/>
    <w:rsid w:val="005D7689"/>
    <w:rsid w:val="005D77C1"/>
    <w:rsid w:val="005D78B8"/>
    <w:rsid w:val="005E06C7"/>
    <w:rsid w:val="005E1FE8"/>
    <w:rsid w:val="005E2B9A"/>
    <w:rsid w:val="005E3833"/>
    <w:rsid w:val="005E38D5"/>
    <w:rsid w:val="005E46AE"/>
    <w:rsid w:val="005E4D69"/>
    <w:rsid w:val="005E68EE"/>
    <w:rsid w:val="005F0B05"/>
    <w:rsid w:val="005F19F5"/>
    <w:rsid w:val="005F1BDC"/>
    <w:rsid w:val="005F2BF0"/>
    <w:rsid w:val="005F2DCF"/>
    <w:rsid w:val="005F37FE"/>
    <w:rsid w:val="005F3FB7"/>
    <w:rsid w:val="005F4164"/>
    <w:rsid w:val="005F4A7D"/>
    <w:rsid w:val="005F4B5B"/>
    <w:rsid w:val="005F4F6B"/>
    <w:rsid w:val="005F5555"/>
    <w:rsid w:val="005F5764"/>
    <w:rsid w:val="005F5F4E"/>
    <w:rsid w:val="005F6020"/>
    <w:rsid w:val="005F69E9"/>
    <w:rsid w:val="005F780C"/>
    <w:rsid w:val="005F7A3A"/>
    <w:rsid w:val="00600249"/>
    <w:rsid w:val="006006EB"/>
    <w:rsid w:val="00600CB5"/>
    <w:rsid w:val="006019C8"/>
    <w:rsid w:val="006022F9"/>
    <w:rsid w:val="006024A7"/>
    <w:rsid w:val="00602506"/>
    <w:rsid w:val="00602924"/>
    <w:rsid w:val="00602F9A"/>
    <w:rsid w:val="00603177"/>
    <w:rsid w:val="00603DE8"/>
    <w:rsid w:val="00603E8A"/>
    <w:rsid w:val="006041A5"/>
    <w:rsid w:val="0060538A"/>
    <w:rsid w:val="0060619F"/>
    <w:rsid w:val="00606291"/>
    <w:rsid w:val="00606C40"/>
    <w:rsid w:val="00606DD3"/>
    <w:rsid w:val="0060724B"/>
    <w:rsid w:val="006079B1"/>
    <w:rsid w:val="006104BF"/>
    <w:rsid w:val="00612516"/>
    <w:rsid w:val="0061265C"/>
    <w:rsid w:val="00613437"/>
    <w:rsid w:val="00613597"/>
    <w:rsid w:val="00613A84"/>
    <w:rsid w:val="006147D1"/>
    <w:rsid w:val="00614979"/>
    <w:rsid w:val="00615F91"/>
    <w:rsid w:val="006166ED"/>
    <w:rsid w:val="0061711E"/>
    <w:rsid w:val="00617764"/>
    <w:rsid w:val="0062009C"/>
    <w:rsid w:val="0062088C"/>
    <w:rsid w:val="00621294"/>
    <w:rsid w:val="0062226D"/>
    <w:rsid w:val="006223DC"/>
    <w:rsid w:val="00622C79"/>
    <w:rsid w:val="00623C0B"/>
    <w:rsid w:val="00625086"/>
    <w:rsid w:val="0062547E"/>
    <w:rsid w:val="006260E6"/>
    <w:rsid w:val="006263D1"/>
    <w:rsid w:val="0062653D"/>
    <w:rsid w:val="006268AD"/>
    <w:rsid w:val="00627DF5"/>
    <w:rsid w:val="00627FC1"/>
    <w:rsid w:val="00630011"/>
    <w:rsid w:val="0063091F"/>
    <w:rsid w:val="00630A2B"/>
    <w:rsid w:val="00632DDB"/>
    <w:rsid w:val="00632EEF"/>
    <w:rsid w:val="00633A00"/>
    <w:rsid w:val="00635646"/>
    <w:rsid w:val="00635DC4"/>
    <w:rsid w:val="00636C68"/>
    <w:rsid w:val="00636E59"/>
    <w:rsid w:val="00636FC7"/>
    <w:rsid w:val="006407DD"/>
    <w:rsid w:val="0064190D"/>
    <w:rsid w:val="006427D6"/>
    <w:rsid w:val="00642EC3"/>
    <w:rsid w:val="00644883"/>
    <w:rsid w:val="0064499E"/>
    <w:rsid w:val="00645D07"/>
    <w:rsid w:val="00646608"/>
    <w:rsid w:val="0064767F"/>
    <w:rsid w:val="00647C59"/>
    <w:rsid w:val="00650BD7"/>
    <w:rsid w:val="00650C39"/>
    <w:rsid w:val="006512FA"/>
    <w:rsid w:val="00652201"/>
    <w:rsid w:val="006525A7"/>
    <w:rsid w:val="00653606"/>
    <w:rsid w:val="00654487"/>
    <w:rsid w:val="00655160"/>
    <w:rsid w:val="0065548F"/>
    <w:rsid w:val="00655FED"/>
    <w:rsid w:val="00656AD6"/>
    <w:rsid w:val="006574E4"/>
    <w:rsid w:val="00657D1E"/>
    <w:rsid w:val="00660C44"/>
    <w:rsid w:val="00660D68"/>
    <w:rsid w:val="006617C9"/>
    <w:rsid w:val="00661E4C"/>
    <w:rsid w:val="00662C7C"/>
    <w:rsid w:val="00662EC0"/>
    <w:rsid w:val="006639DE"/>
    <w:rsid w:val="00664277"/>
    <w:rsid w:val="0066445B"/>
    <w:rsid w:val="00665108"/>
    <w:rsid w:val="006655B8"/>
    <w:rsid w:val="00666179"/>
    <w:rsid w:val="00666320"/>
    <w:rsid w:val="00666346"/>
    <w:rsid w:val="00666BF2"/>
    <w:rsid w:val="00666DA2"/>
    <w:rsid w:val="00666F71"/>
    <w:rsid w:val="00670372"/>
    <w:rsid w:val="00671312"/>
    <w:rsid w:val="00671560"/>
    <w:rsid w:val="00671EE6"/>
    <w:rsid w:val="00672661"/>
    <w:rsid w:val="006726CF"/>
    <w:rsid w:val="00673269"/>
    <w:rsid w:val="006735FE"/>
    <w:rsid w:val="00673FA8"/>
    <w:rsid w:val="0067417B"/>
    <w:rsid w:val="00675115"/>
    <w:rsid w:val="00675332"/>
    <w:rsid w:val="00675E5A"/>
    <w:rsid w:val="00675FF3"/>
    <w:rsid w:val="00676794"/>
    <w:rsid w:val="006770DD"/>
    <w:rsid w:val="00677A73"/>
    <w:rsid w:val="00680644"/>
    <w:rsid w:val="006808C3"/>
    <w:rsid w:val="00680ADD"/>
    <w:rsid w:val="00680BF3"/>
    <w:rsid w:val="00684D50"/>
    <w:rsid w:val="00685D9E"/>
    <w:rsid w:val="006863D8"/>
    <w:rsid w:val="00686684"/>
    <w:rsid w:val="00686C0B"/>
    <w:rsid w:val="00687FED"/>
    <w:rsid w:val="006909E3"/>
    <w:rsid w:val="00690A03"/>
    <w:rsid w:val="00690E09"/>
    <w:rsid w:val="00691F80"/>
    <w:rsid w:val="00692714"/>
    <w:rsid w:val="00692955"/>
    <w:rsid w:val="00692E71"/>
    <w:rsid w:val="00693171"/>
    <w:rsid w:val="006941E5"/>
    <w:rsid w:val="0069429E"/>
    <w:rsid w:val="006958F2"/>
    <w:rsid w:val="006958F8"/>
    <w:rsid w:val="006971DF"/>
    <w:rsid w:val="006A00A3"/>
    <w:rsid w:val="006A0179"/>
    <w:rsid w:val="006A1F80"/>
    <w:rsid w:val="006A2809"/>
    <w:rsid w:val="006A34E2"/>
    <w:rsid w:val="006A489A"/>
    <w:rsid w:val="006A49AC"/>
    <w:rsid w:val="006A4C8D"/>
    <w:rsid w:val="006A586B"/>
    <w:rsid w:val="006A75EF"/>
    <w:rsid w:val="006A769E"/>
    <w:rsid w:val="006A76AE"/>
    <w:rsid w:val="006A79AF"/>
    <w:rsid w:val="006B13D3"/>
    <w:rsid w:val="006B2475"/>
    <w:rsid w:val="006B2B00"/>
    <w:rsid w:val="006B2CD4"/>
    <w:rsid w:val="006B2DF5"/>
    <w:rsid w:val="006B30A4"/>
    <w:rsid w:val="006B31D8"/>
    <w:rsid w:val="006B3DF4"/>
    <w:rsid w:val="006B4C78"/>
    <w:rsid w:val="006B4D37"/>
    <w:rsid w:val="006B523C"/>
    <w:rsid w:val="006B5772"/>
    <w:rsid w:val="006B5B0D"/>
    <w:rsid w:val="006B7B03"/>
    <w:rsid w:val="006C03C5"/>
    <w:rsid w:val="006C049E"/>
    <w:rsid w:val="006C2617"/>
    <w:rsid w:val="006C2E1D"/>
    <w:rsid w:val="006C369E"/>
    <w:rsid w:val="006C3BDB"/>
    <w:rsid w:val="006C3E65"/>
    <w:rsid w:val="006C4424"/>
    <w:rsid w:val="006C4511"/>
    <w:rsid w:val="006C790A"/>
    <w:rsid w:val="006D0A34"/>
    <w:rsid w:val="006D266F"/>
    <w:rsid w:val="006D2C6D"/>
    <w:rsid w:val="006D2DBB"/>
    <w:rsid w:val="006D2E12"/>
    <w:rsid w:val="006D344C"/>
    <w:rsid w:val="006D3CBE"/>
    <w:rsid w:val="006D3E1A"/>
    <w:rsid w:val="006D5D56"/>
    <w:rsid w:val="006D686C"/>
    <w:rsid w:val="006D7559"/>
    <w:rsid w:val="006E02DD"/>
    <w:rsid w:val="006E076D"/>
    <w:rsid w:val="006E0C79"/>
    <w:rsid w:val="006E1DB5"/>
    <w:rsid w:val="006E1F59"/>
    <w:rsid w:val="006E21EC"/>
    <w:rsid w:val="006E344B"/>
    <w:rsid w:val="006E3A2D"/>
    <w:rsid w:val="006E402B"/>
    <w:rsid w:val="006E59E3"/>
    <w:rsid w:val="006E5AAB"/>
    <w:rsid w:val="006E5FD4"/>
    <w:rsid w:val="006E6D47"/>
    <w:rsid w:val="006E7820"/>
    <w:rsid w:val="006E7CBC"/>
    <w:rsid w:val="006F1719"/>
    <w:rsid w:val="006F1F28"/>
    <w:rsid w:val="006F2BBA"/>
    <w:rsid w:val="006F3127"/>
    <w:rsid w:val="006F39A8"/>
    <w:rsid w:val="006F487C"/>
    <w:rsid w:val="006F514F"/>
    <w:rsid w:val="006F5AA5"/>
    <w:rsid w:val="006F6CD5"/>
    <w:rsid w:val="006F6FB6"/>
    <w:rsid w:val="006F6FE7"/>
    <w:rsid w:val="006F7507"/>
    <w:rsid w:val="006F766B"/>
    <w:rsid w:val="006F7E74"/>
    <w:rsid w:val="00701243"/>
    <w:rsid w:val="007019A5"/>
    <w:rsid w:val="00702925"/>
    <w:rsid w:val="007047BE"/>
    <w:rsid w:val="00704808"/>
    <w:rsid w:val="0070481C"/>
    <w:rsid w:val="0070577C"/>
    <w:rsid w:val="00705E55"/>
    <w:rsid w:val="00706694"/>
    <w:rsid w:val="007066F4"/>
    <w:rsid w:val="00707670"/>
    <w:rsid w:val="00710FB0"/>
    <w:rsid w:val="00711008"/>
    <w:rsid w:val="0071106D"/>
    <w:rsid w:val="0071136D"/>
    <w:rsid w:val="00711826"/>
    <w:rsid w:val="00712140"/>
    <w:rsid w:val="0071238E"/>
    <w:rsid w:val="00712455"/>
    <w:rsid w:val="00712A33"/>
    <w:rsid w:val="00712A79"/>
    <w:rsid w:val="00720DFB"/>
    <w:rsid w:val="007213A5"/>
    <w:rsid w:val="00721DE1"/>
    <w:rsid w:val="007224FC"/>
    <w:rsid w:val="00725C70"/>
    <w:rsid w:val="0072633C"/>
    <w:rsid w:val="0072656A"/>
    <w:rsid w:val="00727F61"/>
    <w:rsid w:val="0073018B"/>
    <w:rsid w:val="00731338"/>
    <w:rsid w:val="00731509"/>
    <w:rsid w:val="007316B3"/>
    <w:rsid w:val="00731ABE"/>
    <w:rsid w:val="00731FAD"/>
    <w:rsid w:val="00732756"/>
    <w:rsid w:val="00732FC6"/>
    <w:rsid w:val="0073358A"/>
    <w:rsid w:val="00734AEF"/>
    <w:rsid w:val="007359BF"/>
    <w:rsid w:val="00735B90"/>
    <w:rsid w:val="007360DA"/>
    <w:rsid w:val="0073713E"/>
    <w:rsid w:val="0073730A"/>
    <w:rsid w:val="007379FC"/>
    <w:rsid w:val="0074015D"/>
    <w:rsid w:val="00740355"/>
    <w:rsid w:val="00742F90"/>
    <w:rsid w:val="00743483"/>
    <w:rsid w:val="00743FDA"/>
    <w:rsid w:val="007450F5"/>
    <w:rsid w:val="00745361"/>
    <w:rsid w:val="007458DB"/>
    <w:rsid w:val="00745DC6"/>
    <w:rsid w:val="00746365"/>
    <w:rsid w:val="00747426"/>
    <w:rsid w:val="0074772C"/>
    <w:rsid w:val="007477EC"/>
    <w:rsid w:val="0075056C"/>
    <w:rsid w:val="00750B50"/>
    <w:rsid w:val="00750FE5"/>
    <w:rsid w:val="00751C25"/>
    <w:rsid w:val="007520AB"/>
    <w:rsid w:val="0075230B"/>
    <w:rsid w:val="007534AF"/>
    <w:rsid w:val="007536BD"/>
    <w:rsid w:val="007536D4"/>
    <w:rsid w:val="0075376D"/>
    <w:rsid w:val="00753E34"/>
    <w:rsid w:val="00754178"/>
    <w:rsid w:val="00754353"/>
    <w:rsid w:val="00754F1A"/>
    <w:rsid w:val="00757855"/>
    <w:rsid w:val="007601EF"/>
    <w:rsid w:val="00760433"/>
    <w:rsid w:val="00760AD6"/>
    <w:rsid w:val="0076115B"/>
    <w:rsid w:val="007617F8"/>
    <w:rsid w:val="00761971"/>
    <w:rsid w:val="00762E74"/>
    <w:rsid w:val="00763078"/>
    <w:rsid w:val="00763152"/>
    <w:rsid w:val="0076332A"/>
    <w:rsid w:val="00763E0A"/>
    <w:rsid w:val="00764191"/>
    <w:rsid w:val="00764E7F"/>
    <w:rsid w:val="007650D8"/>
    <w:rsid w:val="007652F7"/>
    <w:rsid w:val="00765562"/>
    <w:rsid w:val="00765A20"/>
    <w:rsid w:val="00766360"/>
    <w:rsid w:val="007672E8"/>
    <w:rsid w:val="00767D85"/>
    <w:rsid w:val="0077004B"/>
    <w:rsid w:val="00771B2E"/>
    <w:rsid w:val="00772562"/>
    <w:rsid w:val="007725CA"/>
    <w:rsid w:val="00772761"/>
    <w:rsid w:val="00772F73"/>
    <w:rsid w:val="00775B1B"/>
    <w:rsid w:val="00776175"/>
    <w:rsid w:val="007766F6"/>
    <w:rsid w:val="0078112E"/>
    <w:rsid w:val="00782A7F"/>
    <w:rsid w:val="00783139"/>
    <w:rsid w:val="00783533"/>
    <w:rsid w:val="007848E7"/>
    <w:rsid w:val="00784915"/>
    <w:rsid w:val="00784E02"/>
    <w:rsid w:val="007850A7"/>
    <w:rsid w:val="00786A25"/>
    <w:rsid w:val="00787516"/>
    <w:rsid w:val="007907E3"/>
    <w:rsid w:val="00790EEF"/>
    <w:rsid w:val="00791B0F"/>
    <w:rsid w:val="0079202A"/>
    <w:rsid w:val="0079230E"/>
    <w:rsid w:val="00792AE8"/>
    <w:rsid w:val="00793835"/>
    <w:rsid w:val="0079475C"/>
    <w:rsid w:val="00794771"/>
    <w:rsid w:val="00794945"/>
    <w:rsid w:val="00796303"/>
    <w:rsid w:val="007A00B9"/>
    <w:rsid w:val="007A0206"/>
    <w:rsid w:val="007A02B1"/>
    <w:rsid w:val="007A04CF"/>
    <w:rsid w:val="007A0647"/>
    <w:rsid w:val="007A1F71"/>
    <w:rsid w:val="007A22C8"/>
    <w:rsid w:val="007A2804"/>
    <w:rsid w:val="007A2CDA"/>
    <w:rsid w:val="007A3159"/>
    <w:rsid w:val="007A46C1"/>
    <w:rsid w:val="007A48E4"/>
    <w:rsid w:val="007A51C3"/>
    <w:rsid w:val="007A54BF"/>
    <w:rsid w:val="007A677C"/>
    <w:rsid w:val="007A795D"/>
    <w:rsid w:val="007B0878"/>
    <w:rsid w:val="007B0B6A"/>
    <w:rsid w:val="007B1010"/>
    <w:rsid w:val="007B1AA3"/>
    <w:rsid w:val="007B25A0"/>
    <w:rsid w:val="007B2E76"/>
    <w:rsid w:val="007B4A82"/>
    <w:rsid w:val="007B5922"/>
    <w:rsid w:val="007B6DC5"/>
    <w:rsid w:val="007B6F27"/>
    <w:rsid w:val="007B7E51"/>
    <w:rsid w:val="007C0BF2"/>
    <w:rsid w:val="007C192B"/>
    <w:rsid w:val="007C1C76"/>
    <w:rsid w:val="007C2095"/>
    <w:rsid w:val="007C2A8F"/>
    <w:rsid w:val="007C31FE"/>
    <w:rsid w:val="007C3325"/>
    <w:rsid w:val="007C35A1"/>
    <w:rsid w:val="007C3CFB"/>
    <w:rsid w:val="007C4336"/>
    <w:rsid w:val="007C4499"/>
    <w:rsid w:val="007C4D2B"/>
    <w:rsid w:val="007C52F2"/>
    <w:rsid w:val="007C5534"/>
    <w:rsid w:val="007C56FA"/>
    <w:rsid w:val="007C58E0"/>
    <w:rsid w:val="007C6CE1"/>
    <w:rsid w:val="007D06F2"/>
    <w:rsid w:val="007D210E"/>
    <w:rsid w:val="007D21BE"/>
    <w:rsid w:val="007D64DE"/>
    <w:rsid w:val="007D7011"/>
    <w:rsid w:val="007D71F4"/>
    <w:rsid w:val="007D7732"/>
    <w:rsid w:val="007E017F"/>
    <w:rsid w:val="007E0CA2"/>
    <w:rsid w:val="007E1899"/>
    <w:rsid w:val="007E3073"/>
    <w:rsid w:val="007E376F"/>
    <w:rsid w:val="007E4895"/>
    <w:rsid w:val="007E4930"/>
    <w:rsid w:val="007E5244"/>
    <w:rsid w:val="007E5B5F"/>
    <w:rsid w:val="007E5F3A"/>
    <w:rsid w:val="007E64C1"/>
    <w:rsid w:val="007E6830"/>
    <w:rsid w:val="007E6C0C"/>
    <w:rsid w:val="007E7136"/>
    <w:rsid w:val="007E7BE3"/>
    <w:rsid w:val="007F098D"/>
    <w:rsid w:val="007F0EE5"/>
    <w:rsid w:val="007F15CC"/>
    <w:rsid w:val="007F1611"/>
    <w:rsid w:val="007F2457"/>
    <w:rsid w:val="007F2894"/>
    <w:rsid w:val="007F33AC"/>
    <w:rsid w:val="007F3821"/>
    <w:rsid w:val="007F62EF"/>
    <w:rsid w:val="0080266F"/>
    <w:rsid w:val="00802890"/>
    <w:rsid w:val="008039AD"/>
    <w:rsid w:val="00804784"/>
    <w:rsid w:val="008049C2"/>
    <w:rsid w:val="00805C95"/>
    <w:rsid w:val="0080671B"/>
    <w:rsid w:val="00807DCC"/>
    <w:rsid w:val="008103BE"/>
    <w:rsid w:val="00810F3F"/>
    <w:rsid w:val="00811E96"/>
    <w:rsid w:val="008122B2"/>
    <w:rsid w:val="008136F9"/>
    <w:rsid w:val="008141A2"/>
    <w:rsid w:val="0081473A"/>
    <w:rsid w:val="00814AF3"/>
    <w:rsid w:val="00815148"/>
    <w:rsid w:val="00815171"/>
    <w:rsid w:val="008151CD"/>
    <w:rsid w:val="00815F5A"/>
    <w:rsid w:val="008171B6"/>
    <w:rsid w:val="0081743B"/>
    <w:rsid w:val="0081747D"/>
    <w:rsid w:val="00817517"/>
    <w:rsid w:val="0082011B"/>
    <w:rsid w:val="00820673"/>
    <w:rsid w:val="00820950"/>
    <w:rsid w:val="008209C4"/>
    <w:rsid w:val="00820A3B"/>
    <w:rsid w:val="00821C79"/>
    <w:rsid w:val="00821E12"/>
    <w:rsid w:val="0082233B"/>
    <w:rsid w:val="00823A95"/>
    <w:rsid w:val="0082434C"/>
    <w:rsid w:val="0082460E"/>
    <w:rsid w:val="008249C5"/>
    <w:rsid w:val="00824AB6"/>
    <w:rsid w:val="00825872"/>
    <w:rsid w:val="008259AD"/>
    <w:rsid w:val="00825C5E"/>
    <w:rsid w:val="00826606"/>
    <w:rsid w:val="0082739C"/>
    <w:rsid w:val="008276C9"/>
    <w:rsid w:val="008276CF"/>
    <w:rsid w:val="008301F1"/>
    <w:rsid w:val="00831607"/>
    <w:rsid w:val="00833243"/>
    <w:rsid w:val="008337E1"/>
    <w:rsid w:val="0083511C"/>
    <w:rsid w:val="0083525E"/>
    <w:rsid w:val="008353A7"/>
    <w:rsid w:val="00835D8E"/>
    <w:rsid w:val="0083614C"/>
    <w:rsid w:val="0083674F"/>
    <w:rsid w:val="00836E52"/>
    <w:rsid w:val="008370CC"/>
    <w:rsid w:val="008374BE"/>
    <w:rsid w:val="008402A0"/>
    <w:rsid w:val="008404FA"/>
    <w:rsid w:val="0084105F"/>
    <w:rsid w:val="008411CB"/>
    <w:rsid w:val="0084222B"/>
    <w:rsid w:val="00843608"/>
    <w:rsid w:val="00843632"/>
    <w:rsid w:val="0084365C"/>
    <w:rsid w:val="008442F9"/>
    <w:rsid w:val="00844FB8"/>
    <w:rsid w:val="0084637D"/>
    <w:rsid w:val="00850177"/>
    <w:rsid w:val="008501F4"/>
    <w:rsid w:val="0085054C"/>
    <w:rsid w:val="00850CB3"/>
    <w:rsid w:val="00850E61"/>
    <w:rsid w:val="00850EB2"/>
    <w:rsid w:val="00851A7B"/>
    <w:rsid w:val="00852420"/>
    <w:rsid w:val="00852CCE"/>
    <w:rsid w:val="00852F73"/>
    <w:rsid w:val="0085442D"/>
    <w:rsid w:val="008555BB"/>
    <w:rsid w:val="00855D9A"/>
    <w:rsid w:val="0085631B"/>
    <w:rsid w:val="0085645D"/>
    <w:rsid w:val="0085723B"/>
    <w:rsid w:val="008572F6"/>
    <w:rsid w:val="00860A3E"/>
    <w:rsid w:val="00860F2F"/>
    <w:rsid w:val="00861348"/>
    <w:rsid w:val="008616FA"/>
    <w:rsid w:val="00862757"/>
    <w:rsid w:val="0086349F"/>
    <w:rsid w:val="00866B0A"/>
    <w:rsid w:val="0086726A"/>
    <w:rsid w:val="008703F8"/>
    <w:rsid w:val="0087059E"/>
    <w:rsid w:val="0087065B"/>
    <w:rsid w:val="00871F4D"/>
    <w:rsid w:val="00872ECC"/>
    <w:rsid w:val="008734F1"/>
    <w:rsid w:val="00873540"/>
    <w:rsid w:val="0087393C"/>
    <w:rsid w:val="00874B07"/>
    <w:rsid w:val="00876C47"/>
    <w:rsid w:val="00876CB4"/>
    <w:rsid w:val="008777D9"/>
    <w:rsid w:val="00877D26"/>
    <w:rsid w:val="00883119"/>
    <w:rsid w:val="00884516"/>
    <w:rsid w:val="00884E2D"/>
    <w:rsid w:val="008923D1"/>
    <w:rsid w:val="00892401"/>
    <w:rsid w:val="00893FFA"/>
    <w:rsid w:val="00894500"/>
    <w:rsid w:val="00894EA0"/>
    <w:rsid w:val="00895A04"/>
    <w:rsid w:val="00895C99"/>
    <w:rsid w:val="00895D62"/>
    <w:rsid w:val="00896773"/>
    <w:rsid w:val="00897B22"/>
    <w:rsid w:val="008A0A5C"/>
    <w:rsid w:val="008A16D8"/>
    <w:rsid w:val="008A1798"/>
    <w:rsid w:val="008A2AF8"/>
    <w:rsid w:val="008A2B86"/>
    <w:rsid w:val="008A3548"/>
    <w:rsid w:val="008A3653"/>
    <w:rsid w:val="008A3F22"/>
    <w:rsid w:val="008A4623"/>
    <w:rsid w:val="008A4766"/>
    <w:rsid w:val="008A527F"/>
    <w:rsid w:val="008A56FC"/>
    <w:rsid w:val="008A60D5"/>
    <w:rsid w:val="008A621F"/>
    <w:rsid w:val="008A6337"/>
    <w:rsid w:val="008A633E"/>
    <w:rsid w:val="008A6715"/>
    <w:rsid w:val="008A712C"/>
    <w:rsid w:val="008A7A7E"/>
    <w:rsid w:val="008A7FEF"/>
    <w:rsid w:val="008B0225"/>
    <w:rsid w:val="008B048D"/>
    <w:rsid w:val="008B05C2"/>
    <w:rsid w:val="008B123A"/>
    <w:rsid w:val="008B1843"/>
    <w:rsid w:val="008B20DC"/>
    <w:rsid w:val="008B2A39"/>
    <w:rsid w:val="008B3231"/>
    <w:rsid w:val="008B40E1"/>
    <w:rsid w:val="008B54E1"/>
    <w:rsid w:val="008B5FE5"/>
    <w:rsid w:val="008B6036"/>
    <w:rsid w:val="008B70EA"/>
    <w:rsid w:val="008B7D19"/>
    <w:rsid w:val="008C04C6"/>
    <w:rsid w:val="008C0736"/>
    <w:rsid w:val="008C1A4C"/>
    <w:rsid w:val="008C1D74"/>
    <w:rsid w:val="008C28A3"/>
    <w:rsid w:val="008C322F"/>
    <w:rsid w:val="008C355E"/>
    <w:rsid w:val="008C4055"/>
    <w:rsid w:val="008C523C"/>
    <w:rsid w:val="008C699C"/>
    <w:rsid w:val="008C779F"/>
    <w:rsid w:val="008D1020"/>
    <w:rsid w:val="008D1132"/>
    <w:rsid w:val="008D125A"/>
    <w:rsid w:val="008D18B4"/>
    <w:rsid w:val="008D27E2"/>
    <w:rsid w:val="008D28C8"/>
    <w:rsid w:val="008D2952"/>
    <w:rsid w:val="008D2E9B"/>
    <w:rsid w:val="008D304E"/>
    <w:rsid w:val="008D3E7F"/>
    <w:rsid w:val="008D49EA"/>
    <w:rsid w:val="008D6C31"/>
    <w:rsid w:val="008D71D4"/>
    <w:rsid w:val="008D7690"/>
    <w:rsid w:val="008D7820"/>
    <w:rsid w:val="008E0868"/>
    <w:rsid w:val="008E1ED9"/>
    <w:rsid w:val="008E3023"/>
    <w:rsid w:val="008E5DEA"/>
    <w:rsid w:val="008E67C7"/>
    <w:rsid w:val="008E6B05"/>
    <w:rsid w:val="008E75B6"/>
    <w:rsid w:val="008E7F80"/>
    <w:rsid w:val="008F023C"/>
    <w:rsid w:val="008F069A"/>
    <w:rsid w:val="008F1F68"/>
    <w:rsid w:val="008F32D3"/>
    <w:rsid w:val="008F3D06"/>
    <w:rsid w:val="008F41A6"/>
    <w:rsid w:val="008F67E3"/>
    <w:rsid w:val="008F6CF3"/>
    <w:rsid w:val="008F7CA3"/>
    <w:rsid w:val="009030E0"/>
    <w:rsid w:val="0090379A"/>
    <w:rsid w:val="00903BBC"/>
    <w:rsid w:val="00903CB1"/>
    <w:rsid w:val="00904D5C"/>
    <w:rsid w:val="00905A7E"/>
    <w:rsid w:val="00905AC5"/>
    <w:rsid w:val="00906648"/>
    <w:rsid w:val="00906C3B"/>
    <w:rsid w:val="00907E19"/>
    <w:rsid w:val="00911D60"/>
    <w:rsid w:val="009156FE"/>
    <w:rsid w:val="0091606B"/>
    <w:rsid w:val="00916DF8"/>
    <w:rsid w:val="00917332"/>
    <w:rsid w:val="00920DF5"/>
    <w:rsid w:val="00920E1E"/>
    <w:rsid w:val="00920E5B"/>
    <w:rsid w:val="00921412"/>
    <w:rsid w:val="009215B9"/>
    <w:rsid w:val="00921CCC"/>
    <w:rsid w:val="0092325A"/>
    <w:rsid w:val="00923350"/>
    <w:rsid w:val="00923451"/>
    <w:rsid w:val="00924461"/>
    <w:rsid w:val="00924528"/>
    <w:rsid w:val="00924616"/>
    <w:rsid w:val="00924F5C"/>
    <w:rsid w:val="0092509F"/>
    <w:rsid w:val="00925EDC"/>
    <w:rsid w:val="00926566"/>
    <w:rsid w:val="009267CF"/>
    <w:rsid w:val="00926E3F"/>
    <w:rsid w:val="00927B47"/>
    <w:rsid w:val="009302E9"/>
    <w:rsid w:val="00930ED2"/>
    <w:rsid w:val="00931A6D"/>
    <w:rsid w:val="00931F10"/>
    <w:rsid w:val="00932AEA"/>
    <w:rsid w:val="00932C42"/>
    <w:rsid w:val="009332CF"/>
    <w:rsid w:val="00933949"/>
    <w:rsid w:val="0093400A"/>
    <w:rsid w:val="00935FB7"/>
    <w:rsid w:val="009365BF"/>
    <w:rsid w:val="009365E8"/>
    <w:rsid w:val="00936A0F"/>
    <w:rsid w:val="009376F9"/>
    <w:rsid w:val="009377CE"/>
    <w:rsid w:val="00937C0D"/>
    <w:rsid w:val="00940006"/>
    <w:rsid w:val="0094021B"/>
    <w:rsid w:val="0094030D"/>
    <w:rsid w:val="0094073E"/>
    <w:rsid w:val="00941612"/>
    <w:rsid w:val="0094165C"/>
    <w:rsid w:val="00942318"/>
    <w:rsid w:val="00942B7C"/>
    <w:rsid w:val="009434C2"/>
    <w:rsid w:val="00943841"/>
    <w:rsid w:val="009446FC"/>
    <w:rsid w:val="00944764"/>
    <w:rsid w:val="009449E9"/>
    <w:rsid w:val="00945727"/>
    <w:rsid w:val="00945781"/>
    <w:rsid w:val="00945907"/>
    <w:rsid w:val="009459AB"/>
    <w:rsid w:val="00945E98"/>
    <w:rsid w:val="009461CF"/>
    <w:rsid w:val="00946596"/>
    <w:rsid w:val="009466D4"/>
    <w:rsid w:val="00947174"/>
    <w:rsid w:val="009474B8"/>
    <w:rsid w:val="00947807"/>
    <w:rsid w:val="0094796E"/>
    <w:rsid w:val="00950128"/>
    <w:rsid w:val="009510C3"/>
    <w:rsid w:val="0095186E"/>
    <w:rsid w:val="00951F7E"/>
    <w:rsid w:val="009522C0"/>
    <w:rsid w:val="00954F31"/>
    <w:rsid w:val="009554B2"/>
    <w:rsid w:val="00955A7A"/>
    <w:rsid w:val="009567B0"/>
    <w:rsid w:val="00956F33"/>
    <w:rsid w:val="00957487"/>
    <w:rsid w:val="00957E93"/>
    <w:rsid w:val="0096041A"/>
    <w:rsid w:val="009606D3"/>
    <w:rsid w:val="009607F5"/>
    <w:rsid w:val="009608F5"/>
    <w:rsid w:val="00960CDB"/>
    <w:rsid w:val="00960DEF"/>
    <w:rsid w:val="0096175A"/>
    <w:rsid w:val="00963AE7"/>
    <w:rsid w:val="00963AF2"/>
    <w:rsid w:val="0096439A"/>
    <w:rsid w:val="00964910"/>
    <w:rsid w:val="00964AFD"/>
    <w:rsid w:val="009659F7"/>
    <w:rsid w:val="00966B95"/>
    <w:rsid w:val="009679F5"/>
    <w:rsid w:val="009708ED"/>
    <w:rsid w:val="00970DD1"/>
    <w:rsid w:val="0097240C"/>
    <w:rsid w:val="009732C9"/>
    <w:rsid w:val="00975B87"/>
    <w:rsid w:val="00975CD1"/>
    <w:rsid w:val="00975DF2"/>
    <w:rsid w:val="009762B1"/>
    <w:rsid w:val="0098016F"/>
    <w:rsid w:val="009807BE"/>
    <w:rsid w:val="009815E1"/>
    <w:rsid w:val="00982018"/>
    <w:rsid w:val="009823C8"/>
    <w:rsid w:val="00982FE5"/>
    <w:rsid w:val="00983612"/>
    <w:rsid w:val="00984339"/>
    <w:rsid w:val="009847E8"/>
    <w:rsid w:val="0098532F"/>
    <w:rsid w:val="0098548D"/>
    <w:rsid w:val="00986F92"/>
    <w:rsid w:val="00987EBD"/>
    <w:rsid w:val="00991279"/>
    <w:rsid w:val="009916CE"/>
    <w:rsid w:val="00992001"/>
    <w:rsid w:val="009924F2"/>
    <w:rsid w:val="00993010"/>
    <w:rsid w:val="00993618"/>
    <w:rsid w:val="00993628"/>
    <w:rsid w:val="00993A4D"/>
    <w:rsid w:val="00993E57"/>
    <w:rsid w:val="00995386"/>
    <w:rsid w:val="00995517"/>
    <w:rsid w:val="009955CD"/>
    <w:rsid w:val="0099624B"/>
    <w:rsid w:val="0099740D"/>
    <w:rsid w:val="009A0218"/>
    <w:rsid w:val="009A0950"/>
    <w:rsid w:val="009A0E3D"/>
    <w:rsid w:val="009A1B50"/>
    <w:rsid w:val="009A2711"/>
    <w:rsid w:val="009A2ABC"/>
    <w:rsid w:val="009A34A6"/>
    <w:rsid w:val="009A4339"/>
    <w:rsid w:val="009A43AA"/>
    <w:rsid w:val="009A47D9"/>
    <w:rsid w:val="009A4C9B"/>
    <w:rsid w:val="009A52F5"/>
    <w:rsid w:val="009A6570"/>
    <w:rsid w:val="009A6E0E"/>
    <w:rsid w:val="009B01AF"/>
    <w:rsid w:val="009B054B"/>
    <w:rsid w:val="009B06E3"/>
    <w:rsid w:val="009B2941"/>
    <w:rsid w:val="009B2F4E"/>
    <w:rsid w:val="009B319F"/>
    <w:rsid w:val="009B3B71"/>
    <w:rsid w:val="009B3ECB"/>
    <w:rsid w:val="009B4793"/>
    <w:rsid w:val="009B4BD9"/>
    <w:rsid w:val="009B5598"/>
    <w:rsid w:val="009B5A3A"/>
    <w:rsid w:val="009B5C23"/>
    <w:rsid w:val="009B6010"/>
    <w:rsid w:val="009B61CF"/>
    <w:rsid w:val="009B638A"/>
    <w:rsid w:val="009B6C2E"/>
    <w:rsid w:val="009B7CCD"/>
    <w:rsid w:val="009C0585"/>
    <w:rsid w:val="009C1C83"/>
    <w:rsid w:val="009C20A5"/>
    <w:rsid w:val="009C21EE"/>
    <w:rsid w:val="009C3266"/>
    <w:rsid w:val="009C392E"/>
    <w:rsid w:val="009C5D86"/>
    <w:rsid w:val="009C633C"/>
    <w:rsid w:val="009C6489"/>
    <w:rsid w:val="009D0174"/>
    <w:rsid w:val="009D03EE"/>
    <w:rsid w:val="009D0747"/>
    <w:rsid w:val="009D0E05"/>
    <w:rsid w:val="009D22C0"/>
    <w:rsid w:val="009D3254"/>
    <w:rsid w:val="009D3872"/>
    <w:rsid w:val="009D4169"/>
    <w:rsid w:val="009D4BBE"/>
    <w:rsid w:val="009D5456"/>
    <w:rsid w:val="009D6171"/>
    <w:rsid w:val="009D7180"/>
    <w:rsid w:val="009D75C9"/>
    <w:rsid w:val="009D7F81"/>
    <w:rsid w:val="009E0074"/>
    <w:rsid w:val="009E0C29"/>
    <w:rsid w:val="009E0CC4"/>
    <w:rsid w:val="009E21D1"/>
    <w:rsid w:val="009E2532"/>
    <w:rsid w:val="009E2C20"/>
    <w:rsid w:val="009E2FB9"/>
    <w:rsid w:val="009E3531"/>
    <w:rsid w:val="009E4033"/>
    <w:rsid w:val="009E4479"/>
    <w:rsid w:val="009E4E79"/>
    <w:rsid w:val="009E5B65"/>
    <w:rsid w:val="009E5EC7"/>
    <w:rsid w:val="009E62C0"/>
    <w:rsid w:val="009E7401"/>
    <w:rsid w:val="009F0C60"/>
    <w:rsid w:val="009F1170"/>
    <w:rsid w:val="009F203C"/>
    <w:rsid w:val="009F2928"/>
    <w:rsid w:val="009F2C80"/>
    <w:rsid w:val="009F3074"/>
    <w:rsid w:val="009F3385"/>
    <w:rsid w:val="009F33BC"/>
    <w:rsid w:val="009F5659"/>
    <w:rsid w:val="009F5F22"/>
    <w:rsid w:val="009F68C8"/>
    <w:rsid w:val="009F6A7A"/>
    <w:rsid w:val="009F6EEA"/>
    <w:rsid w:val="009F6F0B"/>
    <w:rsid w:val="009F7654"/>
    <w:rsid w:val="009F7E2C"/>
    <w:rsid w:val="00A004C3"/>
    <w:rsid w:val="00A00989"/>
    <w:rsid w:val="00A01D4E"/>
    <w:rsid w:val="00A02DB2"/>
    <w:rsid w:val="00A02DE3"/>
    <w:rsid w:val="00A02E51"/>
    <w:rsid w:val="00A03087"/>
    <w:rsid w:val="00A03C1F"/>
    <w:rsid w:val="00A0402A"/>
    <w:rsid w:val="00A0448B"/>
    <w:rsid w:val="00A046DF"/>
    <w:rsid w:val="00A053C8"/>
    <w:rsid w:val="00A06649"/>
    <w:rsid w:val="00A06E45"/>
    <w:rsid w:val="00A07E03"/>
    <w:rsid w:val="00A10328"/>
    <w:rsid w:val="00A10EC4"/>
    <w:rsid w:val="00A120AD"/>
    <w:rsid w:val="00A127C7"/>
    <w:rsid w:val="00A129B0"/>
    <w:rsid w:val="00A14D53"/>
    <w:rsid w:val="00A154BC"/>
    <w:rsid w:val="00A15700"/>
    <w:rsid w:val="00A158E3"/>
    <w:rsid w:val="00A16270"/>
    <w:rsid w:val="00A174A6"/>
    <w:rsid w:val="00A17FB3"/>
    <w:rsid w:val="00A217E5"/>
    <w:rsid w:val="00A2248C"/>
    <w:rsid w:val="00A236E4"/>
    <w:rsid w:val="00A245CF"/>
    <w:rsid w:val="00A24916"/>
    <w:rsid w:val="00A25367"/>
    <w:rsid w:val="00A2662C"/>
    <w:rsid w:val="00A30646"/>
    <w:rsid w:val="00A30879"/>
    <w:rsid w:val="00A3124E"/>
    <w:rsid w:val="00A32A13"/>
    <w:rsid w:val="00A32DE1"/>
    <w:rsid w:val="00A343AE"/>
    <w:rsid w:val="00A3502E"/>
    <w:rsid w:val="00A35216"/>
    <w:rsid w:val="00A363F1"/>
    <w:rsid w:val="00A366A5"/>
    <w:rsid w:val="00A36755"/>
    <w:rsid w:val="00A3769A"/>
    <w:rsid w:val="00A37CC8"/>
    <w:rsid w:val="00A402A4"/>
    <w:rsid w:val="00A405A2"/>
    <w:rsid w:val="00A40FF7"/>
    <w:rsid w:val="00A41070"/>
    <w:rsid w:val="00A4141F"/>
    <w:rsid w:val="00A429B6"/>
    <w:rsid w:val="00A43631"/>
    <w:rsid w:val="00A43AEA"/>
    <w:rsid w:val="00A44144"/>
    <w:rsid w:val="00A44D06"/>
    <w:rsid w:val="00A45712"/>
    <w:rsid w:val="00A45B1A"/>
    <w:rsid w:val="00A45D6A"/>
    <w:rsid w:val="00A464D5"/>
    <w:rsid w:val="00A467BB"/>
    <w:rsid w:val="00A473E2"/>
    <w:rsid w:val="00A47DB8"/>
    <w:rsid w:val="00A501A8"/>
    <w:rsid w:val="00A51AAE"/>
    <w:rsid w:val="00A52A47"/>
    <w:rsid w:val="00A52D1A"/>
    <w:rsid w:val="00A53686"/>
    <w:rsid w:val="00A53DD0"/>
    <w:rsid w:val="00A53F32"/>
    <w:rsid w:val="00A551DB"/>
    <w:rsid w:val="00A56421"/>
    <w:rsid w:val="00A5763F"/>
    <w:rsid w:val="00A6085F"/>
    <w:rsid w:val="00A616DE"/>
    <w:rsid w:val="00A6213C"/>
    <w:rsid w:val="00A62406"/>
    <w:rsid w:val="00A62B3F"/>
    <w:rsid w:val="00A62FF0"/>
    <w:rsid w:val="00A63F55"/>
    <w:rsid w:val="00A645F8"/>
    <w:rsid w:val="00A650E9"/>
    <w:rsid w:val="00A65123"/>
    <w:rsid w:val="00A6533F"/>
    <w:rsid w:val="00A655AA"/>
    <w:rsid w:val="00A6677D"/>
    <w:rsid w:val="00A66EFA"/>
    <w:rsid w:val="00A708C2"/>
    <w:rsid w:val="00A72FB2"/>
    <w:rsid w:val="00A73E59"/>
    <w:rsid w:val="00A73F48"/>
    <w:rsid w:val="00A74149"/>
    <w:rsid w:val="00A7477F"/>
    <w:rsid w:val="00A75BD2"/>
    <w:rsid w:val="00A811CB"/>
    <w:rsid w:val="00A81C91"/>
    <w:rsid w:val="00A82B18"/>
    <w:rsid w:val="00A83123"/>
    <w:rsid w:val="00A831E6"/>
    <w:rsid w:val="00A83316"/>
    <w:rsid w:val="00A84597"/>
    <w:rsid w:val="00A84E8E"/>
    <w:rsid w:val="00A852BB"/>
    <w:rsid w:val="00A86DE6"/>
    <w:rsid w:val="00A87C47"/>
    <w:rsid w:val="00A90A77"/>
    <w:rsid w:val="00A91689"/>
    <w:rsid w:val="00A92095"/>
    <w:rsid w:val="00A9209B"/>
    <w:rsid w:val="00A94F04"/>
    <w:rsid w:val="00A95ABA"/>
    <w:rsid w:val="00A95D37"/>
    <w:rsid w:val="00A9657F"/>
    <w:rsid w:val="00A966AA"/>
    <w:rsid w:val="00A968A5"/>
    <w:rsid w:val="00A96C3D"/>
    <w:rsid w:val="00A96FD6"/>
    <w:rsid w:val="00AA0B60"/>
    <w:rsid w:val="00AA1E65"/>
    <w:rsid w:val="00AA329A"/>
    <w:rsid w:val="00AA33E7"/>
    <w:rsid w:val="00AA543A"/>
    <w:rsid w:val="00AA5445"/>
    <w:rsid w:val="00AA7584"/>
    <w:rsid w:val="00AA7E38"/>
    <w:rsid w:val="00AB1776"/>
    <w:rsid w:val="00AB223A"/>
    <w:rsid w:val="00AB3150"/>
    <w:rsid w:val="00AB41A1"/>
    <w:rsid w:val="00AB56D3"/>
    <w:rsid w:val="00AB6CF6"/>
    <w:rsid w:val="00AB7016"/>
    <w:rsid w:val="00AC0106"/>
    <w:rsid w:val="00AC0C2C"/>
    <w:rsid w:val="00AC11B6"/>
    <w:rsid w:val="00AC27BD"/>
    <w:rsid w:val="00AC30AA"/>
    <w:rsid w:val="00AC4E58"/>
    <w:rsid w:val="00AC50D6"/>
    <w:rsid w:val="00AC559A"/>
    <w:rsid w:val="00AC56CC"/>
    <w:rsid w:val="00AC640A"/>
    <w:rsid w:val="00AC6653"/>
    <w:rsid w:val="00AD0733"/>
    <w:rsid w:val="00AD14B1"/>
    <w:rsid w:val="00AD1867"/>
    <w:rsid w:val="00AD1DA5"/>
    <w:rsid w:val="00AD201C"/>
    <w:rsid w:val="00AD2E03"/>
    <w:rsid w:val="00AD38E4"/>
    <w:rsid w:val="00AD3CEF"/>
    <w:rsid w:val="00AD49D4"/>
    <w:rsid w:val="00AD4F14"/>
    <w:rsid w:val="00AD50D0"/>
    <w:rsid w:val="00AD524D"/>
    <w:rsid w:val="00AD5670"/>
    <w:rsid w:val="00AD56C4"/>
    <w:rsid w:val="00AD5B2F"/>
    <w:rsid w:val="00AD6436"/>
    <w:rsid w:val="00AD6FF0"/>
    <w:rsid w:val="00AE050B"/>
    <w:rsid w:val="00AE064E"/>
    <w:rsid w:val="00AE158D"/>
    <w:rsid w:val="00AE1BAF"/>
    <w:rsid w:val="00AE1BB6"/>
    <w:rsid w:val="00AE1C61"/>
    <w:rsid w:val="00AE204D"/>
    <w:rsid w:val="00AE2E96"/>
    <w:rsid w:val="00AE3BCB"/>
    <w:rsid w:val="00AE3D0A"/>
    <w:rsid w:val="00AE422E"/>
    <w:rsid w:val="00AE4B4F"/>
    <w:rsid w:val="00AE71EB"/>
    <w:rsid w:val="00AF0550"/>
    <w:rsid w:val="00AF09E4"/>
    <w:rsid w:val="00AF16E7"/>
    <w:rsid w:val="00AF3168"/>
    <w:rsid w:val="00AF3216"/>
    <w:rsid w:val="00AF3920"/>
    <w:rsid w:val="00AF4277"/>
    <w:rsid w:val="00AF4D72"/>
    <w:rsid w:val="00AF4EFF"/>
    <w:rsid w:val="00AF56F4"/>
    <w:rsid w:val="00AF5776"/>
    <w:rsid w:val="00AF5D46"/>
    <w:rsid w:val="00AF6737"/>
    <w:rsid w:val="00AF6985"/>
    <w:rsid w:val="00AF7487"/>
    <w:rsid w:val="00AF7558"/>
    <w:rsid w:val="00AF7672"/>
    <w:rsid w:val="00AF76FC"/>
    <w:rsid w:val="00AF7A03"/>
    <w:rsid w:val="00B02856"/>
    <w:rsid w:val="00B02C0A"/>
    <w:rsid w:val="00B03102"/>
    <w:rsid w:val="00B03EF4"/>
    <w:rsid w:val="00B040ED"/>
    <w:rsid w:val="00B04D1F"/>
    <w:rsid w:val="00B0674A"/>
    <w:rsid w:val="00B068E8"/>
    <w:rsid w:val="00B069F7"/>
    <w:rsid w:val="00B07D09"/>
    <w:rsid w:val="00B1034D"/>
    <w:rsid w:val="00B10624"/>
    <w:rsid w:val="00B106AB"/>
    <w:rsid w:val="00B117C3"/>
    <w:rsid w:val="00B118CD"/>
    <w:rsid w:val="00B11A57"/>
    <w:rsid w:val="00B11CE7"/>
    <w:rsid w:val="00B1238E"/>
    <w:rsid w:val="00B12505"/>
    <w:rsid w:val="00B13873"/>
    <w:rsid w:val="00B139CF"/>
    <w:rsid w:val="00B13B7D"/>
    <w:rsid w:val="00B141BB"/>
    <w:rsid w:val="00B1427C"/>
    <w:rsid w:val="00B149EB"/>
    <w:rsid w:val="00B15AB5"/>
    <w:rsid w:val="00B15BA2"/>
    <w:rsid w:val="00B17239"/>
    <w:rsid w:val="00B17C0B"/>
    <w:rsid w:val="00B17E90"/>
    <w:rsid w:val="00B17FED"/>
    <w:rsid w:val="00B20F43"/>
    <w:rsid w:val="00B230A2"/>
    <w:rsid w:val="00B2546E"/>
    <w:rsid w:val="00B2612E"/>
    <w:rsid w:val="00B275E5"/>
    <w:rsid w:val="00B27E46"/>
    <w:rsid w:val="00B3019C"/>
    <w:rsid w:val="00B30AF2"/>
    <w:rsid w:val="00B30E66"/>
    <w:rsid w:val="00B30FF1"/>
    <w:rsid w:val="00B33052"/>
    <w:rsid w:val="00B33E9B"/>
    <w:rsid w:val="00B3476B"/>
    <w:rsid w:val="00B34A0C"/>
    <w:rsid w:val="00B34A68"/>
    <w:rsid w:val="00B354A7"/>
    <w:rsid w:val="00B35891"/>
    <w:rsid w:val="00B35C6D"/>
    <w:rsid w:val="00B365DB"/>
    <w:rsid w:val="00B36F02"/>
    <w:rsid w:val="00B3793D"/>
    <w:rsid w:val="00B411A9"/>
    <w:rsid w:val="00B437E5"/>
    <w:rsid w:val="00B443DC"/>
    <w:rsid w:val="00B45DFD"/>
    <w:rsid w:val="00B45FF4"/>
    <w:rsid w:val="00B460AB"/>
    <w:rsid w:val="00B473BF"/>
    <w:rsid w:val="00B474DD"/>
    <w:rsid w:val="00B52E51"/>
    <w:rsid w:val="00B53297"/>
    <w:rsid w:val="00B53868"/>
    <w:rsid w:val="00B5408B"/>
    <w:rsid w:val="00B555DF"/>
    <w:rsid w:val="00B55621"/>
    <w:rsid w:val="00B558A6"/>
    <w:rsid w:val="00B563FF"/>
    <w:rsid w:val="00B5684B"/>
    <w:rsid w:val="00B574C4"/>
    <w:rsid w:val="00B60C0D"/>
    <w:rsid w:val="00B60D26"/>
    <w:rsid w:val="00B617EC"/>
    <w:rsid w:val="00B633B3"/>
    <w:rsid w:val="00B64176"/>
    <w:rsid w:val="00B657C5"/>
    <w:rsid w:val="00B66B2F"/>
    <w:rsid w:val="00B70CC4"/>
    <w:rsid w:val="00B711E2"/>
    <w:rsid w:val="00B71EF0"/>
    <w:rsid w:val="00B71F95"/>
    <w:rsid w:val="00B7231D"/>
    <w:rsid w:val="00B723C8"/>
    <w:rsid w:val="00B72840"/>
    <w:rsid w:val="00B730C1"/>
    <w:rsid w:val="00B73108"/>
    <w:rsid w:val="00B75026"/>
    <w:rsid w:val="00B760CD"/>
    <w:rsid w:val="00B76C0B"/>
    <w:rsid w:val="00B76CC6"/>
    <w:rsid w:val="00B77CF5"/>
    <w:rsid w:val="00B813BB"/>
    <w:rsid w:val="00B81412"/>
    <w:rsid w:val="00B815AC"/>
    <w:rsid w:val="00B82E2E"/>
    <w:rsid w:val="00B8335E"/>
    <w:rsid w:val="00B83B9F"/>
    <w:rsid w:val="00B840B5"/>
    <w:rsid w:val="00B841F4"/>
    <w:rsid w:val="00B843DD"/>
    <w:rsid w:val="00B84E5B"/>
    <w:rsid w:val="00B87A25"/>
    <w:rsid w:val="00B90762"/>
    <w:rsid w:val="00B90E26"/>
    <w:rsid w:val="00B921F8"/>
    <w:rsid w:val="00B92C99"/>
    <w:rsid w:val="00B92D3A"/>
    <w:rsid w:val="00B93666"/>
    <w:rsid w:val="00B93CA3"/>
    <w:rsid w:val="00B95261"/>
    <w:rsid w:val="00B9572C"/>
    <w:rsid w:val="00BA082D"/>
    <w:rsid w:val="00BA0973"/>
    <w:rsid w:val="00BA1888"/>
    <w:rsid w:val="00BA1A15"/>
    <w:rsid w:val="00BA2509"/>
    <w:rsid w:val="00BA28ED"/>
    <w:rsid w:val="00BA407A"/>
    <w:rsid w:val="00BA417C"/>
    <w:rsid w:val="00BA5DFD"/>
    <w:rsid w:val="00BA62D5"/>
    <w:rsid w:val="00BB0053"/>
    <w:rsid w:val="00BB00AC"/>
    <w:rsid w:val="00BB0151"/>
    <w:rsid w:val="00BB1D56"/>
    <w:rsid w:val="00BB3AD2"/>
    <w:rsid w:val="00BB3BFE"/>
    <w:rsid w:val="00BB3F71"/>
    <w:rsid w:val="00BB432A"/>
    <w:rsid w:val="00BB4B68"/>
    <w:rsid w:val="00BB6080"/>
    <w:rsid w:val="00BB6C78"/>
    <w:rsid w:val="00BB6E67"/>
    <w:rsid w:val="00BB73B5"/>
    <w:rsid w:val="00BB7939"/>
    <w:rsid w:val="00BC0671"/>
    <w:rsid w:val="00BC0920"/>
    <w:rsid w:val="00BC0D1F"/>
    <w:rsid w:val="00BC13F5"/>
    <w:rsid w:val="00BC15E4"/>
    <w:rsid w:val="00BC164D"/>
    <w:rsid w:val="00BC1B67"/>
    <w:rsid w:val="00BC1E72"/>
    <w:rsid w:val="00BC2027"/>
    <w:rsid w:val="00BC2919"/>
    <w:rsid w:val="00BC39C7"/>
    <w:rsid w:val="00BC6D3B"/>
    <w:rsid w:val="00BC71E8"/>
    <w:rsid w:val="00BC7619"/>
    <w:rsid w:val="00BC76F3"/>
    <w:rsid w:val="00BC7D08"/>
    <w:rsid w:val="00BC7E26"/>
    <w:rsid w:val="00BD03C2"/>
    <w:rsid w:val="00BD0BA3"/>
    <w:rsid w:val="00BD239A"/>
    <w:rsid w:val="00BD248E"/>
    <w:rsid w:val="00BD29F8"/>
    <w:rsid w:val="00BD3117"/>
    <w:rsid w:val="00BD385B"/>
    <w:rsid w:val="00BD4A1B"/>
    <w:rsid w:val="00BD4F09"/>
    <w:rsid w:val="00BD5680"/>
    <w:rsid w:val="00BD5FE0"/>
    <w:rsid w:val="00BD6005"/>
    <w:rsid w:val="00BD673F"/>
    <w:rsid w:val="00BD6E44"/>
    <w:rsid w:val="00BD7578"/>
    <w:rsid w:val="00BE01C9"/>
    <w:rsid w:val="00BE0D47"/>
    <w:rsid w:val="00BE0FBF"/>
    <w:rsid w:val="00BE1A03"/>
    <w:rsid w:val="00BE1AE1"/>
    <w:rsid w:val="00BE2D9C"/>
    <w:rsid w:val="00BE3D8C"/>
    <w:rsid w:val="00BE3E3F"/>
    <w:rsid w:val="00BE4295"/>
    <w:rsid w:val="00BE4657"/>
    <w:rsid w:val="00BE6055"/>
    <w:rsid w:val="00BE6A5E"/>
    <w:rsid w:val="00BE6AD6"/>
    <w:rsid w:val="00BE79CC"/>
    <w:rsid w:val="00BF0659"/>
    <w:rsid w:val="00BF06D5"/>
    <w:rsid w:val="00BF16E9"/>
    <w:rsid w:val="00BF1C9C"/>
    <w:rsid w:val="00BF1EE3"/>
    <w:rsid w:val="00BF29F7"/>
    <w:rsid w:val="00BF2E51"/>
    <w:rsid w:val="00BF30C4"/>
    <w:rsid w:val="00BF390D"/>
    <w:rsid w:val="00BF471C"/>
    <w:rsid w:val="00BF5E2A"/>
    <w:rsid w:val="00BF65ED"/>
    <w:rsid w:val="00BF6A09"/>
    <w:rsid w:val="00BF7CD7"/>
    <w:rsid w:val="00C00A1B"/>
    <w:rsid w:val="00C01ACF"/>
    <w:rsid w:val="00C025DC"/>
    <w:rsid w:val="00C0293A"/>
    <w:rsid w:val="00C02AF8"/>
    <w:rsid w:val="00C0338F"/>
    <w:rsid w:val="00C034A6"/>
    <w:rsid w:val="00C03EBD"/>
    <w:rsid w:val="00C04258"/>
    <w:rsid w:val="00C05B61"/>
    <w:rsid w:val="00C06E7F"/>
    <w:rsid w:val="00C07558"/>
    <w:rsid w:val="00C11703"/>
    <w:rsid w:val="00C121B5"/>
    <w:rsid w:val="00C13510"/>
    <w:rsid w:val="00C145B3"/>
    <w:rsid w:val="00C1614A"/>
    <w:rsid w:val="00C1631F"/>
    <w:rsid w:val="00C16E73"/>
    <w:rsid w:val="00C176A7"/>
    <w:rsid w:val="00C17BE3"/>
    <w:rsid w:val="00C17CF0"/>
    <w:rsid w:val="00C17D67"/>
    <w:rsid w:val="00C20BE1"/>
    <w:rsid w:val="00C217ED"/>
    <w:rsid w:val="00C2392E"/>
    <w:rsid w:val="00C23E2E"/>
    <w:rsid w:val="00C23F37"/>
    <w:rsid w:val="00C24302"/>
    <w:rsid w:val="00C24878"/>
    <w:rsid w:val="00C25A59"/>
    <w:rsid w:val="00C25C9F"/>
    <w:rsid w:val="00C26868"/>
    <w:rsid w:val="00C30581"/>
    <w:rsid w:val="00C31256"/>
    <w:rsid w:val="00C313DF"/>
    <w:rsid w:val="00C31AE4"/>
    <w:rsid w:val="00C31C44"/>
    <w:rsid w:val="00C32B47"/>
    <w:rsid w:val="00C351AA"/>
    <w:rsid w:val="00C354C3"/>
    <w:rsid w:val="00C35BA6"/>
    <w:rsid w:val="00C35C51"/>
    <w:rsid w:val="00C36065"/>
    <w:rsid w:val="00C402F7"/>
    <w:rsid w:val="00C403A4"/>
    <w:rsid w:val="00C4044B"/>
    <w:rsid w:val="00C4082E"/>
    <w:rsid w:val="00C41F37"/>
    <w:rsid w:val="00C42838"/>
    <w:rsid w:val="00C43705"/>
    <w:rsid w:val="00C43AAB"/>
    <w:rsid w:val="00C44384"/>
    <w:rsid w:val="00C454F6"/>
    <w:rsid w:val="00C45B42"/>
    <w:rsid w:val="00C46ABF"/>
    <w:rsid w:val="00C47248"/>
    <w:rsid w:val="00C47400"/>
    <w:rsid w:val="00C50F09"/>
    <w:rsid w:val="00C51538"/>
    <w:rsid w:val="00C5154E"/>
    <w:rsid w:val="00C5196C"/>
    <w:rsid w:val="00C5202F"/>
    <w:rsid w:val="00C5515D"/>
    <w:rsid w:val="00C55302"/>
    <w:rsid w:val="00C55B57"/>
    <w:rsid w:val="00C56225"/>
    <w:rsid w:val="00C56C40"/>
    <w:rsid w:val="00C56C7A"/>
    <w:rsid w:val="00C56F9B"/>
    <w:rsid w:val="00C575A6"/>
    <w:rsid w:val="00C6000C"/>
    <w:rsid w:val="00C608AA"/>
    <w:rsid w:val="00C626D7"/>
    <w:rsid w:val="00C6344D"/>
    <w:rsid w:val="00C639AC"/>
    <w:rsid w:val="00C65278"/>
    <w:rsid w:val="00C66867"/>
    <w:rsid w:val="00C67443"/>
    <w:rsid w:val="00C675AF"/>
    <w:rsid w:val="00C70032"/>
    <w:rsid w:val="00C70DFD"/>
    <w:rsid w:val="00C70FF1"/>
    <w:rsid w:val="00C715F7"/>
    <w:rsid w:val="00C71EF3"/>
    <w:rsid w:val="00C73016"/>
    <w:rsid w:val="00C766DC"/>
    <w:rsid w:val="00C775DB"/>
    <w:rsid w:val="00C778F3"/>
    <w:rsid w:val="00C8016E"/>
    <w:rsid w:val="00C80A6D"/>
    <w:rsid w:val="00C810BE"/>
    <w:rsid w:val="00C828B5"/>
    <w:rsid w:val="00C83C73"/>
    <w:rsid w:val="00C84032"/>
    <w:rsid w:val="00C84B7D"/>
    <w:rsid w:val="00C858C6"/>
    <w:rsid w:val="00C8690A"/>
    <w:rsid w:val="00C86B5B"/>
    <w:rsid w:val="00C86FCE"/>
    <w:rsid w:val="00C870E9"/>
    <w:rsid w:val="00C8783D"/>
    <w:rsid w:val="00C87F6C"/>
    <w:rsid w:val="00C90648"/>
    <w:rsid w:val="00C91D98"/>
    <w:rsid w:val="00C93FBE"/>
    <w:rsid w:val="00C95555"/>
    <w:rsid w:val="00C95E6C"/>
    <w:rsid w:val="00C964B4"/>
    <w:rsid w:val="00CA05F1"/>
    <w:rsid w:val="00CA0D56"/>
    <w:rsid w:val="00CA1280"/>
    <w:rsid w:val="00CA15BD"/>
    <w:rsid w:val="00CA1912"/>
    <w:rsid w:val="00CA1D10"/>
    <w:rsid w:val="00CA2192"/>
    <w:rsid w:val="00CA233A"/>
    <w:rsid w:val="00CA33E5"/>
    <w:rsid w:val="00CA3A68"/>
    <w:rsid w:val="00CA3D00"/>
    <w:rsid w:val="00CA624E"/>
    <w:rsid w:val="00CA6461"/>
    <w:rsid w:val="00CA7DB2"/>
    <w:rsid w:val="00CB060B"/>
    <w:rsid w:val="00CB0A6C"/>
    <w:rsid w:val="00CB0B89"/>
    <w:rsid w:val="00CB0D93"/>
    <w:rsid w:val="00CB22A8"/>
    <w:rsid w:val="00CB266E"/>
    <w:rsid w:val="00CB2793"/>
    <w:rsid w:val="00CB2DE9"/>
    <w:rsid w:val="00CB341B"/>
    <w:rsid w:val="00CB3836"/>
    <w:rsid w:val="00CB39D2"/>
    <w:rsid w:val="00CB3E9D"/>
    <w:rsid w:val="00CB43E3"/>
    <w:rsid w:val="00CB53FE"/>
    <w:rsid w:val="00CB56E0"/>
    <w:rsid w:val="00CB57A8"/>
    <w:rsid w:val="00CB5E80"/>
    <w:rsid w:val="00CB7053"/>
    <w:rsid w:val="00CC0A1D"/>
    <w:rsid w:val="00CC0FF2"/>
    <w:rsid w:val="00CC13F4"/>
    <w:rsid w:val="00CC1EC0"/>
    <w:rsid w:val="00CC30D4"/>
    <w:rsid w:val="00CC364B"/>
    <w:rsid w:val="00CC39B1"/>
    <w:rsid w:val="00CC4B36"/>
    <w:rsid w:val="00CC4D08"/>
    <w:rsid w:val="00CC59BF"/>
    <w:rsid w:val="00CC5CB1"/>
    <w:rsid w:val="00CC6585"/>
    <w:rsid w:val="00CC663C"/>
    <w:rsid w:val="00CC7A04"/>
    <w:rsid w:val="00CD02CA"/>
    <w:rsid w:val="00CD4482"/>
    <w:rsid w:val="00CD4F28"/>
    <w:rsid w:val="00CD526D"/>
    <w:rsid w:val="00CD56FF"/>
    <w:rsid w:val="00CD630A"/>
    <w:rsid w:val="00CD6854"/>
    <w:rsid w:val="00CD7452"/>
    <w:rsid w:val="00CD753F"/>
    <w:rsid w:val="00CD7C6D"/>
    <w:rsid w:val="00CE0C70"/>
    <w:rsid w:val="00CE1259"/>
    <w:rsid w:val="00CE16CD"/>
    <w:rsid w:val="00CE26A3"/>
    <w:rsid w:val="00CE2747"/>
    <w:rsid w:val="00CE2EDA"/>
    <w:rsid w:val="00CE2F95"/>
    <w:rsid w:val="00CE3F14"/>
    <w:rsid w:val="00CE482C"/>
    <w:rsid w:val="00CE4BF6"/>
    <w:rsid w:val="00CE5211"/>
    <w:rsid w:val="00CE5ABC"/>
    <w:rsid w:val="00CE5CFD"/>
    <w:rsid w:val="00CE65B4"/>
    <w:rsid w:val="00CE6F82"/>
    <w:rsid w:val="00CE722F"/>
    <w:rsid w:val="00CE7FA2"/>
    <w:rsid w:val="00CF06EB"/>
    <w:rsid w:val="00CF23E2"/>
    <w:rsid w:val="00CF307B"/>
    <w:rsid w:val="00CF46F6"/>
    <w:rsid w:val="00CF58C5"/>
    <w:rsid w:val="00CF5AAC"/>
    <w:rsid w:val="00CF5F6A"/>
    <w:rsid w:val="00CF5FA4"/>
    <w:rsid w:val="00CF6077"/>
    <w:rsid w:val="00CF6B3F"/>
    <w:rsid w:val="00CF6C5F"/>
    <w:rsid w:val="00CF6F41"/>
    <w:rsid w:val="00CF7D30"/>
    <w:rsid w:val="00D00C4C"/>
    <w:rsid w:val="00D0103B"/>
    <w:rsid w:val="00D02996"/>
    <w:rsid w:val="00D033AC"/>
    <w:rsid w:val="00D03985"/>
    <w:rsid w:val="00D04E90"/>
    <w:rsid w:val="00D0519F"/>
    <w:rsid w:val="00D0597C"/>
    <w:rsid w:val="00D05A56"/>
    <w:rsid w:val="00D06328"/>
    <w:rsid w:val="00D06396"/>
    <w:rsid w:val="00D07823"/>
    <w:rsid w:val="00D0791A"/>
    <w:rsid w:val="00D07DA2"/>
    <w:rsid w:val="00D10462"/>
    <w:rsid w:val="00D12175"/>
    <w:rsid w:val="00D123CC"/>
    <w:rsid w:val="00D1243F"/>
    <w:rsid w:val="00D13FE4"/>
    <w:rsid w:val="00D1478F"/>
    <w:rsid w:val="00D14A61"/>
    <w:rsid w:val="00D159C1"/>
    <w:rsid w:val="00D16AE6"/>
    <w:rsid w:val="00D16D0C"/>
    <w:rsid w:val="00D203F5"/>
    <w:rsid w:val="00D2091A"/>
    <w:rsid w:val="00D2118B"/>
    <w:rsid w:val="00D213F6"/>
    <w:rsid w:val="00D2152B"/>
    <w:rsid w:val="00D2227A"/>
    <w:rsid w:val="00D236C3"/>
    <w:rsid w:val="00D24492"/>
    <w:rsid w:val="00D24FD6"/>
    <w:rsid w:val="00D27C8D"/>
    <w:rsid w:val="00D306A9"/>
    <w:rsid w:val="00D30E30"/>
    <w:rsid w:val="00D31CDA"/>
    <w:rsid w:val="00D32047"/>
    <w:rsid w:val="00D333CA"/>
    <w:rsid w:val="00D336B0"/>
    <w:rsid w:val="00D3466B"/>
    <w:rsid w:val="00D3613E"/>
    <w:rsid w:val="00D369A7"/>
    <w:rsid w:val="00D36BC3"/>
    <w:rsid w:val="00D40EDB"/>
    <w:rsid w:val="00D414E0"/>
    <w:rsid w:val="00D416B3"/>
    <w:rsid w:val="00D41FCE"/>
    <w:rsid w:val="00D436BA"/>
    <w:rsid w:val="00D4372F"/>
    <w:rsid w:val="00D43AD3"/>
    <w:rsid w:val="00D455FB"/>
    <w:rsid w:val="00D46F67"/>
    <w:rsid w:val="00D4711C"/>
    <w:rsid w:val="00D4726C"/>
    <w:rsid w:val="00D500C2"/>
    <w:rsid w:val="00D5210A"/>
    <w:rsid w:val="00D528AA"/>
    <w:rsid w:val="00D532AD"/>
    <w:rsid w:val="00D54487"/>
    <w:rsid w:val="00D54515"/>
    <w:rsid w:val="00D54E6F"/>
    <w:rsid w:val="00D54EA3"/>
    <w:rsid w:val="00D5554D"/>
    <w:rsid w:val="00D561DE"/>
    <w:rsid w:val="00D5691F"/>
    <w:rsid w:val="00D569EE"/>
    <w:rsid w:val="00D56BAC"/>
    <w:rsid w:val="00D5792A"/>
    <w:rsid w:val="00D57F8A"/>
    <w:rsid w:val="00D6057F"/>
    <w:rsid w:val="00D6094C"/>
    <w:rsid w:val="00D63066"/>
    <w:rsid w:val="00D631AB"/>
    <w:rsid w:val="00D63733"/>
    <w:rsid w:val="00D64DA0"/>
    <w:rsid w:val="00D64DEF"/>
    <w:rsid w:val="00D6591D"/>
    <w:rsid w:val="00D6616A"/>
    <w:rsid w:val="00D6620F"/>
    <w:rsid w:val="00D66F5F"/>
    <w:rsid w:val="00D676B1"/>
    <w:rsid w:val="00D678A5"/>
    <w:rsid w:val="00D67C30"/>
    <w:rsid w:val="00D71448"/>
    <w:rsid w:val="00D7199E"/>
    <w:rsid w:val="00D71F12"/>
    <w:rsid w:val="00D73AB3"/>
    <w:rsid w:val="00D73FC2"/>
    <w:rsid w:val="00D742A6"/>
    <w:rsid w:val="00D74B53"/>
    <w:rsid w:val="00D75A19"/>
    <w:rsid w:val="00D76F00"/>
    <w:rsid w:val="00D7749E"/>
    <w:rsid w:val="00D775BD"/>
    <w:rsid w:val="00D7787A"/>
    <w:rsid w:val="00D801A8"/>
    <w:rsid w:val="00D80448"/>
    <w:rsid w:val="00D80989"/>
    <w:rsid w:val="00D80ADC"/>
    <w:rsid w:val="00D80BBD"/>
    <w:rsid w:val="00D8261C"/>
    <w:rsid w:val="00D82626"/>
    <w:rsid w:val="00D826E0"/>
    <w:rsid w:val="00D8276E"/>
    <w:rsid w:val="00D84F4B"/>
    <w:rsid w:val="00D851D1"/>
    <w:rsid w:val="00D86589"/>
    <w:rsid w:val="00D876D0"/>
    <w:rsid w:val="00D87E85"/>
    <w:rsid w:val="00D90C13"/>
    <w:rsid w:val="00D924CF"/>
    <w:rsid w:val="00D92567"/>
    <w:rsid w:val="00D934E6"/>
    <w:rsid w:val="00D93A59"/>
    <w:rsid w:val="00D948A3"/>
    <w:rsid w:val="00D9527C"/>
    <w:rsid w:val="00D95B56"/>
    <w:rsid w:val="00D964E4"/>
    <w:rsid w:val="00D97586"/>
    <w:rsid w:val="00D97F5C"/>
    <w:rsid w:val="00DA05F0"/>
    <w:rsid w:val="00DA06FB"/>
    <w:rsid w:val="00DA0CD6"/>
    <w:rsid w:val="00DA0F57"/>
    <w:rsid w:val="00DA164A"/>
    <w:rsid w:val="00DA1789"/>
    <w:rsid w:val="00DA20D0"/>
    <w:rsid w:val="00DA259F"/>
    <w:rsid w:val="00DA29E3"/>
    <w:rsid w:val="00DA2B30"/>
    <w:rsid w:val="00DA3AF0"/>
    <w:rsid w:val="00DA3BD5"/>
    <w:rsid w:val="00DA4A95"/>
    <w:rsid w:val="00DA5314"/>
    <w:rsid w:val="00DA5D1E"/>
    <w:rsid w:val="00DA5EED"/>
    <w:rsid w:val="00DA6B9B"/>
    <w:rsid w:val="00DA7A30"/>
    <w:rsid w:val="00DB1291"/>
    <w:rsid w:val="00DB1428"/>
    <w:rsid w:val="00DB1E05"/>
    <w:rsid w:val="00DB2F16"/>
    <w:rsid w:val="00DB3F15"/>
    <w:rsid w:val="00DB4B66"/>
    <w:rsid w:val="00DB56B0"/>
    <w:rsid w:val="00DB649C"/>
    <w:rsid w:val="00DB6A8C"/>
    <w:rsid w:val="00DC0692"/>
    <w:rsid w:val="00DC1417"/>
    <w:rsid w:val="00DC2DED"/>
    <w:rsid w:val="00DC2F4B"/>
    <w:rsid w:val="00DC4EA6"/>
    <w:rsid w:val="00DC5087"/>
    <w:rsid w:val="00DC5751"/>
    <w:rsid w:val="00DC5CF3"/>
    <w:rsid w:val="00DC5FE3"/>
    <w:rsid w:val="00DC6A91"/>
    <w:rsid w:val="00DD020A"/>
    <w:rsid w:val="00DD13ED"/>
    <w:rsid w:val="00DD1418"/>
    <w:rsid w:val="00DD17A2"/>
    <w:rsid w:val="00DD1AC7"/>
    <w:rsid w:val="00DD1C80"/>
    <w:rsid w:val="00DD2606"/>
    <w:rsid w:val="00DD2946"/>
    <w:rsid w:val="00DD32E3"/>
    <w:rsid w:val="00DD44D0"/>
    <w:rsid w:val="00DD495B"/>
    <w:rsid w:val="00DD5013"/>
    <w:rsid w:val="00DD528D"/>
    <w:rsid w:val="00DD64C1"/>
    <w:rsid w:val="00DD6849"/>
    <w:rsid w:val="00DD6A9E"/>
    <w:rsid w:val="00DD6B7E"/>
    <w:rsid w:val="00DD6D72"/>
    <w:rsid w:val="00DD7432"/>
    <w:rsid w:val="00DE022B"/>
    <w:rsid w:val="00DE02DF"/>
    <w:rsid w:val="00DE1AA0"/>
    <w:rsid w:val="00DE3067"/>
    <w:rsid w:val="00DE3CB7"/>
    <w:rsid w:val="00DE3EB7"/>
    <w:rsid w:val="00DE3ECF"/>
    <w:rsid w:val="00DE4C75"/>
    <w:rsid w:val="00DE4D66"/>
    <w:rsid w:val="00DE6595"/>
    <w:rsid w:val="00DE71C6"/>
    <w:rsid w:val="00DE7EC7"/>
    <w:rsid w:val="00DE7F04"/>
    <w:rsid w:val="00DF04A7"/>
    <w:rsid w:val="00DF2203"/>
    <w:rsid w:val="00DF22A2"/>
    <w:rsid w:val="00DF236B"/>
    <w:rsid w:val="00DF34F1"/>
    <w:rsid w:val="00DF3957"/>
    <w:rsid w:val="00DF4502"/>
    <w:rsid w:val="00DF4E3C"/>
    <w:rsid w:val="00DF555A"/>
    <w:rsid w:val="00DF559A"/>
    <w:rsid w:val="00DF649D"/>
    <w:rsid w:val="00DF6E9A"/>
    <w:rsid w:val="00DF719B"/>
    <w:rsid w:val="00E00377"/>
    <w:rsid w:val="00E01C1C"/>
    <w:rsid w:val="00E02820"/>
    <w:rsid w:val="00E028FC"/>
    <w:rsid w:val="00E02A33"/>
    <w:rsid w:val="00E03AD7"/>
    <w:rsid w:val="00E03D76"/>
    <w:rsid w:val="00E05661"/>
    <w:rsid w:val="00E078A3"/>
    <w:rsid w:val="00E07DDD"/>
    <w:rsid w:val="00E104BE"/>
    <w:rsid w:val="00E10BE1"/>
    <w:rsid w:val="00E10E1B"/>
    <w:rsid w:val="00E117B9"/>
    <w:rsid w:val="00E11832"/>
    <w:rsid w:val="00E11F31"/>
    <w:rsid w:val="00E120AC"/>
    <w:rsid w:val="00E13FB5"/>
    <w:rsid w:val="00E14BE7"/>
    <w:rsid w:val="00E153AB"/>
    <w:rsid w:val="00E15DE5"/>
    <w:rsid w:val="00E170EF"/>
    <w:rsid w:val="00E1790B"/>
    <w:rsid w:val="00E2004E"/>
    <w:rsid w:val="00E20430"/>
    <w:rsid w:val="00E20E89"/>
    <w:rsid w:val="00E2167D"/>
    <w:rsid w:val="00E22078"/>
    <w:rsid w:val="00E22204"/>
    <w:rsid w:val="00E230B3"/>
    <w:rsid w:val="00E235A5"/>
    <w:rsid w:val="00E236BE"/>
    <w:rsid w:val="00E245C7"/>
    <w:rsid w:val="00E24760"/>
    <w:rsid w:val="00E24807"/>
    <w:rsid w:val="00E24AA7"/>
    <w:rsid w:val="00E24E7C"/>
    <w:rsid w:val="00E24E8C"/>
    <w:rsid w:val="00E255EE"/>
    <w:rsid w:val="00E262AE"/>
    <w:rsid w:val="00E2632E"/>
    <w:rsid w:val="00E265D5"/>
    <w:rsid w:val="00E265DE"/>
    <w:rsid w:val="00E26806"/>
    <w:rsid w:val="00E26970"/>
    <w:rsid w:val="00E26983"/>
    <w:rsid w:val="00E27511"/>
    <w:rsid w:val="00E2781B"/>
    <w:rsid w:val="00E30D6B"/>
    <w:rsid w:val="00E31A45"/>
    <w:rsid w:val="00E32230"/>
    <w:rsid w:val="00E3234D"/>
    <w:rsid w:val="00E32F73"/>
    <w:rsid w:val="00E337EF"/>
    <w:rsid w:val="00E339D0"/>
    <w:rsid w:val="00E34BA7"/>
    <w:rsid w:val="00E35C19"/>
    <w:rsid w:val="00E35CFF"/>
    <w:rsid w:val="00E36BCC"/>
    <w:rsid w:val="00E37A51"/>
    <w:rsid w:val="00E403E3"/>
    <w:rsid w:val="00E403E8"/>
    <w:rsid w:val="00E40ABA"/>
    <w:rsid w:val="00E4158B"/>
    <w:rsid w:val="00E415E2"/>
    <w:rsid w:val="00E4169B"/>
    <w:rsid w:val="00E43BD3"/>
    <w:rsid w:val="00E446E9"/>
    <w:rsid w:val="00E44DBA"/>
    <w:rsid w:val="00E462EC"/>
    <w:rsid w:val="00E46DD5"/>
    <w:rsid w:val="00E47607"/>
    <w:rsid w:val="00E47EDF"/>
    <w:rsid w:val="00E47F80"/>
    <w:rsid w:val="00E50996"/>
    <w:rsid w:val="00E50F2D"/>
    <w:rsid w:val="00E50FDB"/>
    <w:rsid w:val="00E5240B"/>
    <w:rsid w:val="00E530E7"/>
    <w:rsid w:val="00E532CD"/>
    <w:rsid w:val="00E535D5"/>
    <w:rsid w:val="00E542D7"/>
    <w:rsid w:val="00E55778"/>
    <w:rsid w:val="00E55A21"/>
    <w:rsid w:val="00E5642D"/>
    <w:rsid w:val="00E5670D"/>
    <w:rsid w:val="00E569EA"/>
    <w:rsid w:val="00E56ACB"/>
    <w:rsid w:val="00E57075"/>
    <w:rsid w:val="00E61174"/>
    <w:rsid w:val="00E61781"/>
    <w:rsid w:val="00E62241"/>
    <w:rsid w:val="00E62EAE"/>
    <w:rsid w:val="00E62FD2"/>
    <w:rsid w:val="00E63040"/>
    <w:rsid w:val="00E6320F"/>
    <w:rsid w:val="00E63270"/>
    <w:rsid w:val="00E63445"/>
    <w:rsid w:val="00E63DDC"/>
    <w:rsid w:val="00E641E5"/>
    <w:rsid w:val="00E645AE"/>
    <w:rsid w:val="00E64701"/>
    <w:rsid w:val="00E64852"/>
    <w:rsid w:val="00E6694B"/>
    <w:rsid w:val="00E67575"/>
    <w:rsid w:val="00E67619"/>
    <w:rsid w:val="00E67E5B"/>
    <w:rsid w:val="00E7048D"/>
    <w:rsid w:val="00E708EB"/>
    <w:rsid w:val="00E70A2B"/>
    <w:rsid w:val="00E70A93"/>
    <w:rsid w:val="00E72010"/>
    <w:rsid w:val="00E72629"/>
    <w:rsid w:val="00E72AE5"/>
    <w:rsid w:val="00E73E23"/>
    <w:rsid w:val="00E73F94"/>
    <w:rsid w:val="00E74971"/>
    <w:rsid w:val="00E74BBC"/>
    <w:rsid w:val="00E753AB"/>
    <w:rsid w:val="00E75407"/>
    <w:rsid w:val="00E76643"/>
    <w:rsid w:val="00E76E00"/>
    <w:rsid w:val="00E77370"/>
    <w:rsid w:val="00E7750D"/>
    <w:rsid w:val="00E77ACB"/>
    <w:rsid w:val="00E80944"/>
    <w:rsid w:val="00E80FDF"/>
    <w:rsid w:val="00E81CCD"/>
    <w:rsid w:val="00E81EF1"/>
    <w:rsid w:val="00E81F66"/>
    <w:rsid w:val="00E81FCA"/>
    <w:rsid w:val="00E83DB8"/>
    <w:rsid w:val="00E841BF"/>
    <w:rsid w:val="00E84646"/>
    <w:rsid w:val="00E85A81"/>
    <w:rsid w:val="00E85DD2"/>
    <w:rsid w:val="00E86A36"/>
    <w:rsid w:val="00E86BA5"/>
    <w:rsid w:val="00E86ED4"/>
    <w:rsid w:val="00E87446"/>
    <w:rsid w:val="00E87470"/>
    <w:rsid w:val="00E87717"/>
    <w:rsid w:val="00E90F55"/>
    <w:rsid w:val="00E926A6"/>
    <w:rsid w:val="00E9287E"/>
    <w:rsid w:val="00E93033"/>
    <w:rsid w:val="00E9305F"/>
    <w:rsid w:val="00E930E9"/>
    <w:rsid w:val="00E936A0"/>
    <w:rsid w:val="00E95451"/>
    <w:rsid w:val="00E96700"/>
    <w:rsid w:val="00E97288"/>
    <w:rsid w:val="00E978F3"/>
    <w:rsid w:val="00EA0421"/>
    <w:rsid w:val="00EA0729"/>
    <w:rsid w:val="00EA07D5"/>
    <w:rsid w:val="00EA0BF1"/>
    <w:rsid w:val="00EA0FB0"/>
    <w:rsid w:val="00EA1734"/>
    <w:rsid w:val="00EA1963"/>
    <w:rsid w:val="00EA28FA"/>
    <w:rsid w:val="00EA29C6"/>
    <w:rsid w:val="00EA31B1"/>
    <w:rsid w:val="00EA3E5A"/>
    <w:rsid w:val="00EA4505"/>
    <w:rsid w:val="00EA4D94"/>
    <w:rsid w:val="00EA4EE0"/>
    <w:rsid w:val="00EA4F3C"/>
    <w:rsid w:val="00EA5176"/>
    <w:rsid w:val="00EA5E16"/>
    <w:rsid w:val="00EA62A7"/>
    <w:rsid w:val="00EA64DA"/>
    <w:rsid w:val="00EA657F"/>
    <w:rsid w:val="00EA68B7"/>
    <w:rsid w:val="00EA6AC8"/>
    <w:rsid w:val="00EB1882"/>
    <w:rsid w:val="00EB1F52"/>
    <w:rsid w:val="00EB1F7D"/>
    <w:rsid w:val="00EB2D6E"/>
    <w:rsid w:val="00EB354E"/>
    <w:rsid w:val="00EB3CDD"/>
    <w:rsid w:val="00EB4C6D"/>
    <w:rsid w:val="00EB4D89"/>
    <w:rsid w:val="00EB60C2"/>
    <w:rsid w:val="00EB6D51"/>
    <w:rsid w:val="00EC0403"/>
    <w:rsid w:val="00EC0B95"/>
    <w:rsid w:val="00EC0FC4"/>
    <w:rsid w:val="00EC3CE1"/>
    <w:rsid w:val="00EC3DE6"/>
    <w:rsid w:val="00EC3F9B"/>
    <w:rsid w:val="00EC4472"/>
    <w:rsid w:val="00EC4DA4"/>
    <w:rsid w:val="00EC5117"/>
    <w:rsid w:val="00EC5949"/>
    <w:rsid w:val="00EC615A"/>
    <w:rsid w:val="00EC6CFC"/>
    <w:rsid w:val="00EC7269"/>
    <w:rsid w:val="00EC72F2"/>
    <w:rsid w:val="00EC7ADC"/>
    <w:rsid w:val="00EC7D78"/>
    <w:rsid w:val="00ED0635"/>
    <w:rsid w:val="00ED0809"/>
    <w:rsid w:val="00ED1B8C"/>
    <w:rsid w:val="00ED1ED7"/>
    <w:rsid w:val="00ED2582"/>
    <w:rsid w:val="00ED33A6"/>
    <w:rsid w:val="00ED33C2"/>
    <w:rsid w:val="00ED34E3"/>
    <w:rsid w:val="00ED47F8"/>
    <w:rsid w:val="00ED6205"/>
    <w:rsid w:val="00ED70B8"/>
    <w:rsid w:val="00ED7FEF"/>
    <w:rsid w:val="00EE0022"/>
    <w:rsid w:val="00EE0689"/>
    <w:rsid w:val="00EE0717"/>
    <w:rsid w:val="00EE2421"/>
    <w:rsid w:val="00EE2D3B"/>
    <w:rsid w:val="00EE2FC3"/>
    <w:rsid w:val="00EE3B30"/>
    <w:rsid w:val="00EE3BC6"/>
    <w:rsid w:val="00EE3E55"/>
    <w:rsid w:val="00EE4824"/>
    <w:rsid w:val="00EE4C70"/>
    <w:rsid w:val="00EE4D8E"/>
    <w:rsid w:val="00EE7545"/>
    <w:rsid w:val="00EE77BE"/>
    <w:rsid w:val="00EF116C"/>
    <w:rsid w:val="00EF1CA9"/>
    <w:rsid w:val="00EF2E4D"/>
    <w:rsid w:val="00EF30A9"/>
    <w:rsid w:val="00EF33D9"/>
    <w:rsid w:val="00EF3501"/>
    <w:rsid w:val="00EF3553"/>
    <w:rsid w:val="00EF4B4C"/>
    <w:rsid w:val="00EF4C63"/>
    <w:rsid w:val="00EF5529"/>
    <w:rsid w:val="00EF5B1C"/>
    <w:rsid w:val="00EF6512"/>
    <w:rsid w:val="00EF6EDB"/>
    <w:rsid w:val="00EF71E2"/>
    <w:rsid w:val="00F006A5"/>
    <w:rsid w:val="00F014E0"/>
    <w:rsid w:val="00F01F96"/>
    <w:rsid w:val="00F01FD3"/>
    <w:rsid w:val="00F020CA"/>
    <w:rsid w:val="00F0259F"/>
    <w:rsid w:val="00F0273F"/>
    <w:rsid w:val="00F029CC"/>
    <w:rsid w:val="00F02B7D"/>
    <w:rsid w:val="00F03257"/>
    <w:rsid w:val="00F04A29"/>
    <w:rsid w:val="00F053BE"/>
    <w:rsid w:val="00F054EE"/>
    <w:rsid w:val="00F06ACF"/>
    <w:rsid w:val="00F06F63"/>
    <w:rsid w:val="00F077BB"/>
    <w:rsid w:val="00F07944"/>
    <w:rsid w:val="00F10BA2"/>
    <w:rsid w:val="00F11A51"/>
    <w:rsid w:val="00F139D9"/>
    <w:rsid w:val="00F13E81"/>
    <w:rsid w:val="00F144C4"/>
    <w:rsid w:val="00F1574E"/>
    <w:rsid w:val="00F158A7"/>
    <w:rsid w:val="00F16524"/>
    <w:rsid w:val="00F165AE"/>
    <w:rsid w:val="00F165E4"/>
    <w:rsid w:val="00F16E12"/>
    <w:rsid w:val="00F16F02"/>
    <w:rsid w:val="00F1701A"/>
    <w:rsid w:val="00F2000F"/>
    <w:rsid w:val="00F20052"/>
    <w:rsid w:val="00F20C77"/>
    <w:rsid w:val="00F21203"/>
    <w:rsid w:val="00F21A27"/>
    <w:rsid w:val="00F23C35"/>
    <w:rsid w:val="00F24E43"/>
    <w:rsid w:val="00F254B9"/>
    <w:rsid w:val="00F25978"/>
    <w:rsid w:val="00F26D3D"/>
    <w:rsid w:val="00F271A5"/>
    <w:rsid w:val="00F27B79"/>
    <w:rsid w:val="00F27CB0"/>
    <w:rsid w:val="00F31BC9"/>
    <w:rsid w:val="00F31D40"/>
    <w:rsid w:val="00F320D4"/>
    <w:rsid w:val="00F32101"/>
    <w:rsid w:val="00F342D7"/>
    <w:rsid w:val="00F360C8"/>
    <w:rsid w:val="00F36C29"/>
    <w:rsid w:val="00F37618"/>
    <w:rsid w:val="00F40A3E"/>
    <w:rsid w:val="00F41223"/>
    <w:rsid w:val="00F42511"/>
    <w:rsid w:val="00F42E58"/>
    <w:rsid w:val="00F437E2"/>
    <w:rsid w:val="00F44842"/>
    <w:rsid w:val="00F454AE"/>
    <w:rsid w:val="00F45E41"/>
    <w:rsid w:val="00F45E6E"/>
    <w:rsid w:val="00F470BA"/>
    <w:rsid w:val="00F470BF"/>
    <w:rsid w:val="00F47B58"/>
    <w:rsid w:val="00F506B5"/>
    <w:rsid w:val="00F506C1"/>
    <w:rsid w:val="00F50A43"/>
    <w:rsid w:val="00F50B21"/>
    <w:rsid w:val="00F50B5C"/>
    <w:rsid w:val="00F50C5E"/>
    <w:rsid w:val="00F50EAD"/>
    <w:rsid w:val="00F519C2"/>
    <w:rsid w:val="00F528F0"/>
    <w:rsid w:val="00F548B1"/>
    <w:rsid w:val="00F551B9"/>
    <w:rsid w:val="00F55B81"/>
    <w:rsid w:val="00F57BA9"/>
    <w:rsid w:val="00F60045"/>
    <w:rsid w:val="00F604FB"/>
    <w:rsid w:val="00F608D4"/>
    <w:rsid w:val="00F609E2"/>
    <w:rsid w:val="00F60EF3"/>
    <w:rsid w:val="00F60F94"/>
    <w:rsid w:val="00F61044"/>
    <w:rsid w:val="00F62C2D"/>
    <w:rsid w:val="00F62F0A"/>
    <w:rsid w:val="00F6317E"/>
    <w:rsid w:val="00F64B43"/>
    <w:rsid w:val="00F64C35"/>
    <w:rsid w:val="00F64D30"/>
    <w:rsid w:val="00F6630E"/>
    <w:rsid w:val="00F7077C"/>
    <w:rsid w:val="00F717B5"/>
    <w:rsid w:val="00F71FDD"/>
    <w:rsid w:val="00F7235C"/>
    <w:rsid w:val="00F73B95"/>
    <w:rsid w:val="00F746CE"/>
    <w:rsid w:val="00F74741"/>
    <w:rsid w:val="00F748EC"/>
    <w:rsid w:val="00F74D67"/>
    <w:rsid w:val="00F75951"/>
    <w:rsid w:val="00F75DAE"/>
    <w:rsid w:val="00F76640"/>
    <w:rsid w:val="00F80340"/>
    <w:rsid w:val="00F8044B"/>
    <w:rsid w:val="00F80686"/>
    <w:rsid w:val="00F81712"/>
    <w:rsid w:val="00F819A8"/>
    <w:rsid w:val="00F81BD4"/>
    <w:rsid w:val="00F81DA9"/>
    <w:rsid w:val="00F838D9"/>
    <w:rsid w:val="00F85405"/>
    <w:rsid w:val="00F85517"/>
    <w:rsid w:val="00F85E84"/>
    <w:rsid w:val="00F86B9F"/>
    <w:rsid w:val="00F86D95"/>
    <w:rsid w:val="00F87857"/>
    <w:rsid w:val="00F87C3C"/>
    <w:rsid w:val="00F9294A"/>
    <w:rsid w:val="00F92C87"/>
    <w:rsid w:val="00F93D14"/>
    <w:rsid w:val="00F93E2B"/>
    <w:rsid w:val="00F93F21"/>
    <w:rsid w:val="00F94BEB"/>
    <w:rsid w:val="00F94F45"/>
    <w:rsid w:val="00F95573"/>
    <w:rsid w:val="00F95B3B"/>
    <w:rsid w:val="00F96444"/>
    <w:rsid w:val="00F975AE"/>
    <w:rsid w:val="00F979A3"/>
    <w:rsid w:val="00F97A83"/>
    <w:rsid w:val="00FA2005"/>
    <w:rsid w:val="00FA2215"/>
    <w:rsid w:val="00FA39DD"/>
    <w:rsid w:val="00FA39F3"/>
    <w:rsid w:val="00FA438A"/>
    <w:rsid w:val="00FA46BC"/>
    <w:rsid w:val="00FA5B5A"/>
    <w:rsid w:val="00FB0617"/>
    <w:rsid w:val="00FB1923"/>
    <w:rsid w:val="00FB1F18"/>
    <w:rsid w:val="00FB2718"/>
    <w:rsid w:val="00FB3E6F"/>
    <w:rsid w:val="00FB5059"/>
    <w:rsid w:val="00FB5810"/>
    <w:rsid w:val="00FB5E96"/>
    <w:rsid w:val="00FB65D3"/>
    <w:rsid w:val="00FB7906"/>
    <w:rsid w:val="00FC0316"/>
    <w:rsid w:val="00FC0984"/>
    <w:rsid w:val="00FC0AEA"/>
    <w:rsid w:val="00FC1177"/>
    <w:rsid w:val="00FC1217"/>
    <w:rsid w:val="00FC2A0A"/>
    <w:rsid w:val="00FC32C9"/>
    <w:rsid w:val="00FC3637"/>
    <w:rsid w:val="00FC3EF2"/>
    <w:rsid w:val="00FC4CDE"/>
    <w:rsid w:val="00FC4D9A"/>
    <w:rsid w:val="00FC55A9"/>
    <w:rsid w:val="00FD010C"/>
    <w:rsid w:val="00FD09B8"/>
    <w:rsid w:val="00FD0DF5"/>
    <w:rsid w:val="00FD170F"/>
    <w:rsid w:val="00FD2125"/>
    <w:rsid w:val="00FD2D20"/>
    <w:rsid w:val="00FD2EF6"/>
    <w:rsid w:val="00FD351C"/>
    <w:rsid w:val="00FD3B9B"/>
    <w:rsid w:val="00FD432A"/>
    <w:rsid w:val="00FD4C84"/>
    <w:rsid w:val="00FD59BD"/>
    <w:rsid w:val="00FD65C2"/>
    <w:rsid w:val="00FD6782"/>
    <w:rsid w:val="00FD6FA6"/>
    <w:rsid w:val="00FD7306"/>
    <w:rsid w:val="00FD7569"/>
    <w:rsid w:val="00FE0575"/>
    <w:rsid w:val="00FE0DE9"/>
    <w:rsid w:val="00FE1E74"/>
    <w:rsid w:val="00FE26F1"/>
    <w:rsid w:val="00FE2AFA"/>
    <w:rsid w:val="00FE3286"/>
    <w:rsid w:val="00FE52C8"/>
    <w:rsid w:val="00FE6B06"/>
    <w:rsid w:val="00FE6BF5"/>
    <w:rsid w:val="00FE7F25"/>
    <w:rsid w:val="00FE7FD8"/>
    <w:rsid w:val="00FF0280"/>
    <w:rsid w:val="00FF09E1"/>
    <w:rsid w:val="00FF1854"/>
    <w:rsid w:val="00FF1EC9"/>
    <w:rsid w:val="00FF343A"/>
    <w:rsid w:val="00FF36BD"/>
    <w:rsid w:val="00FF379B"/>
    <w:rsid w:val="00FF37F6"/>
    <w:rsid w:val="00FF391B"/>
    <w:rsid w:val="00FF3BA4"/>
    <w:rsid w:val="00FF438F"/>
    <w:rsid w:val="00FF4631"/>
    <w:rsid w:val="00FF48A2"/>
    <w:rsid w:val="00FF4A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131D5"/>
  <w15:docId w15:val="{57A06E19-0502-43F4-80AF-77F6E9CA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A527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A52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A52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A527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527F"/>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8A527F"/>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8A52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A527F"/>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EC615A"/>
    <w:pPr>
      <w:ind w:left="720"/>
      <w:contextualSpacing/>
    </w:pPr>
  </w:style>
  <w:style w:type="character" w:styleId="Hyperlink">
    <w:name w:val="Hyperlink"/>
    <w:basedOn w:val="DefaultParagraphFont"/>
    <w:uiPriority w:val="99"/>
    <w:unhideWhenUsed/>
    <w:rsid w:val="00F71FDD"/>
    <w:rPr>
      <w:color w:val="0000FF" w:themeColor="hyperlink"/>
      <w:u w:val="single"/>
    </w:rPr>
  </w:style>
  <w:style w:type="paragraph" w:styleId="BalloonText">
    <w:name w:val="Balloon Text"/>
    <w:basedOn w:val="Normal"/>
    <w:link w:val="BalloonTextChar"/>
    <w:uiPriority w:val="99"/>
    <w:semiHidden/>
    <w:unhideWhenUsed/>
    <w:rsid w:val="00125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591E"/>
    <w:rPr>
      <w:rFonts w:ascii="Tahoma" w:hAnsi="Tahoma" w:cs="Tahoma"/>
      <w:sz w:val="16"/>
      <w:szCs w:val="16"/>
    </w:rPr>
  </w:style>
  <w:style w:type="character" w:styleId="CommentReference">
    <w:name w:val="annotation reference"/>
    <w:basedOn w:val="DefaultParagraphFont"/>
    <w:uiPriority w:val="99"/>
    <w:semiHidden/>
    <w:unhideWhenUsed/>
    <w:rsid w:val="000D2A70"/>
    <w:rPr>
      <w:sz w:val="16"/>
      <w:szCs w:val="16"/>
    </w:rPr>
  </w:style>
  <w:style w:type="paragraph" w:styleId="CommentText">
    <w:name w:val="annotation text"/>
    <w:basedOn w:val="Normal"/>
    <w:link w:val="CommentTextChar"/>
    <w:uiPriority w:val="99"/>
    <w:unhideWhenUsed/>
    <w:rsid w:val="000D2A70"/>
    <w:pPr>
      <w:spacing w:line="240" w:lineRule="auto"/>
    </w:pPr>
    <w:rPr>
      <w:sz w:val="20"/>
      <w:szCs w:val="20"/>
    </w:rPr>
  </w:style>
  <w:style w:type="character" w:customStyle="1" w:styleId="CommentTextChar">
    <w:name w:val="Comment Text Char"/>
    <w:basedOn w:val="DefaultParagraphFont"/>
    <w:link w:val="CommentText"/>
    <w:uiPriority w:val="99"/>
    <w:rsid w:val="000D2A70"/>
    <w:rPr>
      <w:sz w:val="20"/>
      <w:szCs w:val="20"/>
    </w:rPr>
  </w:style>
  <w:style w:type="paragraph" w:styleId="CommentSubject">
    <w:name w:val="annotation subject"/>
    <w:basedOn w:val="CommentText"/>
    <w:next w:val="CommentText"/>
    <w:link w:val="CommentSubjectChar"/>
    <w:uiPriority w:val="99"/>
    <w:semiHidden/>
    <w:unhideWhenUsed/>
    <w:rsid w:val="000D2A70"/>
    <w:rPr>
      <w:b/>
      <w:bCs/>
    </w:rPr>
  </w:style>
  <w:style w:type="character" w:customStyle="1" w:styleId="CommentSubjectChar">
    <w:name w:val="Comment Subject Char"/>
    <w:basedOn w:val="CommentTextChar"/>
    <w:link w:val="CommentSubject"/>
    <w:uiPriority w:val="99"/>
    <w:semiHidden/>
    <w:rsid w:val="000D2A70"/>
    <w:rPr>
      <w:b/>
      <w:bCs/>
      <w:sz w:val="20"/>
      <w:szCs w:val="20"/>
    </w:rPr>
  </w:style>
  <w:style w:type="paragraph" w:styleId="Title">
    <w:name w:val="Title"/>
    <w:basedOn w:val="Normal"/>
    <w:next w:val="Normal"/>
    <w:link w:val="TitleChar"/>
    <w:uiPriority w:val="10"/>
    <w:qFormat/>
    <w:rsid w:val="008A527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A527F"/>
    <w:rPr>
      <w:rFonts w:asciiTheme="majorHAnsi" w:eastAsiaTheme="majorEastAsia" w:hAnsiTheme="majorHAnsi" w:cstheme="majorBidi"/>
      <w:color w:val="17365D" w:themeColor="text2" w:themeShade="BF"/>
      <w:spacing w:val="5"/>
      <w:kern w:val="28"/>
      <w:sz w:val="52"/>
      <w:szCs w:val="52"/>
      <w:lang w:val="en-US"/>
    </w:rPr>
  </w:style>
  <w:style w:type="paragraph" w:styleId="Header">
    <w:name w:val="header"/>
    <w:basedOn w:val="Normal"/>
    <w:link w:val="HeaderChar"/>
    <w:uiPriority w:val="99"/>
    <w:unhideWhenUsed/>
    <w:rsid w:val="00D64D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4DA0"/>
  </w:style>
  <w:style w:type="paragraph" w:styleId="Footer">
    <w:name w:val="footer"/>
    <w:basedOn w:val="Normal"/>
    <w:link w:val="FooterChar"/>
    <w:uiPriority w:val="99"/>
    <w:unhideWhenUsed/>
    <w:rsid w:val="00D64D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DA0"/>
  </w:style>
  <w:style w:type="table" w:styleId="TableGrid">
    <w:name w:val="Table Grid"/>
    <w:basedOn w:val="TableNormal"/>
    <w:uiPriority w:val="59"/>
    <w:rsid w:val="00022D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A7B1A"/>
    <w:rPr>
      <w:color w:val="808080"/>
    </w:rPr>
  </w:style>
  <w:style w:type="character" w:styleId="LineNumber">
    <w:name w:val="line number"/>
    <w:basedOn w:val="DefaultParagraphFont"/>
    <w:uiPriority w:val="99"/>
    <w:semiHidden/>
    <w:unhideWhenUsed/>
    <w:rsid w:val="00174B68"/>
  </w:style>
  <w:style w:type="paragraph" w:customStyle="1" w:styleId="Default">
    <w:name w:val="Default"/>
    <w:rsid w:val="009D4169"/>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2063F1"/>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2E0819"/>
    <w:rPr>
      <w:b/>
      <w:bCs/>
    </w:rPr>
  </w:style>
  <w:style w:type="paragraph" w:styleId="TOCHeading">
    <w:name w:val="TOC Heading"/>
    <w:basedOn w:val="Heading1"/>
    <w:next w:val="Normal"/>
    <w:uiPriority w:val="39"/>
    <w:semiHidden/>
    <w:unhideWhenUsed/>
    <w:qFormat/>
    <w:rsid w:val="000003A1"/>
    <w:pPr>
      <w:outlineLvl w:val="9"/>
    </w:pPr>
    <w:rPr>
      <w:lang w:eastAsia="ja-JP"/>
    </w:rPr>
  </w:style>
  <w:style w:type="paragraph" w:styleId="TOC1">
    <w:name w:val="toc 1"/>
    <w:basedOn w:val="Normal"/>
    <w:next w:val="Normal"/>
    <w:autoRedefine/>
    <w:uiPriority w:val="39"/>
    <w:unhideWhenUsed/>
    <w:rsid w:val="00905AC5"/>
    <w:pPr>
      <w:spacing w:after="100"/>
    </w:pPr>
  </w:style>
  <w:style w:type="paragraph" w:styleId="TOC2">
    <w:name w:val="toc 2"/>
    <w:basedOn w:val="Normal"/>
    <w:next w:val="Normal"/>
    <w:autoRedefine/>
    <w:uiPriority w:val="39"/>
    <w:unhideWhenUsed/>
    <w:rsid w:val="00905AC5"/>
    <w:pPr>
      <w:spacing w:after="100"/>
      <w:ind w:left="220"/>
    </w:pPr>
  </w:style>
  <w:style w:type="paragraph" w:styleId="TOC3">
    <w:name w:val="toc 3"/>
    <w:basedOn w:val="Normal"/>
    <w:next w:val="Normal"/>
    <w:autoRedefine/>
    <w:uiPriority w:val="39"/>
    <w:unhideWhenUsed/>
    <w:rsid w:val="00905AC5"/>
    <w:pPr>
      <w:spacing w:after="100"/>
      <w:ind w:left="440"/>
    </w:pPr>
  </w:style>
  <w:style w:type="character" w:styleId="FollowedHyperlink">
    <w:name w:val="FollowedHyperlink"/>
    <w:basedOn w:val="DefaultParagraphFont"/>
    <w:uiPriority w:val="99"/>
    <w:semiHidden/>
    <w:unhideWhenUsed/>
    <w:rsid w:val="002F33B1"/>
    <w:rPr>
      <w:color w:val="800080" w:themeColor="followedHyperlink"/>
      <w:u w:val="single"/>
    </w:rPr>
  </w:style>
  <w:style w:type="paragraph" w:customStyle="1" w:styleId="EndNoteBibliographyTitle">
    <w:name w:val="EndNote Bibliography Title"/>
    <w:basedOn w:val="Normal"/>
    <w:link w:val="EndNoteBibliographyTitleChar"/>
    <w:rsid w:val="00E14BE7"/>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E14BE7"/>
    <w:rPr>
      <w:rFonts w:ascii="Calibri" w:hAnsi="Calibri"/>
      <w:noProof/>
    </w:rPr>
  </w:style>
  <w:style w:type="paragraph" w:customStyle="1" w:styleId="EndNoteBibliography">
    <w:name w:val="EndNote Bibliography"/>
    <w:basedOn w:val="Normal"/>
    <w:link w:val="EndNoteBibliographyChar"/>
    <w:rsid w:val="00E14BE7"/>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E14BE7"/>
    <w:rPr>
      <w:rFonts w:ascii="Calibri" w:hAnsi="Calibri"/>
      <w:noProof/>
    </w:rPr>
  </w:style>
  <w:style w:type="paragraph" w:styleId="Revision">
    <w:name w:val="Revision"/>
    <w:hidden/>
    <w:uiPriority w:val="99"/>
    <w:semiHidden/>
    <w:rsid w:val="00C360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198915">
      <w:bodyDiv w:val="1"/>
      <w:marLeft w:val="0"/>
      <w:marRight w:val="0"/>
      <w:marTop w:val="0"/>
      <w:marBottom w:val="0"/>
      <w:divBdr>
        <w:top w:val="none" w:sz="0" w:space="0" w:color="auto"/>
        <w:left w:val="none" w:sz="0" w:space="0" w:color="auto"/>
        <w:bottom w:val="none" w:sz="0" w:space="0" w:color="auto"/>
        <w:right w:val="none" w:sz="0" w:space="0" w:color="auto"/>
      </w:divBdr>
    </w:div>
    <w:div w:id="281084240">
      <w:bodyDiv w:val="1"/>
      <w:marLeft w:val="0"/>
      <w:marRight w:val="0"/>
      <w:marTop w:val="0"/>
      <w:marBottom w:val="0"/>
      <w:divBdr>
        <w:top w:val="none" w:sz="0" w:space="0" w:color="auto"/>
        <w:left w:val="none" w:sz="0" w:space="0" w:color="auto"/>
        <w:bottom w:val="none" w:sz="0" w:space="0" w:color="auto"/>
        <w:right w:val="none" w:sz="0" w:space="0" w:color="auto"/>
      </w:divBdr>
    </w:div>
    <w:div w:id="503058717">
      <w:bodyDiv w:val="1"/>
      <w:marLeft w:val="0"/>
      <w:marRight w:val="0"/>
      <w:marTop w:val="0"/>
      <w:marBottom w:val="0"/>
      <w:divBdr>
        <w:top w:val="none" w:sz="0" w:space="0" w:color="auto"/>
        <w:left w:val="none" w:sz="0" w:space="0" w:color="auto"/>
        <w:bottom w:val="none" w:sz="0" w:space="0" w:color="auto"/>
        <w:right w:val="none" w:sz="0" w:space="0" w:color="auto"/>
      </w:divBdr>
    </w:div>
    <w:div w:id="876354728">
      <w:bodyDiv w:val="1"/>
      <w:marLeft w:val="0"/>
      <w:marRight w:val="0"/>
      <w:marTop w:val="0"/>
      <w:marBottom w:val="0"/>
      <w:divBdr>
        <w:top w:val="none" w:sz="0" w:space="0" w:color="auto"/>
        <w:left w:val="none" w:sz="0" w:space="0" w:color="auto"/>
        <w:bottom w:val="none" w:sz="0" w:space="0" w:color="auto"/>
        <w:right w:val="none" w:sz="0" w:space="0" w:color="auto"/>
      </w:divBdr>
    </w:div>
    <w:div w:id="931014517">
      <w:bodyDiv w:val="1"/>
      <w:marLeft w:val="0"/>
      <w:marRight w:val="0"/>
      <w:marTop w:val="0"/>
      <w:marBottom w:val="0"/>
      <w:divBdr>
        <w:top w:val="none" w:sz="0" w:space="0" w:color="auto"/>
        <w:left w:val="none" w:sz="0" w:space="0" w:color="auto"/>
        <w:bottom w:val="none" w:sz="0" w:space="0" w:color="auto"/>
        <w:right w:val="none" w:sz="0" w:space="0" w:color="auto"/>
      </w:divBdr>
    </w:div>
    <w:div w:id="965354339">
      <w:bodyDiv w:val="1"/>
      <w:marLeft w:val="0"/>
      <w:marRight w:val="0"/>
      <w:marTop w:val="0"/>
      <w:marBottom w:val="0"/>
      <w:divBdr>
        <w:top w:val="none" w:sz="0" w:space="0" w:color="auto"/>
        <w:left w:val="none" w:sz="0" w:space="0" w:color="auto"/>
        <w:bottom w:val="none" w:sz="0" w:space="0" w:color="auto"/>
        <w:right w:val="none" w:sz="0" w:space="0" w:color="auto"/>
      </w:divBdr>
    </w:div>
    <w:div w:id="1133255649">
      <w:bodyDiv w:val="1"/>
      <w:marLeft w:val="0"/>
      <w:marRight w:val="0"/>
      <w:marTop w:val="0"/>
      <w:marBottom w:val="0"/>
      <w:divBdr>
        <w:top w:val="none" w:sz="0" w:space="0" w:color="auto"/>
        <w:left w:val="none" w:sz="0" w:space="0" w:color="auto"/>
        <w:bottom w:val="none" w:sz="0" w:space="0" w:color="auto"/>
        <w:right w:val="none" w:sz="0" w:space="0" w:color="auto"/>
      </w:divBdr>
    </w:div>
    <w:div w:id="1165052507">
      <w:bodyDiv w:val="1"/>
      <w:marLeft w:val="0"/>
      <w:marRight w:val="0"/>
      <w:marTop w:val="0"/>
      <w:marBottom w:val="0"/>
      <w:divBdr>
        <w:top w:val="none" w:sz="0" w:space="0" w:color="auto"/>
        <w:left w:val="none" w:sz="0" w:space="0" w:color="auto"/>
        <w:bottom w:val="none" w:sz="0" w:space="0" w:color="auto"/>
        <w:right w:val="none" w:sz="0" w:space="0" w:color="auto"/>
      </w:divBdr>
    </w:div>
    <w:div w:id="1337687518">
      <w:bodyDiv w:val="1"/>
      <w:marLeft w:val="0"/>
      <w:marRight w:val="0"/>
      <w:marTop w:val="0"/>
      <w:marBottom w:val="0"/>
      <w:divBdr>
        <w:top w:val="none" w:sz="0" w:space="0" w:color="auto"/>
        <w:left w:val="none" w:sz="0" w:space="0" w:color="auto"/>
        <w:bottom w:val="none" w:sz="0" w:space="0" w:color="auto"/>
        <w:right w:val="none" w:sz="0" w:space="0" w:color="auto"/>
      </w:divBdr>
    </w:div>
    <w:div w:id="1402144389">
      <w:bodyDiv w:val="1"/>
      <w:marLeft w:val="0"/>
      <w:marRight w:val="0"/>
      <w:marTop w:val="0"/>
      <w:marBottom w:val="0"/>
      <w:divBdr>
        <w:top w:val="none" w:sz="0" w:space="0" w:color="auto"/>
        <w:left w:val="none" w:sz="0" w:space="0" w:color="auto"/>
        <w:bottom w:val="none" w:sz="0" w:space="0" w:color="auto"/>
        <w:right w:val="none" w:sz="0" w:space="0" w:color="auto"/>
      </w:divBdr>
    </w:div>
    <w:div w:id="1885363170">
      <w:bodyDiv w:val="1"/>
      <w:marLeft w:val="0"/>
      <w:marRight w:val="0"/>
      <w:marTop w:val="0"/>
      <w:marBottom w:val="0"/>
      <w:divBdr>
        <w:top w:val="none" w:sz="0" w:space="0" w:color="auto"/>
        <w:left w:val="none" w:sz="0" w:space="0" w:color="auto"/>
        <w:bottom w:val="none" w:sz="0" w:space="0" w:color="auto"/>
        <w:right w:val="none" w:sz="0" w:space="0" w:color="auto"/>
      </w:divBdr>
    </w:div>
    <w:div w:id="1921786866">
      <w:bodyDiv w:val="1"/>
      <w:marLeft w:val="0"/>
      <w:marRight w:val="0"/>
      <w:marTop w:val="0"/>
      <w:marBottom w:val="0"/>
      <w:divBdr>
        <w:top w:val="none" w:sz="0" w:space="0" w:color="auto"/>
        <w:left w:val="none" w:sz="0" w:space="0" w:color="auto"/>
        <w:bottom w:val="none" w:sz="0" w:space="0" w:color="auto"/>
        <w:right w:val="none" w:sz="0" w:space="0" w:color="auto"/>
      </w:divBdr>
    </w:div>
    <w:div w:id="204120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mpdb.ca"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86FF48-A924-436C-BC1F-6AF779D96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3537</Words>
  <Characters>20165</Characters>
  <Application>Microsoft Office Word</Application>
  <DocSecurity>0</DocSecurity>
  <Lines>168</Lines>
  <Paragraphs>47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Radboud University</Company>
  <LinksUpToDate>false</LinksUpToDate>
  <CharactersWithSpaces>23655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Oldenkamp</dc:creator>
  <cp:lastModifiedBy>Jenna Mitchell</cp:lastModifiedBy>
  <cp:revision>2</cp:revision>
  <cp:lastPrinted>2015-03-21T23:22:00Z</cp:lastPrinted>
  <dcterms:created xsi:type="dcterms:W3CDTF">2015-10-27T11:25:00Z</dcterms:created>
  <dcterms:modified xsi:type="dcterms:W3CDTF">2015-10-27T11:25:00Z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1930518531</vt:i4>
  </property>
</Properties>
</file>