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0B" w:rsidRPr="00C10C9B" w:rsidRDefault="000A1F0B" w:rsidP="000A1F0B">
      <w:pPr>
        <w:pStyle w:val="Title"/>
      </w:pPr>
      <w:r w:rsidRPr="00C10C9B">
        <w:rPr>
          <w:sz w:val="56"/>
        </w:rPr>
        <w:t>Instructions: ARS-Media for Excel</w:t>
      </w:r>
    </w:p>
    <w:p w:rsidR="000A1F0B" w:rsidRPr="00E22E4E" w:rsidRDefault="000A1F0B">
      <w:pPr>
        <w:rPr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17"/>
          <w:szCs w:val="17"/>
          <w:lang w:eastAsia="ja-JP"/>
        </w:rPr>
        <w:id w:val="14029524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A1F0B" w:rsidRDefault="000A1F0B" w:rsidP="0011027D">
          <w:pPr>
            <w:pStyle w:val="TOCHeading"/>
            <w:spacing w:after="240"/>
          </w:pPr>
          <w:r>
            <w:t>Contents</w:t>
          </w:r>
        </w:p>
        <w:p w:rsidR="00C9251D" w:rsidRDefault="000A1F0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713166" w:history="1">
            <w:r w:rsidR="00C9251D" w:rsidRPr="00AA2FCA">
              <w:rPr>
                <w:rStyle w:val="Hyperlink"/>
                <w:noProof/>
              </w:rPr>
              <w:t>What ARS-Media for Excel does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_Toc419713166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2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C9251D" w:rsidRDefault="00905F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hyperlink w:anchor="_Toc419713167" w:history="1">
            <w:r w:rsidR="00C9251D" w:rsidRPr="00AA2FCA">
              <w:rPr>
                <w:rStyle w:val="Hyperlink"/>
                <w:noProof/>
              </w:rPr>
              <w:t>How to start (based on Excel 2013)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_Toc419713167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2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C9251D" w:rsidRDefault="00905F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hyperlink w:anchor="_Toc419713168" w:history="1">
            <w:r w:rsidR="00C9251D" w:rsidRPr="00AA2FCA">
              <w:rPr>
                <w:rStyle w:val="Hyperlink"/>
                <w:noProof/>
              </w:rPr>
              <w:t>An Infeasible Solution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_Toc419713168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9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C9251D" w:rsidRDefault="00905F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hyperlink w:anchor="_Toc419713169" w:history="1">
            <w:r w:rsidR="00C9251D" w:rsidRPr="00AA2FCA">
              <w:rPr>
                <w:rStyle w:val="Hyperlink"/>
                <w:noProof/>
              </w:rPr>
              <w:t>An Undesirable Solution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_Toc419713169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11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C9251D" w:rsidRDefault="00905F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hyperlink w:anchor="_Toc419713170" w:history="1">
            <w:r w:rsidR="00C9251D" w:rsidRPr="00AA2FCA">
              <w:rPr>
                <w:rStyle w:val="Hyperlink"/>
                <w:noProof/>
              </w:rPr>
              <w:t>Forced Selection or Omission of Specific Salts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_Toc419713170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15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C9251D" w:rsidRDefault="00905F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eastAsia="en-US"/>
            </w:rPr>
          </w:pPr>
          <w:hyperlink w:anchor="_Toc419713171" w:history="1">
            <w:r w:rsidR="00C9251D" w:rsidRPr="00AA2FCA">
              <w:rPr>
                <w:rStyle w:val="Hyperlink"/>
                <w:noProof/>
              </w:rPr>
              <w:t>Further Questions</w:t>
            </w:r>
            <w:r w:rsidR="00C9251D">
              <w:rPr>
                <w:noProof/>
                <w:webHidden/>
              </w:rPr>
              <w:tab/>
            </w:r>
            <w:r w:rsidR="00C9251D">
              <w:rPr>
                <w:noProof/>
                <w:webHidden/>
              </w:rPr>
              <w:fldChar w:fldCharType="begin"/>
            </w:r>
            <w:r w:rsidR="00C9251D">
              <w:rPr>
                <w:noProof/>
                <w:webHidden/>
              </w:rPr>
              <w:instrText xml:space="preserve"> PAGEREF _Toc419713171 \h </w:instrText>
            </w:r>
            <w:r w:rsidR="00C9251D">
              <w:rPr>
                <w:noProof/>
                <w:webHidden/>
              </w:rPr>
            </w:r>
            <w:r w:rsidR="00C9251D">
              <w:rPr>
                <w:noProof/>
                <w:webHidden/>
              </w:rPr>
              <w:fldChar w:fldCharType="separate"/>
            </w:r>
            <w:r w:rsidR="00124234">
              <w:rPr>
                <w:noProof/>
                <w:webHidden/>
              </w:rPr>
              <w:t>17</w:t>
            </w:r>
            <w:r w:rsidR="00C9251D">
              <w:rPr>
                <w:noProof/>
                <w:webHidden/>
              </w:rPr>
              <w:fldChar w:fldCharType="end"/>
            </w:r>
          </w:hyperlink>
        </w:p>
        <w:p w:rsidR="000A1F0B" w:rsidRDefault="000A1F0B">
          <w:r>
            <w:rPr>
              <w:b/>
              <w:bCs/>
              <w:noProof/>
            </w:rPr>
            <w:fldChar w:fldCharType="end"/>
          </w:r>
        </w:p>
      </w:sdtContent>
    </w:sdt>
    <w:p w:rsidR="000A1F0B" w:rsidRDefault="000A1F0B">
      <w:pPr>
        <w:rPr>
          <w:sz w:val="56"/>
        </w:rPr>
      </w:pPr>
    </w:p>
    <w:p w:rsidR="000A1F0B" w:rsidRDefault="000A1F0B">
      <w:pPr>
        <w:rPr>
          <w:sz w:val="56"/>
        </w:rPr>
      </w:pPr>
    </w:p>
    <w:p w:rsidR="000A1F0B" w:rsidRDefault="000A1F0B">
      <w:pPr>
        <w:rPr>
          <w:sz w:val="56"/>
        </w:rPr>
      </w:pPr>
    </w:p>
    <w:p w:rsidR="000A1F0B" w:rsidRDefault="000A1F0B">
      <w:pPr>
        <w:rPr>
          <w:rFonts w:asciiTheme="majorHAnsi" w:eastAsiaTheme="majorEastAsia" w:hAnsiTheme="majorHAnsi" w:cstheme="majorBidi"/>
          <w:color w:val="B01513" w:themeColor="accent1"/>
          <w:kern w:val="28"/>
          <w:sz w:val="56"/>
          <w:szCs w:val="72"/>
        </w:rPr>
      </w:pPr>
    </w:p>
    <w:p w:rsidR="002C563F" w:rsidRDefault="002C563F">
      <w:pPr>
        <w:rPr>
          <w:rFonts w:asciiTheme="majorHAnsi" w:eastAsiaTheme="majorEastAsia" w:hAnsiTheme="majorHAnsi" w:cstheme="majorBidi"/>
          <w:color w:val="B01513" w:themeColor="accent1"/>
          <w:kern w:val="28"/>
          <w:sz w:val="56"/>
          <w:szCs w:val="72"/>
        </w:rPr>
      </w:pPr>
      <w:r>
        <w:rPr>
          <w:sz w:val="56"/>
        </w:rPr>
        <w:br w:type="page"/>
      </w:r>
    </w:p>
    <w:p w:rsidR="005A5A56" w:rsidRDefault="00C10C9B" w:rsidP="00950A19">
      <w:pPr>
        <w:pStyle w:val="Heading1"/>
        <w:spacing w:before="100" w:beforeAutospacing="1" w:after="100" w:afterAutospacing="1"/>
      </w:pPr>
      <w:bookmarkStart w:id="0" w:name="_Toc419713166"/>
      <w:r>
        <w:lastRenderedPageBreak/>
        <w:t xml:space="preserve">What </w:t>
      </w:r>
      <w:r w:rsidR="00C9251D">
        <w:t xml:space="preserve">ARS-Media for Excel </w:t>
      </w:r>
      <w:r>
        <w:t>does</w:t>
      </w:r>
      <w:bookmarkEnd w:id="0"/>
    </w:p>
    <w:p w:rsidR="005A5A56" w:rsidRPr="00271EE4" w:rsidRDefault="00271EE4" w:rsidP="00950A19">
      <w:pPr>
        <w:spacing w:before="100" w:beforeAutospacing="1" w:after="100" w:afterAutospacing="1" w:line="240" w:lineRule="auto"/>
        <w:rPr>
          <w:sz w:val="20"/>
        </w:rPr>
      </w:pPr>
      <w:r w:rsidRPr="00271EE4">
        <w:rPr>
          <w:sz w:val="20"/>
        </w:rPr>
        <w:t>ARS-</w:t>
      </w:r>
      <w:r>
        <w:rPr>
          <w:sz w:val="20"/>
        </w:rPr>
        <w:t>Media for Excel cal</w:t>
      </w:r>
      <w:r w:rsidR="00E53FD6">
        <w:rPr>
          <w:sz w:val="20"/>
        </w:rPr>
        <w:t>culates</w:t>
      </w:r>
      <w:r w:rsidR="005524F9">
        <w:rPr>
          <w:sz w:val="20"/>
        </w:rPr>
        <w:t xml:space="preserve"> </w:t>
      </w:r>
      <w:r w:rsidR="00E53FD6">
        <w:rPr>
          <w:sz w:val="20"/>
        </w:rPr>
        <w:t xml:space="preserve">the </w:t>
      </w:r>
      <w:r w:rsidR="00CF0B98">
        <w:rPr>
          <w:sz w:val="20"/>
        </w:rPr>
        <w:t>salts</w:t>
      </w:r>
      <w:r w:rsidR="00BB139F">
        <w:rPr>
          <w:sz w:val="20"/>
        </w:rPr>
        <w:t>/</w:t>
      </w:r>
      <w:r w:rsidR="00CF0B98">
        <w:rPr>
          <w:sz w:val="20"/>
        </w:rPr>
        <w:t>acids</w:t>
      </w:r>
      <w:r w:rsidR="00BB139F">
        <w:rPr>
          <w:sz w:val="20"/>
        </w:rPr>
        <w:t>/</w:t>
      </w:r>
      <w:r w:rsidR="008658CF">
        <w:rPr>
          <w:sz w:val="20"/>
        </w:rPr>
        <w:t>bases</w:t>
      </w:r>
      <w:r w:rsidR="00BB139F">
        <w:rPr>
          <w:sz w:val="20"/>
        </w:rPr>
        <w:t xml:space="preserve"> (herein referred to as “salts”)</w:t>
      </w:r>
      <w:r w:rsidR="008658CF">
        <w:rPr>
          <w:sz w:val="20"/>
        </w:rPr>
        <w:t xml:space="preserve"> that results in a </w:t>
      </w:r>
      <w:r w:rsidR="00E53FD6">
        <w:rPr>
          <w:sz w:val="20"/>
        </w:rPr>
        <w:t xml:space="preserve">recipe </w:t>
      </w:r>
      <w:r w:rsidR="008658CF">
        <w:rPr>
          <w:sz w:val="20"/>
        </w:rPr>
        <w:t xml:space="preserve">to </w:t>
      </w:r>
      <w:r w:rsidR="00E53FD6">
        <w:rPr>
          <w:sz w:val="20"/>
        </w:rPr>
        <w:t xml:space="preserve">achieve </w:t>
      </w:r>
      <w:r w:rsidR="008658CF">
        <w:rPr>
          <w:sz w:val="20"/>
        </w:rPr>
        <w:t xml:space="preserve">a solution with </w:t>
      </w:r>
      <w:r w:rsidR="00E53FD6">
        <w:rPr>
          <w:sz w:val="20"/>
        </w:rPr>
        <w:t xml:space="preserve">the specified ion concentrations.  </w:t>
      </w:r>
      <w:r w:rsidR="005524F9">
        <w:rPr>
          <w:sz w:val="20"/>
        </w:rPr>
        <w:t>T</w:t>
      </w:r>
      <w:r w:rsidR="00E53FD6">
        <w:rPr>
          <w:sz w:val="20"/>
        </w:rPr>
        <w:t>h</w:t>
      </w:r>
      <w:r w:rsidR="0007581C">
        <w:rPr>
          <w:sz w:val="20"/>
        </w:rPr>
        <w:t>e c</w:t>
      </w:r>
      <w:r w:rsidR="008658CF">
        <w:rPr>
          <w:sz w:val="20"/>
        </w:rPr>
        <w:t xml:space="preserve">alculation </w:t>
      </w:r>
      <w:r w:rsidR="0007581C">
        <w:rPr>
          <w:sz w:val="20"/>
        </w:rPr>
        <w:t xml:space="preserve">uses </w:t>
      </w:r>
      <w:r w:rsidR="005524F9">
        <w:rPr>
          <w:sz w:val="20"/>
        </w:rPr>
        <w:t xml:space="preserve">Excel’s </w:t>
      </w:r>
      <w:r w:rsidR="00CD3CC9">
        <w:rPr>
          <w:sz w:val="20"/>
        </w:rPr>
        <w:t>“Solver A</w:t>
      </w:r>
      <w:r w:rsidR="005524F9">
        <w:rPr>
          <w:sz w:val="20"/>
        </w:rPr>
        <w:t>dd-in</w:t>
      </w:r>
      <w:r w:rsidR="00CD3CC9">
        <w:rPr>
          <w:sz w:val="20"/>
        </w:rPr>
        <w:t>”</w:t>
      </w:r>
      <w:r w:rsidR="00233905" w:rsidRPr="00271EE4">
        <w:rPr>
          <w:sz w:val="20"/>
        </w:rPr>
        <w:t>.</w:t>
      </w:r>
    </w:p>
    <w:p w:rsidR="00950A19" w:rsidRDefault="00A517C6" w:rsidP="00950A19">
      <w:pPr>
        <w:pStyle w:val="Heading1"/>
        <w:spacing w:before="100" w:beforeAutospacing="1" w:after="100" w:afterAutospacing="1"/>
      </w:pPr>
      <w:bookmarkStart w:id="1" w:name="_Toc419713167"/>
      <w:r>
        <w:t>How to start</w:t>
      </w:r>
      <w:r w:rsidR="00F0496F">
        <w:t xml:space="preserve"> </w:t>
      </w:r>
      <w:r w:rsidR="00F0496F" w:rsidRPr="00F0496F">
        <w:rPr>
          <w:sz w:val="22"/>
        </w:rPr>
        <w:t>(based on Excel 2013)</w:t>
      </w:r>
      <w:bookmarkEnd w:id="1"/>
    </w:p>
    <w:p w:rsidR="00950A19" w:rsidRDefault="00A517C6" w:rsidP="004733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sz w:val="20"/>
        </w:rPr>
      </w:pPr>
      <w:r w:rsidRPr="00C11907">
        <w:rPr>
          <w:b/>
          <w:sz w:val="20"/>
        </w:rPr>
        <w:t>Add the Solver Add-in to Excel.</w:t>
      </w:r>
      <w:r w:rsidR="00F254F4">
        <w:rPr>
          <w:sz w:val="20"/>
        </w:rPr>
        <w:t xml:space="preserve">  Here are the directions from Microsoft</w:t>
      </w:r>
      <w:r w:rsidR="00A0235F">
        <w:rPr>
          <w:sz w:val="20"/>
        </w:rPr>
        <w:t xml:space="preserve"> Office Support</w:t>
      </w:r>
      <w:r w:rsidR="00F254F4">
        <w:rPr>
          <w:sz w:val="20"/>
        </w:rPr>
        <w:t xml:space="preserve"> –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254F4" w:rsidRPr="00B4072C" w:rsidTr="00A0235F">
        <w:tc>
          <w:tcPr>
            <w:tcW w:w="93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778AE" w:rsidRPr="00B4072C" w:rsidRDefault="007778AE" w:rsidP="007778AE">
            <w:pPr>
              <w:pStyle w:val="NormalWeb"/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The Solver add-in is a Microsoft Excel add-in program that is available when you install Microsoft Office or Excel. To use it in Excel, however, you need to load it first.</w:t>
            </w:r>
          </w:p>
          <w:p w:rsidR="007778AE" w:rsidRPr="00B4072C" w:rsidRDefault="007778AE" w:rsidP="007778A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Click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File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tab, and then click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Options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.</w:t>
            </w:r>
          </w:p>
          <w:p w:rsidR="007778AE" w:rsidRPr="00B4072C" w:rsidRDefault="007778AE" w:rsidP="007778A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Click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Add-Ins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, and then in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Manage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box, select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Excel Add-ins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.</w:t>
            </w:r>
          </w:p>
          <w:p w:rsidR="007778AE" w:rsidRPr="00B4072C" w:rsidRDefault="007778AE" w:rsidP="007778A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Click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Go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.</w:t>
            </w:r>
          </w:p>
          <w:p w:rsidR="007778AE" w:rsidRPr="00B4072C" w:rsidRDefault="007778AE" w:rsidP="007778A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In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Add-Ins available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box, select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Solver Add-in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check box, and then click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OK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.</w:t>
            </w:r>
          </w:p>
          <w:p w:rsidR="007778AE" w:rsidRPr="00B4072C" w:rsidRDefault="007778AE" w:rsidP="007778AE">
            <w:pPr>
              <w:pStyle w:val="NormalWeb"/>
              <w:numPr>
                <w:ilvl w:val="1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If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Solver Add-in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is not listed in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Add-Ins available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box, click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Browse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to locate the add-in.</w:t>
            </w:r>
          </w:p>
          <w:p w:rsidR="007778AE" w:rsidRPr="00B4072C" w:rsidRDefault="007778AE" w:rsidP="007778AE">
            <w:pPr>
              <w:pStyle w:val="NormalWeb"/>
              <w:numPr>
                <w:ilvl w:val="1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If you get prompted that the Solver add-in is not currently installed on your computer, click </w:t>
            </w:r>
            <w:proofErr w:type="gramStart"/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Yes</w:t>
            </w:r>
            <w:proofErr w:type="gramEnd"/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to install it.</w:t>
            </w:r>
          </w:p>
          <w:p w:rsidR="00F254F4" w:rsidRPr="00B4072C" w:rsidRDefault="007778AE" w:rsidP="007778A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After you load the Solver add-in,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Solver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command is available in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Analysis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group on the </w:t>
            </w:r>
            <w:r w:rsidRPr="00B4072C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Data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tab.</w:t>
            </w:r>
          </w:p>
        </w:tc>
      </w:tr>
    </w:tbl>
    <w:p w:rsidR="00473331" w:rsidRDefault="00473331" w:rsidP="00473331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473331" w:rsidRDefault="00473331">
      <w:pPr>
        <w:rPr>
          <w:rFonts w:eastAsia="Times New Roman" w:cs="Segoe UI"/>
          <w:b/>
          <w:color w:val="363636"/>
          <w:sz w:val="20"/>
          <w:szCs w:val="21"/>
          <w:lang w:eastAsia="en-US"/>
        </w:rPr>
      </w:pPr>
      <w:r>
        <w:rPr>
          <w:rFonts w:cs="Segoe UI"/>
          <w:b/>
          <w:color w:val="363636"/>
          <w:sz w:val="20"/>
          <w:szCs w:val="21"/>
        </w:rPr>
        <w:br w:type="page"/>
      </w:r>
    </w:p>
    <w:p w:rsidR="006E62F2" w:rsidRPr="00B4072C" w:rsidRDefault="004F589E" w:rsidP="00473331">
      <w:pPr>
        <w:pStyle w:val="NormalWeb"/>
        <w:numPr>
          <w:ilvl w:val="0"/>
          <w:numId w:val="3"/>
        </w:numPr>
        <w:shd w:val="clear" w:color="auto" w:fill="FFFFFF"/>
        <w:spacing w:line="309" w:lineRule="atLeast"/>
        <w:ind w:left="360"/>
        <w:rPr>
          <w:rFonts w:asciiTheme="minorHAnsi" w:hAnsiTheme="minorHAnsi" w:cs="Segoe UI"/>
          <w:color w:val="363636"/>
          <w:sz w:val="20"/>
          <w:szCs w:val="21"/>
        </w:rPr>
      </w:pPr>
      <w:r w:rsidRPr="00B4072C"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>Specify ion levels.</w:t>
      </w:r>
      <w:r w:rsidR="00C36877" w:rsidRPr="00B4072C">
        <w:rPr>
          <w:rFonts w:asciiTheme="minorHAnsi" w:hAnsiTheme="minorHAnsi" w:cs="Segoe UI"/>
          <w:color w:val="363636"/>
          <w:sz w:val="20"/>
          <w:szCs w:val="21"/>
        </w:rPr>
        <w:t xml:space="preserve">  Under “Target value, </w:t>
      </w:r>
      <w:proofErr w:type="spellStart"/>
      <w:r w:rsidR="00C36877" w:rsidRPr="00B4072C">
        <w:rPr>
          <w:rFonts w:asciiTheme="minorHAnsi" w:hAnsiTheme="minorHAnsi" w:cs="Segoe UI"/>
          <w:color w:val="363636"/>
          <w:sz w:val="20"/>
          <w:szCs w:val="21"/>
        </w:rPr>
        <w:t>mM</w:t>
      </w:r>
      <w:proofErr w:type="spellEnd"/>
      <w:r w:rsidR="00C36877" w:rsidRPr="00B4072C">
        <w:rPr>
          <w:rFonts w:asciiTheme="minorHAnsi" w:hAnsiTheme="minorHAnsi" w:cs="Segoe UI"/>
          <w:color w:val="363636"/>
          <w:sz w:val="20"/>
          <w:szCs w:val="21"/>
        </w:rPr>
        <w:t xml:space="preserve">” enter the </w:t>
      </w:r>
      <w:proofErr w:type="spellStart"/>
      <w:r w:rsidR="006E62F2" w:rsidRPr="00B4072C">
        <w:rPr>
          <w:rFonts w:asciiTheme="minorHAnsi" w:hAnsiTheme="minorHAnsi" w:cs="Segoe UI"/>
          <w:color w:val="363636"/>
          <w:sz w:val="20"/>
          <w:szCs w:val="21"/>
        </w:rPr>
        <w:t>mM</w:t>
      </w:r>
      <w:proofErr w:type="spellEnd"/>
      <w:r w:rsidR="006E62F2" w:rsidRPr="00B4072C">
        <w:rPr>
          <w:rFonts w:asciiTheme="minorHAnsi" w:hAnsiTheme="minorHAnsi" w:cs="Segoe UI"/>
          <w:color w:val="363636"/>
          <w:sz w:val="20"/>
          <w:szCs w:val="21"/>
        </w:rPr>
        <w:t xml:space="preserve"> levels of all ions required to be in the solution</w:t>
      </w:r>
      <w:r w:rsidR="00FA4114" w:rsidRPr="00B4072C">
        <w:rPr>
          <w:rFonts w:asciiTheme="minorHAnsi" w:hAnsiTheme="minorHAnsi" w:cs="Segoe UI"/>
          <w:color w:val="363636"/>
          <w:sz w:val="20"/>
          <w:szCs w:val="21"/>
        </w:rPr>
        <w:t xml:space="preserve"> (Figure 1)</w:t>
      </w:r>
      <w:r w:rsidR="006E62F2" w:rsidRPr="00B4072C">
        <w:rPr>
          <w:rFonts w:asciiTheme="minorHAnsi" w:hAnsiTheme="minorHAnsi" w:cs="Segoe UI"/>
          <w:color w:val="363636"/>
          <w:sz w:val="20"/>
          <w:szCs w:val="21"/>
        </w:rPr>
        <w:t>.</w:t>
      </w:r>
    </w:p>
    <w:p w:rsidR="00592F86" w:rsidRPr="00B4072C" w:rsidRDefault="00592F86" w:rsidP="00FA4114">
      <w:pPr>
        <w:jc w:val="center"/>
        <w:rPr>
          <w:rFonts w:eastAsia="Times New Roman" w:cs="Segoe UI"/>
          <w:b/>
          <w:color w:val="363636"/>
          <w:sz w:val="20"/>
          <w:szCs w:val="21"/>
          <w:lang w:eastAsia="en-US"/>
        </w:rPr>
      </w:pPr>
      <w:r w:rsidRPr="00B4072C">
        <w:rPr>
          <w:rFonts w:cs="Segoe UI"/>
          <w:b/>
          <w:color w:val="363636"/>
          <w:sz w:val="20"/>
          <w:szCs w:val="21"/>
        </w:rPr>
        <w:t xml:space="preserve">Figure 1.  </w:t>
      </w:r>
      <w:r w:rsidRPr="00B4072C">
        <w:rPr>
          <w:rFonts w:cs="Segoe UI"/>
          <w:color w:val="363636"/>
          <w:sz w:val="20"/>
          <w:szCs w:val="21"/>
        </w:rPr>
        <w:t>Ion level</w:t>
      </w:r>
      <w:r w:rsidR="006851F3" w:rsidRPr="00B4072C">
        <w:rPr>
          <w:rFonts w:cs="Segoe UI"/>
          <w:color w:val="363636"/>
          <w:sz w:val="20"/>
          <w:szCs w:val="21"/>
        </w:rPr>
        <w:t xml:space="preserve"> entry.  Ion </w:t>
      </w:r>
      <w:proofErr w:type="spellStart"/>
      <w:r w:rsidR="006851F3" w:rsidRPr="00B4072C">
        <w:rPr>
          <w:rFonts w:cs="Segoe UI"/>
          <w:color w:val="363636"/>
          <w:sz w:val="20"/>
          <w:szCs w:val="21"/>
        </w:rPr>
        <w:t>mM</w:t>
      </w:r>
      <w:proofErr w:type="spellEnd"/>
      <w:r w:rsidR="006851F3" w:rsidRPr="00B4072C">
        <w:rPr>
          <w:rFonts w:cs="Segoe UI"/>
          <w:color w:val="363636"/>
          <w:sz w:val="20"/>
          <w:szCs w:val="21"/>
        </w:rPr>
        <w:t xml:space="preserve"> levels </w:t>
      </w:r>
      <w:r w:rsidRPr="00B4072C">
        <w:rPr>
          <w:rFonts w:cs="Segoe UI"/>
          <w:color w:val="363636"/>
          <w:sz w:val="20"/>
          <w:szCs w:val="21"/>
        </w:rPr>
        <w:t>are entered under “Target value”</w:t>
      </w:r>
      <w:r w:rsidR="006851F3" w:rsidRPr="00B4072C">
        <w:rPr>
          <w:rFonts w:cs="Segoe UI"/>
          <w:color w:val="363636"/>
          <w:sz w:val="20"/>
          <w:szCs w:val="21"/>
        </w:rPr>
        <w:t>.</w:t>
      </w:r>
    </w:p>
    <w:tbl>
      <w:tblPr>
        <w:tblW w:w="4560" w:type="dxa"/>
        <w:jc w:val="center"/>
        <w:tblLook w:val="04A0" w:firstRow="1" w:lastRow="0" w:firstColumn="1" w:lastColumn="0" w:noHBand="0" w:noVBand="1"/>
      </w:tblPr>
      <w:tblGrid>
        <w:gridCol w:w="337"/>
        <w:gridCol w:w="440"/>
        <w:gridCol w:w="1196"/>
        <w:gridCol w:w="1537"/>
        <w:gridCol w:w="1050"/>
      </w:tblGrid>
      <w:tr w:rsidR="006E62F2" w:rsidRPr="006E62F2" w:rsidTr="00FA4114">
        <w:trPr>
          <w:trHeight w:val="6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Ions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Target value </w:t>
            </w:r>
            <w:proofErr w:type="spellStart"/>
            <w:r w:rsidRPr="006E62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mM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Used         </w:t>
            </w:r>
            <w:proofErr w:type="spellStart"/>
            <w:r w:rsidRPr="006E62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mM</w:t>
            </w:r>
            <w:proofErr w:type="spellEnd"/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NH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4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NO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3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PO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4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K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Ca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Mg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SO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4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Cl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Na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Fe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Mn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Zn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BO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3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I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Cu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MoO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bscript"/>
                <w:lang w:eastAsia="en-US"/>
              </w:rPr>
              <w:t>4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Co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Al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Ni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2+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Ag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Si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4+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EDTA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4-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Citrate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Tartrate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6E62F2" w:rsidRPr="006E62F2" w:rsidTr="00FA4114">
        <w:trPr>
          <w:trHeight w:val="345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Gluconate</w:t>
            </w: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62F2" w:rsidRPr="006E62F2" w:rsidRDefault="006E62F2" w:rsidP="006E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E62F2">
              <w:rPr>
                <w:rFonts w:ascii="Calibri" w:eastAsia="Times New Roman" w:hAnsi="Calibri" w:cs="Times New Roman"/>
                <w:b/>
                <w:bCs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</w:tbl>
    <w:p w:rsidR="006E62F2" w:rsidRDefault="006E62F2" w:rsidP="008A199E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9772EB" w:rsidRDefault="009772EB">
      <w:pPr>
        <w:rPr>
          <w:rFonts w:eastAsia="Times New Roman" w:cs="Segoe UI"/>
          <w:b/>
          <w:color w:val="363636"/>
          <w:sz w:val="20"/>
          <w:szCs w:val="21"/>
          <w:lang w:eastAsia="en-US"/>
        </w:rPr>
      </w:pPr>
      <w:r>
        <w:rPr>
          <w:rFonts w:cs="Segoe UI"/>
          <w:b/>
          <w:color w:val="363636"/>
          <w:sz w:val="20"/>
          <w:szCs w:val="21"/>
        </w:rPr>
        <w:br w:type="page"/>
      </w:r>
    </w:p>
    <w:p w:rsidR="003956FB" w:rsidRPr="00601C2B" w:rsidRDefault="0041170D" w:rsidP="0054337B">
      <w:pPr>
        <w:pStyle w:val="NormalWeb"/>
        <w:numPr>
          <w:ilvl w:val="0"/>
          <w:numId w:val="3"/>
        </w:numPr>
        <w:shd w:val="clear" w:color="auto" w:fill="FFFFFF"/>
        <w:spacing w:line="309" w:lineRule="atLeast"/>
        <w:ind w:left="360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>Set Objective constraints.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  To the right of the Ion Entry section is a listing of the salts used</w:t>
      </w:r>
      <w:r w:rsidR="00601C2B">
        <w:rPr>
          <w:rFonts w:asciiTheme="minorHAnsi" w:hAnsiTheme="minorHAnsi" w:cs="Segoe UI"/>
          <w:color w:val="363636"/>
          <w:sz w:val="20"/>
          <w:szCs w:val="21"/>
        </w:rPr>
        <w:t xml:space="preserve"> in the calculation (Figure 2).</w:t>
      </w:r>
      <w:r w:rsidR="009772EB">
        <w:rPr>
          <w:rFonts w:asciiTheme="minorHAnsi" w:hAnsiTheme="minorHAnsi" w:cs="Segoe UI"/>
          <w:color w:val="363636"/>
          <w:sz w:val="20"/>
          <w:szCs w:val="21"/>
        </w:rPr>
        <w:t xml:space="preserve">  Objective constraints weight the desirability of a salt.  Because the Solver Parameters are set to minimize the solution, the larger the Objective constraint, the </w:t>
      </w:r>
      <w:r w:rsidR="009772EB" w:rsidRPr="00FC36AF">
        <w:rPr>
          <w:rFonts w:asciiTheme="minorHAnsi" w:hAnsiTheme="minorHAnsi" w:cs="Segoe UI"/>
          <w:b/>
          <w:i/>
          <w:color w:val="363636"/>
          <w:sz w:val="20"/>
          <w:szCs w:val="21"/>
        </w:rPr>
        <w:t>less likely</w:t>
      </w:r>
      <w:r w:rsidR="009772EB">
        <w:rPr>
          <w:rFonts w:asciiTheme="minorHAnsi" w:hAnsiTheme="minorHAnsi" w:cs="Segoe UI"/>
          <w:color w:val="363636"/>
          <w:sz w:val="20"/>
          <w:szCs w:val="21"/>
        </w:rPr>
        <w:t xml:space="preserve"> that salt will be included in the </w:t>
      </w:r>
      <w:r w:rsidR="00FC36AF">
        <w:rPr>
          <w:rFonts w:asciiTheme="minorHAnsi" w:hAnsiTheme="minorHAnsi" w:cs="Segoe UI"/>
          <w:color w:val="363636"/>
          <w:sz w:val="20"/>
          <w:szCs w:val="21"/>
        </w:rPr>
        <w:t>formulation</w:t>
      </w:r>
      <w:r w:rsidR="009772EB">
        <w:rPr>
          <w:rFonts w:asciiTheme="minorHAnsi" w:hAnsiTheme="minorHAnsi" w:cs="Segoe UI"/>
          <w:color w:val="363636"/>
          <w:sz w:val="20"/>
          <w:szCs w:val="21"/>
        </w:rPr>
        <w:t>.</w:t>
      </w:r>
      <w:r w:rsidR="00D44C58">
        <w:rPr>
          <w:rFonts w:asciiTheme="minorHAnsi" w:hAnsiTheme="minorHAnsi" w:cs="Segoe UI"/>
          <w:color w:val="363636"/>
          <w:sz w:val="20"/>
          <w:szCs w:val="21"/>
        </w:rPr>
        <w:t xml:space="preserve">  Conversely, the lower the Objective constraint (negative values can be used), the </w:t>
      </w:r>
      <w:r w:rsidR="00D44C58" w:rsidRPr="00B014A0">
        <w:rPr>
          <w:rFonts w:asciiTheme="minorHAnsi" w:hAnsiTheme="minorHAnsi" w:cs="Segoe UI"/>
          <w:b/>
          <w:i/>
          <w:color w:val="363636"/>
          <w:sz w:val="20"/>
          <w:szCs w:val="21"/>
        </w:rPr>
        <w:t>more likely</w:t>
      </w:r>
      <w:r w:rsidR="00D44C58">
        <w:rPr>
          <w:rFonts w:asciiTheme="minorHAnsi" w:hAnsiTheme="minorHAnsi" w:cs="Segoe UI"/>
          <w:color w:val="363636"/>
          <w:sz w:val="20"/>
          <w:szCs w:val="21"/>
        </w:rPr>
        <w:t xml:space="preserve"> that salt will be</w:t>
      </w:r>
      <w:r w:rsidR="00FC36AF">
        <w:rPr>
          <w:rFonts w:asciiTheme="minorHAnsi" w:hAnsiTheme="minorHAnsi" w:cs="Segoe UI"/>
          <w:color w:val="363636"/>
          <w:sz w:val="20"/>
          <w:szCs w:val="21"/>
        </w:rPr>
        <w:t xml:space="preserve"> included in formulation.</w:t>
      </w:r>
      <w:r w:rsidR="009772EB">
        <w:rPr>
          <w:rFonts w:asciiTheme="minorHAnsi" w:hAnsiTheme="minorHAnsi" w:cs="Segoe UI"/>
          <w:color w:val="363636"/>
          <w:sz w:val="20"/>
          <w:szCs w:val="21"/>
        </w:rPr>
        <w:t xml:space="preserve">  For example, if low solubility is NOT desirable, then the Objective constraint of the low solubility salts, such as Ca(OH)</w:t>
      </w:r>
      <w:r w:rsidR="009772EB" w:rsidRPr="0084077A">
        <w:rPr>
          <w:rFonts w:asciiTheme="minorHAnsi" w:hAnsiTheme="minorHAnsi" w:cs="Segoe UI"/>
          <w:color w:val="363636"/>
          <w:sz w:val="20"/>
          <w:szCs w:val="21"/>
          <w:vertAlign w:val="subscript"/>
        </w:rPr>
        <w:t>2</w:t>
      </w:r>
      <w:r w:rsidR="009772EB">
        <w:rPr>
          <w:rFonts w:asciiTheme="minorHAnsi" w:hAnsiTheme="minorHAnsi" w:cs="Segoe UI"/>
          <w:color w:val="363636"/>
          <w:sz w:val="20"/>
          <w:szCs w:val="21"/>
        </w:rPr>
        <w:t>, would be increased (e.g., 10).  This does not prohibit the salt from being used, but does makes it more “expensive” to use.</w:t>
      </w:r>
    </w:p>
    <w:p w:rsidR="00601C2B" w:rsidRPr="00601C2B" w:rsidRDefault="00601C2B" w:rsidP="00E56230">
      <w:pPr>
        <w:pStyle w:val="NormalWeb"/>
        <w:shd w:val="clear" w:color="auto" w:fill="FFFFFF"/>
        <w:spacing w:line="309" w:lineRule="atLeast"/>
        <w:ind w:left="900" w:hanging="900"/>
        <w:rPr>
          <w:rFonts w:asciiTheme="minorHAnsi" w:hAnsiTheme="minorHAnsi" w:cs="Segoe UI"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t>Figure 2.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  Listing of salts.</w:t>
      </w:r>
      <w:r w:rsidR="00116566">
        <w:rPr>
          <w:rFonts w:asciiTheme="minorHAnsi" w:hAnsiTheme="minorHAnsi" w:cs="Segoe UI"/>
          <w:color w:val="363636"/>
          <w:sz w:val="20"/>
          <w:szCs w:val="21"/>
        </w:rPr>
        <w:t xml:space="preserve">  </w:t>
      </w:r>
      <w:r w:rsidR="00116566" w:rsidRPr="00A0109E">
        <w:rPr>
          <w:rFonts w:asciiTheme="minorHAnsi" w:hAnsiTheme="minorHAnsi" w:cs="Segoe UI"/>
          <w:b/>
          <w:color w:val="363636"/>
          <w:sz w:val="20"/>
          <w:szCs w:val="21"/>
        </w:rPr>
        <w:t>Objective constraints</w:t>
      </w:r>
      <w:r w:rsidR="00116566">
        <w:rPr>
          <w:rFonts w:asciiTheme="minorHAnsi" w:hAnsiTheme="minorHAnsi" w:cs="Segoe UI"/>
          <w:color w:val="363636"/>
          <w:sz w:val="20"/>
          <w:szCs w:val="21"/>
        </w:rPr>
        <w:t xml:space="preserve"> are entered in this section.</w:t>
      </w:r>
      <w:r w:rsidR="005832D6">
        <w:rPr>
          <w:rFonts w:asciiTheme="minorHAnsi" w:hAnsiTheme="minorHAnsi" w:cs="Segoe UI"/>
          <w:color w:val="363636"/>
          <w:sz w:val="20"/>
          <w:szCs w:val="21"/>
        </w:rPr>
        <w:t xml:space="preserve">  If a solution is found</w:t>
      </w:r>
      <w:r w:rsidR="00292609">
        <w:rPr>
          <w:rFonts w:asciiTheme="minorHAnsi" w:hAnsiTheme="minorHAnsi" w:cs="Segoe UI"/>
          <w:color w:val="363636"/>
          <w:sz w:val="20"/>
          <w:szCs w:val="21"/>
        </w:rPr>
        <w:t xml:space="preserve"> after Solver is run</w:t>
      </w:r>
      <w:r w:rsidR="005832D6">
        <w:rPr>
          <w:rFonts w:asciiTheme="minorHAnsi" w:hAnsiTheme="minorHAnsi" w:cs="Segoe UI"/>
          <w:color w:val="363636"/>
          <w:sz w:val="20"/>
          <w:szCs w:val="21"/>
        </w:rPr>
        <w:t xml:space="preserve">, the </w:t>
      </w:r>
      <w:r w:rsidR="00A0109E">
        <w:rPr>
          <w:rFonts w:asciiTheme="minorHAnsi" w:hAnsiTheme="minorHAnsi" w:cs="Segoe UI"/>
          <w:color w:val="363636"/>
          <w:sz w:val="20"/>
          <w:szCs w:val="21"/>
        </w:rPr>
        <w:t>amount (grams)</w:t>
      </w:r>
      <w:r w:rsidR="00292609">
        <w:rPr>
          <w:rFonts w:asciiTheme="minorHAnsi" w:hAnsiTheme="minorHAnsi" w:cs="Segoe UI"/>
          <w:color w:val="363636"/>
          <w:sz w:val="20"/>
          <w:szCs w:val="21"/>
        </w:rPr>
        <w:t xml:space="preserve"> for each salt</w:t>
      </w:r>
      <w:r w:rsidR="00A0109E">
        <w:rPr>
          <w:rFonts w:asciiTheme="minorHAnsi" w:hAnsiTheme="minorHAnsi" w:cs="Segoe UI"/>
          <w:color w:val="363636"/>
          <w:sz w:val="20"/>
          <w:szCs w:val="21"/>
        </w:rPr>
        <w:t xml:space="preserve"> will appear in the </w:t>
      </w:r>
      <w:r w:rsidR="00A0109E" w:rsidRPr="00A0109E">
        <w:rPr>
          <w:rFonts w:asciiTheme="minorHAnsi" w:hAnsiTheme="minorHAnsi" w:cs="Segoe UI"/>
          <w:b/>
          <w:color w:val="363636"/>
          <w:sz w:val="20"/>
          <w:szCs w:val="21"/>
        </w:rPr>
        <w:t>Salt (g)</w:t>
      </w:r>
      <w:r w:rsidR="00A0109E">
        <w:rPr>
          <w:rFonts w:asciiTheme="minorHAnsi" w:hAnsiTheme="minorHAnsi" w:cs="Segoe UI"/>
          <w:color w:val="363636"/>
          <w:sz w:val="20"/>
          <w:szCs w:val="21"/>
        </w:rPr>
        <w:t xml:space="preserve"> column.</w:t>
      </w:r>
    </w:p>
    <w:p w:rsidR="00601C2B" w:rsidRDefault="00601C2B" w:rsidP="00601C2B">
      <w:pPr>
        <w:pStyle w:val="NormalWeb"/>
        <w:shd w:val="clear" w:color="auto" w:fill="FFFFFF"/>
        <w:spacing w:line="309" w:lineRule="atLeast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-3901</wp:posOffset>
            </wp:positionV>
            <wp:extent cx="5943600" cy="430085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C2B" w:rsidRDefault="00601C2B" w:rsidP="00601C2B">
      <w:pPr>
        <w:pStyle w:val="NormalWeb"/>
        <w:shd w:val="clear" w:color="auto" w:fill="FFFFFF"/>
        <w:spacing w:line="309" w:lineRule="atLeast"/>
        <w:ind w:left="720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601C2B" w:rsidRDefault="00601C2B" w:rsidP="00601C2B">
      <w:pPr>
        <w:pStyle w:val="NormalWeb"/>
        <w:shd w:val="clear" w:color="auto" w:fill="FFFFFF"/>
        <w:spacing w:line="309" w:lineRule="atLeast"/>
        <w:ind w:left="720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601C2B" w:rsidRDefault="00601C2B" w:rsidP="00D44C58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8A199E" w:rsidRDefault="008244B4" w:rsidP="0054337B">
      <w:pPr>
        <w:pStyle w:val="NormalWeb"/>
        <w:numPr>
          <w:ilvl w:val="0"/>
          <w:numId w:val="3"/>
        </w:numPr>
        <w:shd w:val="clear" w:color="auto" w:fill="FFFFFF"/>
        <w:spacing w:line="309" w:lineRule="atLeast"/>
        <w:ind w:left="360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>Select the Solver Add-in</w:t>
      </w:r>
      <w:r w:rsidR="00722C55">
        <w:rPr>
          <w:rFonts w:asciiTheme="minorHAnsi" w:hAnsiTheme="minorHAnsi" w:cs="Segoe UI"/>
          <w:b/>
          <w:color w:val="363636"/>
          <w:sz w:val="20"/>
          <w:szCs w:val="21"/>
        </w:rPr>
        <w:t xml:space="preserve"> and click Solve</w:t>
      </w:r>
      <w:r>
        <w:rPr>
          <w:rFonts w:asciiTheme="minorHAnsi" w:hAnsiTheme="minorHAnsi" w:cs="Segoe UI"/>
          <w:b/>
          <w:color w:val="363636"/>
          <w:sz w:val="20"/>
          <w:szCs w:val="21"/>
        </w:rPr>
        <w:t>.</w:t>
      </w:r>
      <w:r w:rsidR="00F46B31" w:rsidRPr="00F46B31">
        <w:rPr>
          <w:rFonts w:asciiTheme="minorHAnsi" w:hAnsiTheme="minorHAnsi" w:cs="Segoe UI"/>
          <w:color w:val="363636"/>
          <w:sz w:val="20"/>
          <w:szCs w:val="21"/>
        </w:rPr>
        <w:t xml:space="preserve">  A Solver Parameters screen will appear</w:t>
      </w:r>
      <w:r w:rsidR="00F46B31">
        <w:rPr>
          <w:rFonts w:asciiTheme="minorHAnsi" w:hAnsiTheme="minorHAnsi" w:cs="Segoe UI"/>
          <w:color w:val="363636"/>
          <w:sz w:val="20"/>
          <w:szCs w:val="21"/>
        </w:rPr>
        <w:t xml:space="preserve"> (Figure </w:t>
      </w:r>
      <w:r w:rsidR="006C4093">
        <w:rPr>
          <w:rFonts w:asciiTheme="minorHAnsi" w:hAnsiTheme="minorHAnsi" w:cs="Segoe UI"/>
          <w:color w:val="363636"/>
          <w:sz w:val="20"/>
          <w:szCs w:val="21"/>
        </w:rPr>
        <w:t>3</w:t>
      </w:r>
      <w:r w:rsidR="00F46B31">
        <w:rPr>
          <w:rFonts w:asciiTheme="minorHAnsi" w:hAnsiTheme="minorHAnsi" w:cs="Segoe UI"/>
          <w:color w:val="363636"/>
          <w:sz w:val="20"/>
          <w:szCs w:val="21"/>
        </w:rPr>
        <w:t>)</w:t>
      </w:r>
      <w:r w:rsidR="00F46B31" w:rsidRPr="00F46B31">
        <w:rPr>
          <w:rFonts w:asciiTheme="minorHAnsi" w:hAnsiTheme="minorHAnsi" w:cs="Segoe UI"/>
          <w:color w:val="363636"/>
          <w:sz w:val="20"/>
          <w:szCs w:val="21"/>
        </w:rPr>
        <w:t>.</w:t>
      </w:r>
      <w:r w:rsidR="006C4093">
        <w:rPr>
          <w:rFonts w:asciiTheme="minorHAnsi" w:hAnsiTheme="minorHAnsi" w:cs="Segoe UI"/>
          <w:color w:val="363636"/>
          <w:sz w:val="20"/>
          <w:szCs w:val="21"/>
        </w:rPr>
        <w:t xml:space="preserve">  </w:t>
      </w:r>
      <w:r w:rsidR="00CA7F72">
        <w:rPr>
          <w:rFonts w:asciiTheme="minorHAnsi" w:hAnsiTheme="minorHAnsi" w:cs="Segoe UI"/>
          <w:color w:val="363636"/>
          <w:sz w:val="20"/>
          <w:szCs w:val="21"/>
        </w:rPr>
        <w:t>Generally, i</w:t>
      </w:r>
      <w:r w:rsidR="006C4093">
        <w:rPr>
          <w:rFonts w:asciiTheme="minorHAnsi" w:hAnsiTheme="minorHAnsi" w:cs="Segoe UI"/>
          <w:color w:val="363636"/>
          <w:sz w:val="20"/>
          <w:szCs w:val="21"/>
        </w:rPr>
        <w:t xml:space="preserve">t </w:t>
      </w:r>
      <w:r w:rsidR="00CA7F72">
        <w:rPr>
          <w:rFonts w:asciiTheme="minorHAnsi" w:hAnsiTheme="minorHAnsi" w:cs="Segoe UI"/>
          <w:color w:val="363636"/>
          <w:sz w:val="20"/>
          <w:szCs w:val="21"/>
        </w:rPr>
        <w:t>is not</w:t>
      </w:r>
      <w:r w:rsidR="006C4093">
        <w:rPr>
          <w:rFonts w:asciiTheme="minorHAnsi" w:hAnsiTheme="minorHAnsi" w:cs="Segoe UI"/>
          <w:color w:val="363636"/>
          <w:sz w:val="20"/>
          <w:szCs w:val="21"/>
        </w:rPr>
        <w:t xml:space="preserve"> necessary to change any of the settings.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B3AB7" w:rsidTr="00513C71">
        <w:tc>
          <w:tcPr>
            <w:tcW w:w="93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37BD" w:rsidRDefault="000B3AB7" w:rsidP="008737BD">
            <w:pPr>
              <w:pStyle w:val="NormalWeb"/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 xml:space="preserve">The Solver add-in is </w:t>
            </w:r>
            <w:r>
              <w:rPr>
                <w:rFonts w:asciiTheme="minorHAnsi" w:hAnsiTheme="minorHAnsi" w:cs="Segoe UI"/>
                <w:color w:val="363636"/>
                <w:sz w:val="21"/>
                <w:szCs w:val="21"/>
              </w:rPr>
              <w:t>available</w:t>
            </w:r>
            <w:r w:rsidR="008737BD">
              <w:rPr>
                <w:rFonts w:asciiTheme="minorHAnsi" w:hAnsiTheme="minorHAnsi" w:cs="Segoe UI"/>
                <w:color w:val="363636"/>
                <w:sz w:val="21"/>
                <w:szCs w:val="21"/>
              </w:rPr>
              <w:t xml:space="preserve"> under the Data tab in the Analysis group.</w:t>
            </w:r>
          </w:p>
          <w:p w:rsidR="002B03EA" w:rsidRDefault="000B3AB7" w:rsidP="008737BD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Click the </w:t>
            </w:r>
            <w:r w:rsidR="008737BD">
              <w:rPr>
                <w:rFonts w:asciiTheme="minorHAnsi" w:hAnsiTheme="minorHAnsi" w:cs="Segoe UI"/>
                <w:b/>
                <w:bCs/>
                <w:color w:val="363636"/>
                <w:sz w:val="21"/>
                <w:szCs w:val="21"/>
              </w:rPr>
              <w:t>Data</w:t>
            </w:r>
            <w:r w:rsidRPr="00B4072C">
              <w:rPr>
                <w:rFonts w:asciiTheme="minorHAnsi" w:hAnsiTheme="minorHAnsi" w:cs="Segoe UI"/>
                <w:color w:val="363636"/>
                <w:sz w:val="21"/>
                <w:szCs w:val="21"/>
              </w:rPr>
              <w:t> tab</w:t>
            </w:r>
            <w:r w:rsidR="002B03EA">
              <w:rPr>
                <w:rFonts w:asciiTheme="minorHAnsi" w:hAnsiTheme="minorHAnsi" w:cs="Segoe UI"/>
                <w:color w:val="363636"/>
                <w:sz w:val="21"/>
                <w:szCs w:val="21"/>
              </w:rPr>
              <w:t>.</w:t>
            </w:r>
          </w:p>
          <w:p w:rsidR="000B3AB7" w:rsidRPr="002B03EA" w:rsidRDefault="002B03EA" w:rsidP="002B03EA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Segoe UI"/>
                <w:color w:val="363636"/>
                <w:sz w:val="21"/>
                <w:szCs w:val="21"/>
              </w:rPr>
            </w:pPr>
            <w:r>
              <w:rPr>
                <w:rFonts w:asciiTheme="minorHAnsi" w:hAnsiTheme="minorHAnsi" w:cs="Segoe UI"/>
                <w:color w:val="363636"/>
                <w:sz w:val="21"/>
                <w:szCs w:val="21"/>
              </w:rPr>
              <w:t xml:space="preserve">Click on </w:t>
            </w:r>
            <w:r w:rsidRPr="002B03EA">
              <w:rPr>
                <w:rFonts w:asciiTheme="minorHAnsi" w:hAnsiTheme="minorHAnsi" w:cs="Segoe UI"/>
                <w:b/>
                <w:color w:val="363636"/>
                <w:sz w:val="21"/>
                <w:szCs w:val="21"/>
              </w:rPr>
              <w:t>Solver</w:t>
            </w:r>
            <w:r>
              <w:rPr>
                <w:rFonts w:asciiTheme="minorHAnsi" w:hAnsiTheme="minorHAnsi" w:cs="Segoe UI"/>
                <w:color w:val="363636"/>
                <w:sz w:val="21"/>
                <w:szCs w:val="21"/>
              </w:rPr>
              <w:t xml:space="preserve"> in the </w:t>
            </w:r>
            <w:r w:rsidRPr="002B03EA">
              <w:rPr>
                <w:rFonts w:asciiTheme="minorHAnsi" w:hAnsiTheme="minorHAnsi" w:cs="Segoe UI"/>
                <w:b/>
                <w:color w:val="363636"/>
                <w:sz w:val="21"/>
                <w:szCs w:val="21"/>
              </w:rPr>
              <w:t>Analysis</w:t>
            </w:r>
            <w:r>
              <w:rPr>
                <w:rFonts w:asciiTheme="minorHAnsi" w:hAnsiTheme="minorHAnsi" w:cs="Segoe UI"/>
                <w:color w:val="363636"/>
                <w:sz w:val="21"/>
                <w:szCs w:val="21"/>
              </w:rPr>
              <w:t xml:space="preserve"> group.</w:t>
            </w:r>
          </w:p>
        </w:tc>
      </w:tr>
    </w:tbl>
    <w:p w:rsidR="002B38C8" w:rsidRDefault="004C1BA9" w:rsidP="004C1BA9">
      <w:pPr>
        <w:pStyle w:val="NormalWeb"/>
        <w:shd w:val="clear" w:color="auto" w:fill="FFFFFF"/>
        <w:spacing w:line="309" w:lineRule="atLeast"/>
        <w:ind w:left="720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t xml:space="preserve">Figure </w:t>
      </w:r>
      <w:r w:rsidR="006C4093">
        <w:rPr>
          <w:rFonts w:asciiTheme="minorHAnsi" w:hAnsiTheme="minorHAnsi" w:cs="Segoe UI"/>
          <w:b/>
          <w:color w:val="363636"/>
          <w:sz w:val="20"/>
          <w:szCs w:val="21"/>
        </w:rPr>
        <w:t>3</w:t>
      </w:r>
      <w:r>
        <w:rPr>
          <w:rFonts w:asciiTheme="minorHAnsi" w:hAnsiTheme="minorHAnsi" w:cs="Segoe UI"/>
          <w:b/>
          <w:color w:val="363636"/>
          <w:sz w:val="20"/>
          <w:szCs w:val="21"/>
        </w:rPr>
        <w:t xml:space="preserve">.  </w:t>
      </w:r>
      <w:r w:rsidRPr="004C1BA9">
        <w:rPr>
          <w:rFonts w:asciiTheme="minorHAnsi" w:hAnsiTheme="minorHAnsi" w:cs="Segoe UI"/>
          <w:color w:val="363636"/>
          <w:sz w:val="20"/>
          <w:szCs w:val="21"/>
        </w:rPr>
        <w:t>Solver Parameters screen.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  Parameters should not be changed</w:t>
      </w:r>
      <w:r w:rsidR="00722C55">
        <w:rPr>
          <w:rFonts w:asciiTheme="minorHAnsi" w:hAnsiTheme="minorHAnsi" w:cs="Segoe UI"/>
          <w:color w:val="363636"/>
          <w:sz w:val="20"/>
          <w:szCs w:val="21"/>
        </w:rPr>
        <w:t>.</w:t>
      </w:r>
    </w:p>
    <w:p w:rsidR="002B38C8" w:rsidRDefault="002B38C8" w:rsidP="004C1BA9">
      <w:pPr>
        <w:pStyle w:val="NormalWeb"/>
        <w:shd w:val="clear" w:color="auto" w:fill="FFFFFF"/>
        <w:spacing w:line="309" w:lineRule="atLeast"/>
        <w:ind w:left="720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461176</wp:posOffset>
            </wp:positionH>
            <wp:positionV relativeFrom="paragraph">
              <wp:posOffset>-304</wp:posOffset>
            </wp:positionV>
            <wp:extent cx="5572125" cy="56578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F5D" w:rsidRPr="0085541D" w:rsidRDefault="00844CA2" w:rsidP="0054337B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</w:tabs>
        <w:spacing w:line="309" w:lineRule="atLeast"/>
        <w:ind w:left="360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>Evaluate Solver Results</w:t>
      </w:r>
      <w:r w:rsidR="007F2508" w:rsidRPr="0085541D">
        <w:rPr>
          <w:rFonts w:asciiTheme="minorHAnsi" w:hAnsiTheme="minorHAnsi" w:cs="Segoe UI"/>
          <w:b/>
          <w:color w:val="363636"/>
          <w:sz w:val="20"/>
          <w:szCs w:val="21"/>
        </w:rPr>
        <w:t>.</w:t>
      </w:r>
      <w:r w:rsidR="006A51E7" w:rsidRPr="0085541D">
        <w:rPr>
          <w:rFonts w:asciiTheme="minorHAnsi" w:hAnsiTheme="minorHAnsi" w:cs="Segoe UI"/>
          <w:color w:val="363636"/>
          <w:sz w:val="20"/>
          <w:szCs w:val="21"/>
        </w:rPr>
        <w:t xml:space="preserve">  A</w:t>
      </w:r>
      <w:r w:rsidR="00B04DBD" w:rsidRPr="0085541D">
        <w:rPr>
          <w:rFonts w:asciiTheme="minorHAnsi" w:hAnsiTheme="minorHAnsi" w:cs="Segoe UI"/>
          <w:color w:val="363636"/>
          <w:sz w:val="20"/>
          <w:szCs w:val="21"/>
        </w:rPr>
        <w:t xml:space="preserve">fter clicking </w:t>
      </w:r>
      <w:r w:rsidR="00B04DBD" w:rsidRPr="00844CA2">
        <w:rPr>
          <w:rFonts w:asciiTheme="minorHAnsi" w:hAnsiTheme="minorHAnsi" w:cs="Segoe UI"/>
          <w:b/>
          <w:color w:val="363636"/>
          <w:sz w:val="20"/>
          <w:szCs w:val="21"/>
        </w:rPr>
        <w:t>Solve</w:t>
      </w:r>
      <w:r w:rsidR="00B04DBD" w:rsidRPr="0085541D">
        <w:rPr>
          <w:rFonts w:asciiTheme="minorHAnsi" w:hAnsiTheme="minorHAnsi" w:cs="Segoe UI"/>
          <w:color w:val="363636"/>
          <w:sz w:val="20"/>
          <w:szCs w:val="21"/>
        </w:rPr>
        <w:t xml:space="preserve"> in the</w:t>
      </w:r>
      <w:r w:rsidR="006A51E7" w:rsidRPr="0085541D">
        <w:rPr>
          <w:rFonts w:asciiTheme="minorHAnsi" w:hAnsiTheme="minorHAnsi" w:cs="Segoe UI"/>
          <w:color w:val="363636"/>
          <w:sz w:val="20"/>
          <w:szCs w:val="21"/>
        </w:rPr>
        <w:t xml:space="preserve"> </w:t>
      </w:r>
      <w:r w:rsidR="00744B7B" w:rsidRPr="0085541D">
        <w:rPr>
          <w:rFonts w:asciiTheme="minorHAnsi" w:hAnsiTheme="minorHAnsi" w:cs="Segoe UI"/>
          <w:color w:val="363636"/>
          <w:sz w:val="20"/>
          <w:szCs w:val="21"/>
        </w:rPr>
        <w:t>Solver Parameters screen</w:t>
      </w:r>
      <w:r w:rsidR="00B04DBD" w:rsidRPr="0085541D">
        <w:rPr>
          <w:rFonts w:asciiTheme="minorHAnsi" w:hAnsiTheme="minorHAnsi" w:cs="Segoe UI"/>
          <w:color w:val="363636"/>
          <w:sz w:val="20"/>
          <w:szCs w:val="21"/>
        </w:rPr>
        <w:t>, the S</w:t>
      </w:r>
      <w:r w:rsidR="00DE42DB" w:rsidRPr="0085541D">
        <w:rPr>
          <w:rFonts w:asciiTheme="minorHAnsi" w:hAnsiTheme="minorHAnsi" w:cs="Segoe UI"/>
          <w:color w:val="363636"/>
          <w:sz w:val="20"/>
          <w:szCs w:val="21"/>
        </w:rPr>
        <w:t>olver Results screen will appear</w:t>
      </w:r>
      <w:r w:rsidR="00E97CC8" w:rsidRPr="0085541D">
        <w:rPr>
          <w:rFonts w:asciiTheme="minorHAnsi" w:hAnsiTheme="minorHAnsi" w:cs="Segoe UI"/>
          <w:color w:val="363636"/>
          <w:sz w:val="20"/>
          <w:szCs w:val="21"/>
        </w:rPr>
        <w:t xml:space="preserve"> </w:t>
      </w:r>
      <w:r w:rsidR="00DE42DB" w:rsidRPr="0085541D">
        <w:rPr>
          <w:rFonts w:asciiTheme="minorHAnsi" w:hAnsiTheme="minorHAnsi" w:cs="Segoe UI"/>
          <w:color w:val="363636"/>
          <w:sz w:val="20"/>
          <w:szCs w:val="21"/>
        </w:rPr>
        <w:t>and indicate if a solution has been found.  If a solution was found</w:t>
      </w:r>
      <w:r w:rsidR="004E5222">
        <w:rPr>
          <w:rFonts w:asciiTheme="minorHAnsi" w:hAnsiTheme="minorHAnsi" w:cs="Segoe UI"/>
          <w:color w:val="363636"/>
          <w:sz w:val="20"/>
          <w:szCs w:val="21"/>
        </w:rPr>
        <w:t xml:space="preserve"> </w:t>
      </w:r>
      <w:r w:rsidR="004E5222" w:rsidRPr="0085541D">
        <w:rPr>
          <w:rFonts w:asciiTheme="minorHAnsi" w:hAnsiTheme="minorHAnsi" w:cs="Segoe UI"/>
          <w:color w:val="363636"/>
          <w:sz w:val="20"/>
          <w:szCs w:val="21"/>
        </w:rPr>
        <w:t xml:space="preserve">(Figure </w:t>
      </w:r>
      <w:r w:rsidR="004E5222">
        <w:rPr>
          <w:rFonts w:asciiTheme="minorHAnsi" w:hAnsiTheme="minorHAnsi" w:cs="Segoe UI"/>
          <w:color w:val="363636"/>
          <w:sz w:val="20"/>
          <w:szCs w:val="21"/>
        </w:rPr>
        <w:t>4, top image)</w:t>
      </w:r>
      <w:r w:rsidR="00DE42DB" w:rsidRPr="0085541D">
        <w:rPr>
          <w:rFonts w:asciiTheme="minorHAnsi" w:hAnsiTheme="minorHAnsi" w:cs="Segoe UI"/>
          <w:color w:val="363636"/>
          <w:sz w:val="20"/>
          <w:szCs w:val="21"/>
        </w:rPr>
        <w:t xml:space="preserve">, a </w:t>
      </w:r>
      <w:r w:rsidR="006A51E7" w:rsidRPr="0085541D">
        <w:rPr>
          <w:rFonts w:asciiTheme="minorHAnsi" w:hAnsiTheme="minorHAnsi" w:cs="Segoe UI"/>
          <w:color w:val="363636"/>
          <w:sz w:val="20"/>
          <w:szCs w:val="21"/>
        </w:rPr>
        <w:t xml:space="preserve">report </w:t>
      </w:r>
      <w:r w:rsidR="00DE42DB" w:rsidRPr="0085541D">
        <w:rPr>
          <w:rFonts w:asciiTheme="minorHAnsi" w:hAnsiTheme="minorHAnsi" w:cs="Segoe UI"/>
          <w:color w:val="363636"/>
          <w:sz w:val="20"/>
          <w:szCs w:val="21"/>
        </w:rPr>
        <w:t xml:space="preserve">is </w:t>
      </w:r>
      <w:r w:rsidR="006A51E7" w:rsidRPr="0085541D">
        <w:rPr>
          <w:rFonts w:asciiTheme="minorHAnsi" w:hAnsiTheme="minorHAnsi" w:cs="Segoe UI"/>
          <w:color w:val="363636"/>
          <w:sz w:val="20"/>
          <w:szCs w:val="21"/>
        </w:rPr>
        <w:t>generated that includes the salts</w:t>
      </w:r>
      <w:r w:rsidR="00E97CC8" w:rsidRPr="0085541D">
        <w:rPr>
          <w:rFonts w:asciiTheme="minorHAnsi" w:hAnsiTheme="minorHAnsi" w:cs="Segoe UI"/>
          <w:color w:val="363636"/>
          <w:sz w:val="20"/>
          <w:szCs w:val="21"/>
        </w:rPr>
        <w:t xml:space="preserve"> required.</w:t>
      </w:r>
      <w:r w:rsidR="006C50F3" w:rsidRPr="0085541D">
        <w:rPr>
          <w:rFonts w:asciiTheme="minorHAnsi" w:hAnsiTheme="minorHAnsi" w:cs="Segoe UI"/>
          <w:color w:val="363636"/>
          <w:sz w:val="20"/>
          <w:szCs w:val="21"/>
        </w:rPr>
        <w:t xml:space="preserve">  If a </w:t>
      </w:r>
      <w:r w:rsidR="005564AB" w:rsidRPr="0085541D">
        <w:rPr>
          <w:rFonts w:asciiTheme="minorHAnsi" w:hAnsiTheme="minorHAnsi" w:cs="Segoe UI"/>
          <w:color w:val="363636"/>
          <w:sz w:val="20"/>
          <w:szCs w:val="21"/>
        </w:rPr>
        <w:t>solution is not found</w:t>
      </w:r>
      <w:r w:rsidR="004E5222">
        <w:rPr>
          <w:rFonts w:asciiTheme="minorHAnsi" w:hAnsiTheme="minorHAnsi" w:cs="Segoe UI"/>
          <w:color w:val="363636"/>
          <w:sz w:val="20"/>
          <w:szCs w:val="21"/>
        </w:rPr>
        <w:t xml:space="preserve"> (Figure 4, bottom image)</w:t>
      </w:r>
      <w:r w:rsidR="005564AB" w:rsidRPr="0085541D">
        <w:rPr>
          <w:rFonts w:asciiTheme="minorHAnsi" w:hAnsiTheme="minorHAnsi" w:cs="Segoe UI"/>
          <w:color w:val="363636"/>
          <w:sz w:val="20"/>
          <w:szCs w:val="21"/>
        </w:rPr>
        <w:t>, reexamine Target value</w:t>
      </w:r>
      <w:r w:rsidR="004B3460">
        <w:rPr>
          <w:rFonts w:asciiTheme="minorHAnsi" w:hAnsiTheme="minorHAnsi" w:cs="Segoe UI"/>
          <w:color w:val="363636"/>
          <w:sz w:val="20"/>
          <w:szCs w:val="21"/>
        </w:rPr>
        <w:t>s</w:t>
      </w:r>
      <w:r w:rsidR="00DF70EA" w:rsidRPr="0085541D">
        <w:rPr>
          <w:rFonts w:asciiTheme="minorHAnsi" w:hAnsiTheme="minorHAnsi" w:cs="Segoe UI"/>
          <w:color w:val="363636"/>
          <w:sz w:val="20"/>
          <w:szCs w:val="21"/>
        </w:rPr>
        <w:t xml:space="preserve"> and</w:t>
      </w:r>
      <w:r w:rsidR="0085541D" w:rsidRPr="0085541D">
        <w:rPr>
          <w:rFonts w:asciiTheme="minorHAnsi" w:hAnsiTheme="minorHAnsi" w:cs="Segoe UI"/>
          <w:color w:val="363636"/>
          <w:sz w:val="20"/>
          <w:szCs w:val="21"/>
        </w:rPr>
        <w:t xml:space="preserve"> listing of salts (Figure </w:t>
      </w:r>
      <w:r w:rsidR="004B3460">
        <w:rPr>
          <w:rFonts w:asciiTheme="minorHAnsi" w:hAnsiTheme="minorHAnsi" w:cs="Segoe UI"/>
          <w:color w:val="363636"/>
          <w:sz w:val="20"/>
          <w:szCs w:val="21"/>
        </w:rPr>
        <w:t>2</w:t>
      </w:r>
      <w:r w:rsidR="0085541D" w:rsidRPr="0085541D">
        <w:rPr>
          <w:rFonts w:asciiTheme="minorHAnsi" w:hAnsiTheme="minorHAnsi" w:cs="Segoe UI"/>
          <w:color w:val="363636"/>
          <w:sz w:val="20"/>
          <w:szCs w:val="21"/>
        </w:rPr>
        <w:t xml:space="preserve">) to determine the conflict.  See Troubleshooting </w:t>
      </w:r>
      <w:r w:rsidR="005F4ED5">
        <w:rPr>
          <w:rFonts w:asciiTheme="minorHAnsi" w:hAnsiTheme="minorHAnsi" w:cs="Segoe UI"/>
          <w:color w:val="363636"/>
          <w:sz w:val="20"/>
          <w:szCs w:val="21"/>
        </w:rPr>
        <w:t>on</w:t>
      </w:r>
      <w:r w:rsidR="0085541D" w:rsidRPr="0085541D">
        <w:rPr>
          <w:rFonts w:asciiTheme="minorHAnsi" w:hAnsiTheme="minorHAnsi" w:cs="Segoe UI"/>
          <w:color w:val="363636"/>
          <w:sz w:val="20"/>
          <w:szCs w:val="21"/>
        </w:rPr>
        <w:t xml:space="preserve"> how to correct infeasible solutions.</w:t>
      </w:r>
    </w:p>
    <w:p w:rsidR="003D3EF6" w:rsidRDefault="003D3EF6">
      <w:pPr>
        <w:rPr>
          <w:rFonts w:cs="Segoe UI"/>
          <w:b/>
          <w:color w:val="363636"/>
          <w:sz w:val="20"/>
          <w:szCs w:val="21"/>
        </w:rPr>
      </w:pPr>
    </w:p>
    <w:p w:rsidR="00DA2112" w:rsidRDefault="00DA2112">
      <w:pPr>
        <w:rPr>
          <w:rFonts w:eastAsia="Times New Roman" w:cs="Segoe UI"/>
          <w:b/>
          <w:color w:val="363636"/>
          <w:sz w:val="20"/>
          <w:szCs w:val="21"/>
          <w:lang w:eastAsia="en-US"/>
        </w:rPr>
      </w:pPr>
      <w:r>
        <w:rPr>
          <w:rFonts w:cs="Segoe UI"/>
          <w:b/>
          <w:color w:val="363636"/>
          <w:sz w:val="20"/>
          <w:szCs w:val="21"/>
        </w:rPr>
        <w:br w:type="page"/>
      </w:r>
    </w:p>
    <w:p w:rsidR="00A13F5D" w:rsidRDefault="00CD1F40" w:rsidP="00E56230">
      <w:pPr>
        <w:pStyle w:val="NormalWeb"/>
        <w:shd w:val="clear" w:color="auto" w:fill="FFFFFF"/>
        <w:spacing w:line="309" w:lineRule="atLeast"/>
        <w:ind w:left="900" w:hanging="900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 xml:space="preserve">Figure </w:t>
      </w:r>
      <w:r w:rsidR="00844CA2">
        <w:rPr>
          <w:rFonts w:asciiTheme="minorHAnsi" w:hAnsiTheme="minorHAnsi" w:cs="Segoe UI"/>
          <w:b/>
          <w:color w:val="363636"/>
          <w:sz w:val="20"/>
          <w:szCs w:val="21"/>
        </w:rPr>
        <w:t>4</w:t>
      </w:r>
      <w:r>
        <w:rPr>
          <w:rFonts w:asciiTheme="minorHAnsi" w:hAnsiTheme="minorHAnsi" w:cs="Segoe UI"/>
          <w:b/>
          <w:color w:val="363636"/>
          <w:sz w:val="20"/>
          <w:szCs w:val="21"/>
        </w:rPr>
        <w:t>.</w:t>
      </w:r>
      <w:r w:rsidR="009D7175">
        <w:rPr>
          <w:rFonts w:asciiTheme="minorHAnsi" w:hAnsiTheme="minorHAnsi" w:cs="Segoe UI"/>
          <w:b/>
          <w:color w:val="363636"/>
          <w:sz w:val="20"/>
          <w:szCs w:val="21"/>
        </w:rPr>
        <w:t xml:space="preserve">  </w:t>
      </w:r>
      <w:r w:rsidR="009D7175" w:rsidRPr="009D7175">
        <w:rPr>
          <w:rFonts w:asciiTheme="minorHAnsi" w:hAnsiTheme="minorHAnsi" w:cs="Segoe UI"/>
          <w:color w:val="363636"/>
          <w:sz w:val="20"/>
          <w:szCs w:val="21"/>
        </w:rPr>
        <w:t>Solver Results screen</w:t>
      </w:r>
      <w:r w:rsidR="009D7175">
        <w:rPr>
          <w:rFonts w:asciiTheme="minorHAnsi" w:hAnsiTheme="minorHAnsi" w:cs="Segoe UI"/>
          <w:color w:val="363636"/>
          <w:sz w:val="20"/>
          <w:szCs w:val="21"/>
        </w:rPr>
        <w:t>s.  Solver Results will report either 1) “Solver found a solution”, or 2)</w:t>
      </w:r>
      <w:r w:rsidR="003D3EF6">
        <w:rPr>
          <w:rFonts w:asciiTheme="minorHAnsi" w:hAnsiTheme="minorHAnsi" w:cs="Segoe UI"/>
          <w:color w:val="363636"/>
          <w:sz w:val="20"/>
          <w:szCs w:val="21"/>
        </w:rPr>
        <w:t xml:space="preserve"> “Solver could not find a feasible solution.”</w:t>
      </w:r>
      <w:r w:rsidR="009D7175">
        <w:rPr>
          <w:rFonts w:asciiTheme="minorHAnsi" w:hAnsiTheme="minorHAnsi" w:cs="Segoe UI"/>
          <w:color w:val="363636"/>
          <w:sz w:val="20"/>
          <w:szCs w:val="21"/>
        </w:rPr>
        <w:t xml:space="preserve"> </w:t>
      </w:r>
    </w:p>
    <w:p w:rsidR="00A13F5D" w:rsidRDefault="00CD1F40" w:rsidP="00CD1F40">
      <w:pPr>
        <w:pStyle w:val="NormalWeb"/>
        <w:shd w:val="clear" w:color="auto" w:fill="FFFFFF"/>
        <w:spacing w:line="309" w:lineRule="atLeast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noProof/>
        </w:rPr>
        <w:drawing>
          <wp:inline distT="0" distB="0" distL="0" distR="0" wp14:anchorId="26DE3D71" wp14:editId="271E2A11">
            <wp:extent cx="4096512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75" w:rsidRDefault="009D7175" w:rsidP="003D3EF6">
      <w:pPr>
        <w:pStyle w:val="NormalWeb"/>
        <w:shd w:val="clear" w:color="auto" w:fill="FFFFFF"/>
        <w:spacing w:line="309" w:lineRule="atLeast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noProof/>
        </w:rPr>
        <w:drawing>
          <wp:inline distT="0" distB="0" distL="0" distR="0" wp14:anchorId="30C03ABD" wp14:editId="0B4E7DD8">
            <wp:extent cx="4142232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75" w:rsidRDefault="009D7175" w:rsidP="000B3AB7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85541D" w:rsidRDefault="0085541D" w:rsidP="00971486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971486" w:rsidRPr="001A399D" w:rsidRDefault="00E90393" w:rsidP="00971486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</w:tabs>
        <w:spacing w:line="309" w:lineRule="atLeast"/>
        <w:ind w:left="360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lastRenderedPageBreak/>
        <w:t>View Report</w:t>
      </w:r>
      <w:r w:rsidR="00971486" w:rsidRPr="0085541D">
        <w:rPr>
          <w:rFonts w:asciiTheme="minorHAnsi" w:hAnsiTheme="minorHAnsi" w:cs="Segoe UI"/>
          <w:b/>
          <w:color w:val="363636"/>
          <w:sz w:val="20"/>
          <w:szCs w:val="21"/>
        </w:rPr>
        <w:t>.</w:t>
      </w:r>
      <w:r w:rsidR="00971486" w:rsidRPr="0085541D">
        <w:rPr>
          <w:rFonts w:asciiTheme="minorHAnsi" w:hAnsiTheme="minorHAnsi" w:cs="Segoe UI"/>
          <w:color w:val="363636"/>
          <w:sz w:val="20"/>
          <w:szCs w:val="21"/>
        </w:rPr>
        <w:t xml:space="preserve">  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If a feasible solution </w:t>
      </w:r>
      <w:r w:rsidR="002D0979">
        <w:rPr>
          <w:rFonts w:asciiTheme="minorHAnsi" w:hAnsiTheme="minorHAnsi" w:cs="Segoe UI"/>
          <w:color w:val="363636"/>
          <w:sz w:val="20"/>
          <w:szCs w:val="21"/>
        </w:rPr>
        <w:t>is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 found, the report can be viewed either by 1) clicking on </w:t>
      </w:r>
      <w:r w:rsidR="0050182F" w:rsidRPr="00674CB1">
        <w:rPr>
          <w:rFonts w:asciiTheme="minorHAnsi" w:hAnsiTheme="minorHAnsi" w:cs="Segoe UI"/>
          <w:b/>
          <w:color w:val="363636"/>
          <w:sz w:val="20"/>
          <w:szCs w:val="21"/>
        </w:rPr>
        <w:t>Go to Report</w:t>
      </w:r>
      <w:r w:rsidR="0050182F">
        <w:rPr>
          <w:rFonts w:asciiTheme="minorHAnsi" w:hAnsiTheme="minorHAnsi" w:cs="Segoe UI"/>
          <w:color w:val="363636"/>
          <w:sz w:val="20"/>
          <w:szCs w:val="21"/>
        </w:rPr>
        <w:t xml:space="preserve"> in the Listing of salts section (Figure 2) or, 2) clicking on the </w:t>
      </w:r>
      <w:r w:rsidR="0050182F" w:rsidRPr="00674CB1">
        <w:rPr>
          <w:rFonts w:asciiTheme="minorHAnsi" w:hAnsiTheme="minorHAnsi" w:cs="Segoe UI"/>
          <w:b/>
          <w:color w:val="363636"/>
          <w:sz w:val="20"/>
          <w:szCs w:val="21"/>
        </w:rPr>
        <w:t>Report tab</w:t>
      </w:r>
      <w:r w:rsidR="0050182F">
        <w:rPr>
          <w:rFonts w:asciiTheme="minorHAnsi" w:hAnsiTheme="minorHAnsi" w:cs="Segoe UI"/>
          <w:color w:val="363636"/>
          <w:sz w:val="20"/>
          <w:szCs w:val="21"/>
        </w:rPr>
        <w:t>.</w:t>
      </w:r>
      <w:r w:rsidR="00AF7C7F">
        <w:rPr>
          <w:rFonts w:asciiTheme="minorHAnsi" w:hAnsiTheme="minorHAnsi" w:cs="Segoe UI"/>
          <w:color w:val="363636"/>
          <w:sz w:val="20"/>
          <w:szCs w:val="21"/>
        </w:rPr>
        <w:t xml:space="preserve">  The Report </w:t>
      </w:r>
      <w:r w:rsidR="002D0979">
        <w:rPr>
          <w:rFonts w:asciiTheme="minorHAnsi" w:hAnsiTheme="minorHAnsi" w:cs="Segoe UI"/>
          <w:color w:val="363636"/>
          <w:sz w:val="20"/>
          <w:szCs w:val="21"/>
        </w:rPr>
        <w:t xml:space="preserve">(Figure 5) </w:t>
      </w:r>
      <w:r w:rsidR="00AF7C7F">
        <w:rPr>
          <w:rFonts w:asciiTheme="minorHAnsi" w:hAnsiTheme="minorHAnsi" w:cs="Segoe UI"/>
          <w:color w:val="363636"/>
          <w:sz w:val="20"/>
          <w:szCs w:val="21"/>
        </w:rPr>
        <w:t>lists the amounts</w:t>
      </w:r>
      <w:r w:rsidR="00674CB1">
        <w:rPr>
          <w:rFonts w:asciiTheme="minorHAnsi" w:hAnsiTheme="minorHAnsi" w:cs="Segoe UI"/>
          <w:color w:val="363636"/>
          <w:sz w:val="20"/>
          <w:szCs w:val="21"/>
        </w:rPr>
        <w:t>, mg or g,</w:t>
      </w:r>
      <w:r w:rsidR="00AF7C7F">
        <w:rPr>
          <w:rFonts w:asciiTheme="minorHAnsi" w:hAnsiTheme="minorHAnsi" w:cs="Segoe UI"/>
          <w:color w:val="363636"/>
          <w:sz w:val="20"/>
          <w:szCs w:val="21"/>
        </w:rPr>
        <w:t xml:space="preserve"> of each salt required to make the ionic solution specified </w:t>
      </w:r>
      <w:r w:rsidR="00A4100B">
        <w:rPr>
          <w:rFonts w:asciiTheme="minorHAnsi" w:hAnsiTheme="minorHAnsi" w:cs="Segoe UI"/>
          <w:color w:val="363636"/>
          <w:sz w:val="20"/>
          <w:szCs w:val="21"/>
        </w:rPr>
        <w:t xml:space="preserve">previously </w:t>
      </w:r>
      <w:r w:rsidR="002D0979">
        <w:rPr>
          <w:rFonts w:asciiTheme="minorHAnsi" w:hAnsiTheme="minorHAnsi" w:cs="Segoe UI"/>
          <w:color w:val="363636"/>
          <w:sz w:val="20"/>
          <w:szCs w:val="21"/>
        </w:rPr>
        <w:t>in</w:t>
      </w:r>
      <w:r w:rsidR="00A4100B">
        <w:rPr>
          <w:rFonts w:asciiTheme="minorHAnsi" w:hAnsiTheme="minorHAnsi" w:cs="Segoe UI"/>
          <w:color w:val="363636"/>
          <w:sz w:val="20"/>
          <w:szCs w:val="21"/>
        </w:rPr>
        <w:t xml:space="preserve"> the Ion level entry section (Figure 1)</w:t>
      </w:r>
      <w:r w:rsidR="00AF7C7F">
        <w:rPr>
          <w:rFonts w:asciiTheme="minorHAnsi" w:hAnsiTheme="minorHAnsi" w:cs="Segoe UI"/>
          <w:color w:val="363636"/>
          <w:sz w:val="20"/>
          <w:szCs w:val="21"/>
        </w:rPr>
        <w:t>.</w:t>
      </w:r>
    </w:p>
    <w:p w:rsidR="001A399D" w:rsidRPr="00C87C0F" w:rsidRDefault="00C87C0F" w:rsidP="00616A7A">
      <w:pPr>
        <w:pStyle w:val="NormalWeb"/>
        <w:shd w:val="clear" w:color="auto" w:fill="FFFFFF"/>
        <w:spacing w:line="309" w:lineRule="atLeast"/>
        <w:jc w:val="center"/>
        <w:rPr>
          <w:rFonts w:asciiTheme="minorHAnsi" w:hAnsiTheme="minorHAnsi" w:cs="Segoe UI"/>
          <w:color w:val="363636"/>
          <w:sz w:val="20"/>
          <w:szCs w:val="21"/>
        </w:rPr>
      </w:pPr>
      <w:r>
        <w:rPr>
          <w:rFonts w:asciiTheme="minorHAnsi" w:hAnsiTheme="minorHAnsi" w:cs="Segoe UI"/>
          <w:b/>
          <w:color w:val="363636"/>
          <w:sz w:val="20"/>
          <w:szCs w:val="21"/>
        </w:rPr>
        <w:t xml:space="preserve">Figure 5.  </w:t>
      </w:r>
      <w:r w:rsidRPr="00C87C0F">
        <w:rPr>
          <w:rFonts w:asciiTheme="minorHAnsi" w:hAnsiTheme="minorHAnsi" w:cs="Segoe UI"/>
          <w:color w:val="363636"/>
          <w:sz w:val="20"/>
          <w:szCs w:val="21"/>
        </w:rPr>
        <w:t>Report</w:t>
      </w:r>
      <w:r>
        <w:rPr>
          <w:rFonts w:asciiTheme="minorHAnsi" w:hAnsiTheme="minorHAnsi" w:cs="Segoe UI"/>
          <w:color w:val="363636"/>
          <w:sz w:val="20"/>
          <w:szCs w:val="21"/>
        </w:rPr>
        <w:t xml:space="preserve"> of salts used in the recipe to achieve the ionic solution specified.</w:t>
      </w:r>
    </w:p>
    <w:p w:rsidR="001A399D" w:rsidRDefault="00674CB1" w:rsidP="00C87C0F">
      <w:pPr>
        <w:pStyle w:val="NormalWeb"/>
        <w:shd w:val="clear" w:color="auto" w:fill="FFFFFF"/>
        <w:spacing w:line="309" w:lineRule="atLeast"/>
        <w:jc w:val="center"/>
        <w:rPr>
          <w:rFonts w:asciiTheme="minorHAnsi" w:hAnsiTheme="minorHAnsi" w:cs="Segoe UI"/>
          <w:b/>
          <w:color w:val="363636"/>
          <w:sz w:val="20"/>
          <w:szCs w:val="21"/>
        </w:rPr>
      </w:pPr>
      <w:r>
        <w:rPr>
          <w:noProof/>
        </w:rPr>
        <w:drawing>
          <wp:inline distT="0" distB="0" distL="0" distR="0" wp14:anchorId="764E4CD9" wp14:editId="2DC9D646">
            <wp:extent cx="3648075" cy="39909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9909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399D" w:rsidRDefault="001A399D" w:rsidP="001A399D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1A399D" w:rsidRDefault="001A399D" w:rsidP="001A399D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1A399D" w:rsidRPr="0085541D" w:rsidRDefault="001A399D" w:rsidP="001A399D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971486" w:rsidRDefault="00971486" w:rsidP="00971486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971486" w:rsidRDefault="00971486" w:rsidP="00971486">
      <w:pPr>
        <w:pStyle w:val="NormalWeb"/>
        <w:shd w:val="clear" w:color="auto" w:fill="FFFFFF"/>
        <w:spacing w:line="309" w:lineRule="atLeast"/>
        <w:rPr>
          <w:rFonts w:asciiTheme="minorHAnsi" w:hAnsiTheme="minorHAnsi" w:cs="Segoe UI"/>
          <w:b/>
          <w:color w:val="363636"/>
          <w:sz w:val="20"/>
          <w:szCs w:val="21"/>
        </w:rPr>
      </w:pPr>
    </w:p>
    <w:p w:rsidR="008175FA" w:rsidRDefault="008175FA">
      <w:pPr>
        <w:rPr>
          <w:rFonts w:asciiTheme="majorHAnsi" w:eastAsiaTheme="majorEastAsia" w:hAnsiTheme="majorHAnsi" w:cstheme="majorBidi"/>
          <w:color w:val="B01513" w:themeColor="accent1"/>
          <w:sz w:val="28"/>
          <w:szCs w:val="28"/>
        </w:rPr>
      </w:pPr>
      <w:r>
        <w:br w:type="page"/>
      </w:r>
    </w:p>
    <w:p w:rsidR="003E2FC2" w:rsidRDefault="00055F91" w:rsidP="003E2FC2">
      <w:pPr>
        <w:pStyle w:val="Heading1"/>
        <w:spacing w:before="100" w:beforeAutospacing="1" w:after="100" w:afterAutospacing="1"/>
      </w:pPr>
      <w:bookmarkStart w:id="2" w:name="_Toc419713168"/>
      <w:r>
        <w:lastRenderedPageBreak/>
        <w:t>A</w:t>
      </w:r>
      <w:r w:rsidR="003E2FC2">
        <w:t>n Infeasible Solution</w:t>
      </w:r>
      <w:bookmarkEnd w:id="2"/>
    </w:p>
    <w:p w:rsidR="00E51DA7" w:rsidRDefault="00EC7AD1" w:rsidP="00950A19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An infeasible solution occurs when there are no possible combinations of salts that will satisfy the ion levels specified in the Ion level entry section</w:t>
      </w:r>
      <w:r w:rsidR="00233905" w:rsidRPr="00271EE4">
        <w:rPr>
          <w:sz w:val="20"/>
        </w:rPr>
        <w:t>.</w:t>
      </w:r>
      <w:r w:rsidR="009C6BA9">
        <w:rPr>
          <w:sz w:val="20"/>
        </w:rPr>
        <w:t xml:space="preserve">  Therefore, it is necessary to examine the specified ions, their levels, and compare to the available salts</w:t>
      </w:r>
      <w:r w:rsidR="00EE3CF7">
        <w:rPr>
          <w:sz w:val="20"/>
        </w:rPr>
        <w:t>.</w:t>
      </w:r>
      <w:r w:rsidR="00C306C9">
        <w:rPr>
          <w:sz w:val="20"/>
        </w:rPr>
        <w:t xml:space="preserve">  To illustrate how this can occur, consider </w:t>
      </w:r>
      <w:r w:rsidR="00341FDE">
        <w:rPr>
          <w:sz w:val="20"/>
        </w:rPr>
        <w:t>a</w:t>
      </w:r>
      <w:r w:rsidR="00C306C9">
        <w:rPr>
          <w:sz w:val="20"/>
        </w:rPr>
        <w:t xml:space="preserve"> desired</w:t>
      </w:r>
      <w:r w:rsidR="00341FDE">
        <w:rPr>
          <w:sz w:val="20"/>
        </w:rPr>
        <w:t xml:space="preserve"> ionic solution of 10 </w:t>
      </w:r>
      <w:proofErr w:type="spellStart"/>
      <w:r w:rsidR="00341FDE">
        <w:rPr>
          <w:sz w:val="20"/>
        </w:rPr>
        <w:t>mM</w:t>
      </w:r>
      <w:proofErr w:type="spellEnd"/>
      <w:r w:rsidR="00341FDE">
        <w:rPr>
          <w:sz w:val="20"/>
        </w:rPr>
        <w:t xml:space="preserve"> K</w:t>
      </w:r>
      <w:r w:rsidR="00341FDE" w:rsidRPr="008175FA">
        <w:rPr>
          <w:sz w:val="20"/>
          <w:vertAlign w:val="superscript"/>
        </w:rPr>
        <w:t>+</w:t>
      </w:r>
      <w:r w:rsidR="00341FDE">
        <w:rPr>
          <w:sz w:val="20"/>
        </w:rPr>
        <w:t xml:space="preserve"> and 20 </w:t>
      </w:r>
      <w:proofErr w:type="spellStart"/>
      <w:r w:rsidR="00341FDE">
        <w:rPr>
          <w:sz w:val="20"/>
        </w:rPr>
        <w:t>mM</w:t>
      </w:r>
      <w:proofErr w:type="spellEnd"/>
      <w:r w:rsidR="00341FDE">
        <w:rPr>
          <w:sz w:val="20"/>
        </w:rPr>
        <w:t xml:space="preserve"> I</w:t>
      </w:r>
      <w:r w:rsidR="00341FDE" w:rsidRPr="008175FA">
        <w:rPr>
          <w:sz w:val="20"/>
          <w:vertAlign w:val="superscript"/>
        </w:rPr>
        <w:t>-</w:t>
      </w:r>
      <w:r w:rsidR="00341FDE">
        <w:rPr>
          <w:sz w:val="20"/>
        </w:rPr>
        <w:t xml:space="preserve"> </w:t>
      </w:r>
      <w:r w:rsidR="00E51DA7">
        <w:rPr>
          <w:sz w:val="20"/>
        </w:rPr>
        <w:t>(Figure 6).</w:t>
      </w:r>
    </w:p>
    <w:p w:rsidR="00E51DA7" w:rsidRDefault="00E51DA7" w:rsidP="00616A7A">
      <w:pPr>
        <w:spacing w:before="100" w:beforeAutospacing="1" w:after="100" w:afterAutospacing="1" w:line="240" w:lineRule="auto"/>
        <w:jc w:val="center"/>
        <w:rPr>
          <w:sz w:val="20"/>
        </w:rPr>
      </w:pPr>
      <w:r w:rsidRPr="008175FA">
        <w:rPr>
          <w:b/>
          <w:sz w:val="20"/>
        </w:rPr>
        <w:t>Figure 6.</w:t>
      </w:r>
      <w:r>
        <w:rPr>
          <w:sz w:val="20"/>
        </w:rPr>
        <w:t xml:space="preserve">  Ionic solution composed of 10 </w:t>
      </w:r>
      <w:proofErr w:type="spellStart"/>
      <w:r>
        <w:rPr>
          <w:sz w:val="20"/>
        </w:rPr>
        <w:t>mM</w:t>
      </w:r>
      <w:proofErr w:type="spellEnd"/>
      <w:r>
        <w:rPr>
          <w:sz w:val="20"/>
        </w:rPr>
        <w:t xml:space="preserve"> K</w:t>
      </w:r>
      <w:r w:rsidRPr="008175FA">
        <w:rPr>
          <w:sz w:val="20"/>
          <w:vertAlign w:val="superscript"/>
        </w:rPr>
        <w:t>+</w:t>
      </w:r>
      <w:r>
        <w:rPr>
          <w:sz w:val="20"/>
        </w:rPr>
        <w:t xml:space="preserve"> and 20 </w:t>
      </w:r>
      <w:proofErr w:type="spellStart"/>
      <w:r>
        <w:rPr>
          <w:sz w:val="20"/>
        </w:rPr>
        <w:t>mM</w:t>
      </w:r>
      <w:proofErr w:type="spellEnd"/>
      <w:r>
        <w:rPr>
          <w:sz w:val="20"/>
        </w:rPr>
        <w:t xml:space="preserve"> I</w:t>
      </w:r>
      <w:r w:rsidRPr="008175FA">
        <w:rPr>
          <w:sz w:val="20"/>
          <w:vertAlign w:val="superscript"/>
        </w:rPr>
        <w:t>-</w:t>
      </w:r>
      <w:r w:rsidR="00281FAD">
        <w:rPr>
          <w:sz w:val="20"/>
        </w:rPr>
        <w:t>.</w:t>
      </w:r>
    </w:p>
    <w:p w:rsidR="00E51DA7" w:rsidRDefault="00E51DA7" w:rsidP="00616A7A">
      <w:pPr>
        <w:spacing w:before="100" w:beforeAutospacing="1" w:after="100" w:afterAutospacing="1" w:line="240" w:lineRule="auto"/>
        <w:jc w:val="center"/>
        <w:rPr>
          <w:sz w:val="20"/>
        </w:rPr>
      </w:pPr>
      <w:r w:rsidRPr="00E51DA7">
        <w:rPr>
          <w:noProof/>
          <w:lang w:eastAsia="en-US"/>
        </w:rPr>
        <w:drawing>
          <wp:inline distT="0" distB="0" distL="0" distR="0" wp14:anchorId="64B3E490" wp14:editId="2CFFED9C">
            <wp:extent cx="2676525" cy="59245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24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37B" w:rsidRDefault="00E0037B">
      <w:pPr>
        <w:rPr>
          <w:sz w:val="20"/>
        </w:rPr>
      </w:pPr>
      <w:r>
        <w:rPr>
          <w:sz w:val="20"/>
        </w:rPr>
        <w:br w:type="page"/>
      </w:r>
    </w:p>
    <w:p w:rsidR="00233905" w:rsidRDefault="00286A22" w:rsidP="00233905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lastRenderedPageBreak/>
        <w:t>Running Solver on this ionic composition will result in “</w:t>
      </w:r>
      <w:r w:rsidRPr="00286A22">
        <w:rPr>
          <w:b/>
          <w:sz w:val="20"/>
        </w:rPr>
        <w:t>Solver could not find a feasible solution</w:t>
      </w:r>
      <w:r>
        <w:rPr>
          <w:b/>
          <w:sz w:val="20"/>
        </w:rPr>
        <w:t>”</w:t>
      </w:r>
      <w:r w:rsidR="00E309F8">
        <w:rPr>
          <w:sz w:val="20"/>
        </w:rPr>
        <w:t xml:space="preserve"> (Figure 4, bottom image).</w:t>
      </w:r>
      <w:r w:rsidR="00495247">
        <w:rPr>
          <w:sz w:val="20"/>
        </w:rPr>
        <w:t xml:space="preserve">  Examine the salts potentially available for each of the specified ions.  For K</w:t>
      </w:r>
      <w:r w:rsidR="00495247" w:rsidRPr="006110EF">
        <w:rPr>
          <w:sz w:val="20"/>
          <w:vertAlign w:val="superscript"/>
        </w:rPr>
        <w:t>+</w:t>
      </w:r>
      <w:r w:rsidR="00495247">
        <w:rPr>
          <w:sz w:val="20"/>
        </w:rPr>
        <w:t>, there are quite a few salts that can contribute K</w:t>
      </w:r>
      <w:r w:rsidR="00495247" w:rsidRPr="006110EF">
        <w:rPr>
          <w:sz w:val="20"/>
          <w:vertAlign w:val="superscript"/>
        </w:rPr>
        <w:t>+</w:t>
      </w:r>
      <w:r w:rsidR="00495247">
        <w:rPr>
          <w:sz w:val="20"/>
        </w:rPr>
        <w:t>.</w:t>
      </w:r>
      <w:r w:rsidR="006110EF">
        <w:rPr>
          <w:sz w:val="20"/>
        </w:rPr>
        <w:t xml:space="preserve">  However, for I</w:t>
      </w:r>
      <w:r w:rsidR="006110EF" w:rsidRPr="006110EF">
        <w:rPr>
          <w:sz w:val="20"/>
          <w:vertAlign w:val="superscript"/>
        </w:rPr>
        <w:t>-</w:t>
      </w:r>
      <w:r w:rsidR="006110EF">
        <w:rPr>
          <w:sz w:val="20"/>
        </w:rPr>
        <w:t xml:space="preserve"> there is only one, KI.</w:t>
      </w:r>
      <w:r w:rsidR="00437145">
        <w:rPr>
          <w:sz w:val="20"/>
        </w:rPr>
        <w:t xml:space="preserve">  Solver </w:t>
      </w:r>
      <w:r w:rsidR="00875D27">
        <w:rPr>
          <w:sz w:val="20"/>
        </w:rPr>
        <w:t xml:space="preserve">was able to satisfy the 10 </w:t>
      </w:r>
      <w:proofErr w:type="spellStart"/>
      <w:r w:rsidR="00875D27">
        <w:rPr>
          <w:sz w:val="20"/>
        </w:rPr>
        <w:t>mM</w:t>
      </w:r>
      <w:proofErr w:type="spellEnd"/>
      <w:r w:rsidR="00875D27">
        <w:rPr>
          <w:sz w:val="20"/>
        </w:rPr>
        <w:t xml:space="preserve"> K</w:t>
      </w:r>
      <w:r w:rsidR="00875D27" w:rsidRPr="001844F8">
        <w:rPr>
          <w:sz w:val="20"/>
          <w:vertAlign w:val="superscript"/>
        </w:rPr>
        <w:t>+</w:t>
      </w:r>
      <w:r w:rsidR="00875D27">
        <w:rPr>
          <w:sz w:val="20"/>
        </w:rPr>
        <w:t xml:space="preserve"> and 10 </w:t>
      </w:r>
      <w:proofErr w:type="spellStart"/>
      <w:r w:rsidR="00875D27">
        <w:rPr>
          <w:sz w:val="20"/>
        </w:rPr>
        <w:t>mM</w:t>
      </w:r>
      <w:proofErr w:type="spellEnd"/>
      <w:r w:rsidR="00875D27">
        <w:rPr>
          <w:sz w:val="20"/>
        </w:rPr>
        <w:t xml:space="preserve"> o</w:t>
      </w:r>
      <w:r w:rsidR="009708B2">
        <w:rPr>
          <w:sz w:val="20"/>
        </w:rPr>
        <w:t>f</w:t>
      </w:r>
      <w:r w:rsidR="00875D27">
        <w:rPr>
          <w:sz w:val="20"/>
        </w:rPr>
        <w:t xml:space="preserve"> the 20 </w:t>
      </w:r>
      <w:proofErr w:type="spellStart"/>
      <w:r w:rsidR="00875D27">
        <w:rPr>
          <w:sz w:val="20"/>
        </w:rPr>
        <w:t>mM</w:t>
      </w:r>
      <w:proofErr w:type="spellEnd"/>
      <w:r w:rsidR="00875D27">
        <w:rPr>
          <w:sz w:val="20"/>
        </w:rPr>
        <w:t xml:space="preserve"> I</w:t>
      </w:r>
      <w:r w:rsidR="00875D27" w:rsidRPr="001844F8">
        <w:rPr>
          <w:sz w:val="20"/>
          <w:vertAlign w:val="superscript"/>
        </w:rPr>
        <w:t>-</w:t>
      </w:r>
      <w:r w:rsidR="001844F8">
        <w:rPr>
          <w:sz w:val="20"/>
        </w:rPr>
        <w:t xml:space="preserve">, but this left a remainder of 10 </w:t>
      </w:r>
      <w:proofErr w:type="spellStart"/>
      <w:r w:rsidR="001844F8">
        <w:rPr>
          <w:sz w:val="20"/>
        </w:rPr>
        <w:t>mM</w:t>
      </w:r>
      <w:proofErr w:type="spellEnd"/>
      <w:r w:rsidR="001844F8">
        <w:rPr>
          <w:sz w:val="20"/>
        </w:rPr>
        <w:t xml:space="preserve"> I</w:t>
      </w:r>
      <w:r w:rsidR="001844F8" w:rsidRPr="001844F8">
        <w:rPr>
          <w:sz w:val="20"/>
          <w:vertAlign w:val="superscript"/>
        </w:rPr>
        <w:t>-</w:t>
      </w:r>
      <w:r w:rsidR="001844F8">
        <w:rPr>
          <w:sz w:val="20"/>
        </w:rPr>
        <w:t xml:space="preserve"> </w:t>
      </w:r>
      <w:r w:rsidR="000A26F2">
        <w:rPr>
          <w:sz w:val="20"/>
        </w:rPr>
        <w:t xml:space="preserve">and there were no other sources and, thus, no feasible solution.  Now consider what would have occurred if the amounts were reversed, 20 </w:t>
      </w:r>
      <w:proofErr w:type="spellStart"/>
      <w:r w:rsidR="000A26F2">
        <w:rPr>
          <w:sz w:val="20"/>
        </w:rPr>
        <w:t>mM</w:t>
      </w:r>
      <w:proofErr w:type="spellEnd"/>
      <w:r w:rsidR="000A26F2">
        <w:rPr>
          <w:sz w:val="20"/>
        </w:rPr>
        <w:t xml:space="preserve"> K</w:t>
      </w:r>
      <w:r w:rsidR="000A26F2" w:rsidRPr="000A26F2">
        <w:rPr>
          <w:sz w:val="20"/>
          <w:vertAlign w:val="superscript"/>
        </w:rPr>
        <w:t>+</w:t>
      </w:r>
      <w:r w:rsidR="000A26F2">
        <w:rPr>
          <w:sz w:val="20"/>
        </w:rPr>
        <w:t xml:space="preserve"> and 10 </w:t>
      </w:r>
      <w:proofErr w:type="spellStart"/>
      <w:r w:rsidR="000A26F2">
        <w:rPr>
          <w:sz w:val="20"/>
        </w:rPr>
        <w:t>mM</w:t>
      </w:r>
      <w:proofErr w:type="spellEnd"/>
      <w:r w:rsidR="000A26F2">
        <w:rPr>
          <w:sz w:val="20"/>
        </w:rPr>
        <w:t xml:space="preserve"> I</w:t>
      </w:r>
      <w:r w:rsidR="000A26F2" w:rsidRPr="000A26F2">
        <w:rPr>
          <w:sz w:val="20"/>
          <w:vertAlign w:val="superscript"/>
        </w:rPr>
        <w:t>-</w:t>
      </w:r>
      <w:r w:rsidR="004401D9">
        <w:rPr>
          <w:sz w:val="20"/>
        </w:rPr>
        <w:t xml:space="preserve"> (Figure 7).</w:t>
      </w:r>
      <w:r w:rsidR="00233905">
        <w:rPr>
          <w:sz w:val="20"/>
        </w:rPr>
        <w:t xml:space="preserve">  Solver satisfies the 10 </w:t>
      </w:r>
      <w:proofErr w:type="spellStart"/>
      <w:r w:rsidR="00233905">
        <w:rPr>
          <w:sz w:val="20"/>
        </w:rPr>
        <w:t>mM</w:t>
      </w:r>
      <w:proofErr w:type="spellEnd"/>
      <w:r w:rsidR="00233905">
        <w:rPr>
          <w:sz w:val="20"/>
        </w:rPr>
        <w:t xml:space="preserve"> I</w:t>
      </w:r>
      <w:r w:rsidR="00233905" w:rsidRPr="007B168C">
        <w:rPr>
          <w:sz w:val="20"/>
          <w:vertAlign w:val="superscript"/>
        </w:rPr>
        <w:t>-</w:t>
      </w:r>
      <w:r w:rsidR="00233905">
        <w:rPr>
          <w:sz w:val="20"/>
        </w:rPr>
        <w:t xml:space="preserve"> and 10 </w:t>
      </w:r>
      <w:proofErr w:type="spellStart"/>
      <w:r w:rsidR="00233905">
        <w:rPr>
          <w:sz w:val="20"/>
        </w:rPr>
        <w:t>mM</w:t>
      </w:r>
      <w:proofErr w:type="spellEnd"/>
      <w:r w:rsidR="00233905">
        <w:rPr>
          <w:sz w:val="20"/>
        </w:rPr>
        <w:t xml:space="preserve"> of the K</w:t>
      </w:r>
      <w:r w:rsidR="00233905" w:rsidRPr="001B715A">
        <w:rPr>
          <w:sz w:val="20"/>
          <w:vertAlign w:val="superscript"/>
        </w:rPr>
        <w:t>+</w:t>
      </w:r>
      <w:r w:rsidR="00C122FB">
        <w:rPr>
          <w:sz w:val="20"/>
        </w:rPr>
        <w:t xml:space="preserve"> using KI.</w:t>
      </w:r>
      <w:r w:rsidR="00233905">
        <w:rPr>
          <w:sz w:val="20"/>
        </w:rPr>
        <w:t xml:space="preserve">  The additional 10 </w:t>
      </w:r>
      <w:proofErr w:type="spellStart"/>
      <w:r w:rsidR="00233905">
        <w:rPr>
          <w:sz w:val="20"/>
        </w:rPr>
        <w:t>mM</w:t>
      </w:r>
      <w:proofErr w:type="spellEnd"/>
      <w:r w:rsidR="00233905">
        <w:rPr>
          <w:sz w:val="20"/>
        </w:rPr>
        <w:t xml:space="preserve"> K</w:t>
      </w:r>
      <w:r w:rsidR="00233905" w:rsidRPr="001B715A">
        <w:rPr>
          <w:sz w:val="20"/>
          <w:vertAlign w:val="superscript"/>
        </w:rPr>
        <w:t>+</w:t>
      </w:r>
      <w:r w:rsidR="00233905">
        <w:rPr>
          <w:sz w:val="20"/>
        </w:rPr>
        <w:t xml:space="preserve"> must then come from KOH.  The final solution is 10 </w:t>
      </w:r>
      <w:proofErr w:type="spellStart"/>
      <w:r w:rsidR="00233905">
        <w:rPr>
          <w:sz w:val="20"/>
        </w:rPr>
        <w:t>mM</w:t>
      </w:r>
      <w:proofErr w:type="spellEnd"/>
      <w:r w:rsidR="00233905">
        <w:rPr>
          <w:sz w:val="20"/>
        </w:rPr>
        <w:t xml:space="preserve"> KI and 10 </w:t>
      </w:r>
      <w:proofErr w:type="spellStart"/>
      <w:r w:rsidR="00233905">
        <w:rPr>
          <w:sz w:val="20"/>
        </w:rPr>
        <w:t>mM</w:t>
      </w:r>
      <w:proofErr w:type="spellEnd"/>
      <w:r w:rsidR="00233905">
        <w:rPr>
          <w:sz w:val="20"/>
        </w:rPr>
        <w:t xml:space="preserve"> KOH.</w:t>
      </w:r>
    </w:p>
    <w:p w:rsidR="005B49D4" w:rsidRDefault="005B49D4" w:rsidP="00E0037B">
      <w:pPr>
        <w:spacing w:before="100" w:beforeAutospacing="1" w:after="100" w:afterAutospacing="1" w:line="240" w:lineRule="auto"/>
        <w:jc w:val="center"/>
        <w:rPr>
          <w:sz w:val="20"/>
        </w:rPr>
      </w:pPr>
      <w:r w:rsidRPr="008175FA">
        <w:rPr>
          <w:b/>
          <w:sz w:val="20"/>
        </w:rPr>
        <w:t xml:space="preserve">Figure </w:t>
      </w:r>
      <w:r>
        <w:rPr>
          <w:b/>
          <w:sz w:val="20"/>
        </w:rPr>
        <w:t>7</w:t>
      </w:r>
      <w:r w:rsidRPr="008175FA">
        <w:rPr>
          <w:b/>
          <w:sz w:val="20"/>
        </w:rPr>
        <w:t>.</w:t>
      </w:r>
      <w:r>
        <w:rPr>
          <w:sz w:val="20"/>
        </w:rPr>
        <w:t xml:space="preserve">  Ionic solution composed of 20 </w:t>
      </w:r>
      <w:proofErr w:type="spellStart"/>
      <w:r>
        <w:rPr>
          <w:sz w:val="20"/>
        </w:rPr>
        <w:t>mM</w:t>
      </w:r>
      <w:proofErr w:type="spellEnd"/>
      <w:r>
        <w:rPr>
          <w:sz w:val="20"/>
        </w:rPr>
        <w:t xml:space="preserve"> K</w:t>
      </w:r>
      <w:r w:rsidRPr="008175FA">
        <w:rPr>
          <w:sz w:val="20"/>
          <w:vertAlign w:val="superscript"/>
        </w:rPr>
        <w:t>+</w:t>
      </w:r>
      <w:r>
        <w:rPr>
          <w:sz w:val="20"/>
        </w:rPr>
        <w:t xml:space="preserve"> and 10 </w:t>
      </w:r>
      <w:proofErr w:type="spellStart"/>
      <w:r>
        <w:rPr>
          <w:sz w:val="20"/>
        </w:rPr>
        <w:t>mM</w:t>
      </w:r>
      <w:proofErr w:type="spellEnd"/>
      <w:r>
        <w:rPr>
          <w:sz w:val="20"/>
        </w:rPr>
        <w:t xml:space="preserve"> I</w:t>
      </w:r>
      <w:r w:rsidRPr="008175FA">
        <w:rPr>
          <w:sz w:val="20"/>
          <w:vertAlign w:val="superscript"/>
        </w:rPr>
        <w:t>-</w:t>
      </w:r>
      <w:r>
        <w:rPr>
          <w:sz w:val="20"/>
        </w:rPr>
        <w:t>.</w:t>
      </w:r>
    </w:p>
    <w:p w:rsidR="005B49D4" w:rsidRDefault="005B49D4" w:rsidP="00E0037B">
      <w:pPr>
        <w:spacing w:before="100" w:beforeAutospacing="1" w:after="100" w:afterAutospacing="1" w:line="240" w:lineRule="auto"/>
        <w:jc w:val="center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3F8DCFC8" wp14:editId="52AC758A">
            <wp:extent cx="2676525" cy="59436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436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3B2D" w:rsidRDefault="00055F91" w:rsidP="00B73B2D">
      <w:pPr>
        <w:pStyle w:val="Heading1"/>
        <w:spacing w:before="100" w:beforeAutospacing="1" w:after="100" w:afterAutospacing="1"/>
      </w:pPr>
      <w:bookmarkStart w:id="3" w:name="_Toc419713169"/>
      <w:r>
        <w:lastRenderedPageBreak/>
        <w:t>A</w:t>
      </w:r>
      <w:r w:rsidR="00B73B2D">
        <w:t>n Undesirable Solution</w:t>
      </w:r>
      <w:bookmarkEnd w:id="3"/>
    </w:p>
    <w:p w:rsidR="00E51DA7" w:rsidRDefault="00B73B2D" w:rsidP="00950A19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Infeasible solution</w:t>
      </w:r>
      <w:r w:rsidR="009708B2">
        <w:rPr>
          <w:sz w:val="20"/>
        </w:rPr>
        <w:t>s</w:t>
      </w:r>
      <w:r>
        <w:rPr>
          <w:sz w:val="20"/>
        </w:rPr>
        <w:t xml:space="preserve"> are rare, at least in culture medium applications such as plant and algal culture.  However, undesirable solutions are common, </w:t>
      </w:r>
      <w:r w:rsidR="000D3C14">
        <w:rPr>
          <w:sz w:val="20"/>
        </w:rPr>
        <w:t>at least until the objective constraints are set to yield acceptable solutions.</w:t>
      </w:r>
      <w:r w:rsidR="00B014E7">
        <w:rPr>
          <w:sz w:val="20"/>
        </w:rPr>
        <w:t xml:space="preserve">  Consider the ionic solution specified in Figure 8.</w:t>
      </w:r>
      <w:r w:rsidR="00733BB0">
        <w:rPr>
          <w:sz w:val="20"/>
        </w:rPr>
        <w:t xml:space="preserve">  Further, all </w:t>
      </w:r>
      <w:r w:rsidR="00CA7A20" w:rsidRPr="00CA7A20">
        <w:rPr>
          <w:b/>
          <w:sz w:val="20"/>
        </w:rPr>
        <w:t>Objective constraints</w:t>
      </w:r>
      <w:r w:rsidR="009A319D">
        <w:rPr>
          <w:sz w:val="20"/>
        </w:rPr>
        <w:t xml:space="preserve"> are set to 0.</w:t>
      </w:r>
    </w:p>
    <w:p w:rsidR="00B014E7" w:rsidRDefault="00B014E7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 w:rsidRPr="00733BB0">
        <w:rPr>
          <w:b/>
          <w:sz w:val="20"/>
        </w:rPr>
        <w:t>Figure 8.</w:t>
      </w:r>
      <w:r>
        <w:rPr>
          <w:sz w:val="20"/>
        </w:rPr>
        <w:t xml:space="preserve">  </w:t>
      </w:r>
      <w:r w:rsidR="00733BB0">
        <w:rPr>
          <w:sz w:val="20"/>
        </w:rPr>
        <w:t>Ionic solution composed of NH</w:t>
      </w:r>
      <w:r w:rsidR="00733BB0" w:rsidRPr="00B423FF">
        <w:rPr>
          <w:sz w:val="20"/>
          <w:vertAlign w:val="subscript"/>
        </w:rPr>
        <w:t>4</w:t>
      </w:r>
      <w:r w:rsidR="00E0037B" w:rsidRPr="00B423FF">
        <w:rPr>
          <w:sz w:val="20"/>
          <w:vertAlign w:val="superscript"/>
        </w:rPr>
        <w:t>+</w:t>
      </w:r>
      <w:r w:rsidR="00733BB0">
        <w:rPr>
          <w:sz w:val="20"/>
        </w:rPr>
        <w:t>, NO</w:t>
      </w:r>
      <w:r w:rsidR="00733BB0" w:rsidRPr="00B423FF">
        <w:rPr>
          <w:sz w:val="20"/>
          <w:vertAlign w:val="subscript"/>
        </w:rPr>
        <w:t>3</w:t>
      </w:r>
      <w:r w:rsidR="00E0037B" w:rsidRPr="00B423FF">
        <w:rPr>
          <w:sz w:val="20"/>
          <w:vertAlign w:val="superscript"/>
        </w:rPr>
        <w:t>-</w:t>
      </w:r>
      <w:r w:rsidR="00733BB0">
        <w:rPr>
          <w:sz w:val="20"/>
        </w:rPr>
        <w:t>, PO</w:t>
      </w:r>
      <w:r w:rsidR="00733BB0" w:rsidRPr="00B423FF">
        <w:rPr>
          <w:sz w:val="20"/>
          <w:vertAlign w:val="subscript"/>
        </w:rPr>
        <w:t>4</w:t>
      </w:r>
      <w:r w:rsidR="00E0037B" w:rsidRPr="00B423FF">
        <w:rPr>
          <w:sz w:val="20"/>
          <w:vertAlign w:val="superscript"/>
        </w:rPr>
        <w:t>3-</w:t>
      </w:r>
      <w:r w:rsidR="00733BB0">
        <w:rPr>
          <w:sz w:val="20"/>
        </w:rPr>
        <w:t>, K</w:t>
      </w:r>
      <w:r w:rsidR="00E0037B" w:rsidRPr="00B423FF">
        <w:rPr>
          <w:sz w:val="20"/>
          <w:vertAlign w:val="superscript"/>
        </w:rPr>
        <w:t>+</w:t>
      </w:r>
      <w:r w:rsidR="00733BB0">
        <w:rPr>
          <w:sz w:val="20"/>
        </w:rPr>
        <w:t>, Ca</w:t>
      </w:r>
      <w:r w:rsidR="00E0037B" w:rsidRPr="00B423FF">
        <w:rPr>
          <w:sz w:val="20"/>
          <w:vertAlign w:val="superscript"/>
        </w:rPr>
        <w:t>2+</w:t>
      </w:r>
      <w:r w:rsidR="00733BB0">
        <w:rPr>
          <w:sz w:val="20"/>
        </w:rPr>
        <w:t>, Mg</w:t>
      </w:r>
      <w:r w:rsidR="00E0037B" w:rsidRPr="00B423FF">
        <w:rPr>
          <w:sz w:val="20"/>
          <w:vertAlign w:val="superscript"/>
        </w:rPr>
        <w:t>2+</w:t>
      </w:r>
      <w:r w:rsidR="00733BB0">
        <w:rPr>
          <w:sz w:val="20"/>
        </w:rPr>
        <w:t>, SO</w:t>
      </w:r>
      <w:r w:rsidR="00733BB0" w:rsidRPr="00B423FF">
        <w:rPr>
          <w:sz w:val="20"/>
          <w:vertAlign w:val="subscript"/>
        </w:rPr>
        <w:t>4</w:t>
      </w:r>
      <w:r w:rsidR="00E0037B" w:rsidRPr="00B423FF">
        <w:rPr>
          <w:sz w:val="20"/>
          <w:vertAlign w:val="superscript"/>
        </w:rPr>
        <w:t>2-</w:t>
      </w:r>
      <w:r w:rsidR="00733BB0">
        <w:rPr>
          <w:sz w:val="20"/>
        </w:rPr>
        <w:t>, and Cl</w:t>
      </w:r>
      <w:r w:rsidR="00E0037B" w:rsidRPr="00E0037B">
        <w:rPr>
          <w:sz w:val="20"/>
          <w:vertAlign w:val="superscript"/>
        </w:rPr>
        <w:t>-</w:t>
      </w:r>
      <w:r w:rsidR="00733BB0">
        <w:rPr>
          <w:sz w:val="20"/>
        </w:rPr>
        <w:t>.</w:t>
      </w:r>
    </w:p>
    <w:p w:rsidR="00B014E7" w:rsidRDefault="00B014E7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6C85D7DD" wp14:editId="72DE2668">
            <wp:extent cx="2667000" cy="59150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9150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14E7" w:rsidRDefault="00B014E7" w:rsidP="00950A19">
      <w:pPr>
        <w:spacing w:before="100" w:beforeAutospacing="1" w:after="100" w:afterAutospacing="1" w:line="240" w:lineRule="auto"/>
        <w:rPr>
          <w:sz w:val="20"/>
        </w:rPr>
      </w:pPr>
    </w:p>
    <w:p w:rsidR="00B014E7" w:rsidRDefault="00B014E7" w:rsidP="00950A19">
      <w:pPr>
        <w:spacing w:before="100" w:beforeAutospacing="1" w:after="100" w:afterAutospacing="1" w:line="240" w:lineRule="auto"/>
        <w:rPr>
          <w:sz w:val="20"/>
        </w:rPr>
      </w:pPr>
    </w:p>
    <w:p w:rsidR="00B014E7" w:rsidRDefault="00E96FF7" w:rsidP="00950A19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lastRenderedPageBreak/>
        <w:t>The Solver solution includes 3 acids, 1 base, 1 poorly soluble salt</w:t>
      </w:r>
      <w:r w:rsidR="00C84C55">
        <w:rPr>
          <w:sz w:val="20"/>
        </w:rPr>
        <w:t xml:space="preserve"> (</w:t>
      </w:r>
      <w:proofErr w:type="gramStart"/>
      <w:r w:rsidR="00C84C55">
        <w:rPr>
          <w:sz w:val="20"/>
        </w:rPr>
        <w:t>Ca</w:t>
      </w:r>
      <w:r w:rsidR="00C84C55" w:rsidRPr="00C84C55">
        <w:rPr>
          <w:sz w:val="20"/>
          <w:vertAlign w:val="subscript"/>
        </w:rPr>
        <w:t>5</w:t>
      </w:r>
      <w:r w:rsidR="00C84C55">
        <w:rPr>
          <w:sz w:val="20"/>
        </w:rPr>
        <w:t>(</w:t>
      </w:r>
      <w:proofErr w:type="gramEnd"/>
      <w:r w:rsidR="00C84C55">
        <w:rPr>
          <w:sz w:val="20"/>
        </w:rPr>
        <w:t>OH)(PO</w:t>
      </w:r>
      <w:r w:rsidR="00C84C55" w:rsidRPr="00C84C55">
        <w:rPr>
          <w:sz w:val="20"/>
          <w:vertAlign w:val="subscript"/>
        </w:rPr>
        <w:t>4</w:t>
      </w:r>
      <w:r w:rsidR="00C84C55">
        <w:rPr>
          <w:sz w:val="20"/>
        </w:rPr>
        <w:t>)</w:t>
      </w:r>
      <w:r w:rsidR="00C84C55" w:rsidRPr="00C84C55">
        <w:rPr>
          <w:sz w:val="20"/>
          <w:vertAlign w:val="subscript"/>
        </w:rPr>
        <w:t>3</w:t>
      </w:r>
      <w:r>
        <w:rPr>
          <w:sz w:val="20"/>
        </w:rPr>
        <w:t>, and 1 poorly soluble base (</w:t>
      </w:r>
      <w:r w:rsidR="00C84C55">
        <w:rPr>
          <w:sz w:val="20"/>
        </w:rPr>
        <w:t>Mg(OH)</w:t>
      </w:r>
      <w:r w:rsidR="00C84C55" w:rsidRPr="00C84C55">
        <w:rPr>
          <w:sz w:val="20"/>
          <w:vertAlign w:val="subscript"/>
        </w:rPr>
        <w:t>2</w:t>
      </w:r>
      <w:r w:rsidR="00C84C55">
        <w:rPr>
          <w:sz w:val="20"/>
        </w:rPr>
        <w:t xml:space="preserve">, </w:t>
      </w:r>
      <w:r>
        <w:rPr>
          <w:sz w:val="20"/>
        </w:rPr>
        <w:t xml:space="preserve">Figure 9).  </w:t>
      </w:r>
      <w:r w:rsidR="0078621D">
        <w:rPr>
          <w:sz w:val="20"/>
        </w:rPr>
        <w:t>Because the formulation will be used for a plant tissue culture medium, i</w:t>
      </w:r>
      <w:r>
        <w:rPr>
          <w:sz w:val="20"/>
        </w:rPr>
        <w:t xml:space="preserve">t is desired that the solution </w:t>
      </w:r>
      <w:r w:rsidR="0078621D">
        <w:rPr>
          <w:sz w:val="20"/>
        </w:rPr>
        <w:t>include soluble salts with minimal use of acids and bases</w:t>
      </w:r>
      <w:r w:rsidR="00AA6618">
        <w:rPr>
          <w:sz w:val="20"/>
        </w:rPr>
        <w:t>.  Therefore, the objective constraints are increased to 10 for all acids, bases, and poorly soluble salts</w:t>
      </w:r>
      <w:r w:rsidR="00C336EA">
        <w:rPr>
          <w:sz w:val="20"/>
        </w:rPr>
        <w:t xml:space="preserve"> (Figure 10)</w:t>
      </w:r>
      <w:r w:rsidR="00415018">
        <w:rPr>
          <w:sz w:val="20"/>
        </w:rPr>
        <w:t>, and Solver rerun</w:t>
      </w:r>
      <w:r w:rsidR="006450FF">
        <w:rPr>
          <w:sz w:val="20"/>
        </w:rPr>
        <w:t>.  The new solution</w:t>
      </w:r>
      <w:r w:rsidR="00BE6B8F">
        <w:rPr>
          <w:sz w:val="20"/>
        </w:rPr>
        <w:t xml:space="preserve"> (Figure 11)</w:t>
      </w:r>
      <w:r w:rsidR="006450FF">
        <w:rPr>
          <w:sz w:val="20"/>
        </w:rPr>
        <w:t xml:space="preserve"> is composed only of soluble salts and is a better solution.</w:t>
      </w:r>
      <w:r w:rsidR="00CB0E4F">
        <w:rPr>
          <w:sz w:val="20"/>
        </w:rPr>
        <w:t xml:space="preserve">  However, it is further desired that the hydrated forms of </w:t>
      </w:r>
      <w:proofErr w:type="gramStart"/>
      <w:r w:rsidR="00CB0E4F">
        <w:rPr>
          <w:sz w:val="20"/>
        </w:rPr>
        <w:t>Ca(</w:t>
      </w:r>
      <w:proofErr w:type="gramEnd"/>
      <w:r w:rsidR="00CB0E4F">
        <w:rPr>
          <w:sz w:val="20"/>
        </w:rPr>
        <w:t>NO</w:t>
      </w:r>
      <w:r w:rsidR="00CB0E4F" w:rsidRPr="00616A7A">
        <w:rPr>
          <w:sz w:val="20"/>
          <w:vertAlign w:val="subscript"/>
        </w:rPr>
        <w:t>3</w:t>
      </w:r>
      <w:r w:rsidR="00CB0E4F">
        <w:rPr>
          <w:sz w:val="20"/>
        </w:rPr>
        <w:t>)</w:t>
      </w:r>
      <w:r w:rsidR="00CB0E4F" w:rsidRPr="00616A7A">
        <w:rPr>
          <w:sz w:val="20"/>
          <w:vertAlign w:val="subscript"/>
        </w:rPr>
        <w:t>2</w:t>
      </w:r>
      <w:r w:rsidR="00C832FE">
        <w:rPr>
          <w:sz w:val="20"/>
        </w:rPr>
        <w:t xml:space="preserve">, </w:t>
      </w:r>
      <w:r w:rsidR="00CB0E4F">
        <w:rPr>
          <w:sz w:val="20"/>
        </w:rPr>
        <w:t>and MgSO</w:t>
      </w:r>
      <w:r w:rsidR="00CB0E4F" w:rsidRPr="00616A7A">
        <w:rPr>
          <w:sz w:val="20"/>
          <w:vertAlign w:val="subscript"/>
        </w:rPr>
        <w:t>4</w:t>
      </w:r>
      <w:r w:rsidR="00CB0E4F">
        <w:rPr>
          <w:sz w:val="20"/>
        </w:rPr>
        <w:t xml:space="preserve"> be used.  Therefore, the objective constraints for </w:t>
      </w:r>
      <w:proofErr w:type="gramStart"/>
      <w:r w:rsidR="00CB0E4F">
        <w:rPr>
          <w:sz w:val="20"/>
        </w:rPr>
        <w:t>Ca(</w:t>
      </w:r>
      <w:proofErr w:type="gramEnd"/>
      <w:r w:rsidR="00CB0E4F">
        <w:rPr>
          <w:sz w:val="20"/>
        </w:rPr>
        <w:t>NO</w:t>
      </w:r>
      <w:r w:rsidR="00CB0E4F" w:rsidRPr="00616A7A">
        <w:rPr>
          <w:sz w:val="20"/>
          <w:vertAlign w:val="subscript"/>
        </w:rPr>
        <w:t>3</w:t>
      </w:r>
      <w:r w:rsidR="00CB0E4F">
        <w:rPr>
          <w:sz w:val="20"/>
        </w:rPr>
        <w:t>)</w:t>
      </w:r>
      <w:r w:rsidR="00CB0E4F" w:rsidRPr="00616A7A">
        <w:rPr>
          <w:sz w:val="20"/>
          <w:vertAlign w:val="subscript"/>
        </w:rPr>
        <w:t>2</w:t>
      </w:r>
      <w:r w:rsidR="00CB0E4F">
        <w:rPr>
          <w:sz w:val="20"/>
        </w:rPr>
        <w:t xml:space="preserve"> and MgSO</w:t>
      </w:r>
      <w:r w:rsidR="00CB0E4F" w:rsidRPr="00616A7A">
        <w:rPr>
          <w:sz w:val="20"/>
          <w:vertAlign w:val="subscript"/>
        </w:rPr>
        <w:t>4</w:t>
      </w:r>
      <w:r w:rsidR="00CB0E4F">
        <w:rPr>
          <w:sz w:val="20"/>
        </w:rPr>
        <w:t xml:space="preserve"> are increased to 10</w:t>
      </w:r>
      <w:r w:rsidR="000F36FB">
        <w:rPr>
          <w:sz w:val="20"/>
        </w:rPr>
        <w:t xml:space="preserve">, as </w:t>
      </w:r>
      <w:r w:rsidR="004947DB">
        <w:rPr>
          <w:sz w:val="20"/>
        </w:rPr>
        <w:t>are</w:t>
      </w:r>
      <w:r w:rsidR="000F36FB">
        <w:rPr>
          <w:sz w:val="20"/>
        </w:rPr>
        <w:t xml:space="preserve"> CaCl</w:t>
      </w:r>
      <w:r w:rsidR="000F36FB" w:rsidRPr="00616A7A">
        <w:rPr>
          <w:sz w:val="20"/>
          <w:vertAlign w:val="subscript"/>
        </w:rPr>
        <w:t>2</w:t>
      </w:r>
      <w:r w:rsidR="000F36FB">
        <w:rPr>
          <w:sz w:val="20"/>
        </w:rPr>
        <w:t xml:space="preserve"> </w:t>
      </w:r>
      <w:r w:rsidR="004947DB">
        <w:rPr>
          <w:sz w:val="20"/>
        </w:rPr>
        <w:t>and MgCl</w:t>
      </w:r>
      <w:r w:rsidR="004947DB" w:rsidRPr="00616A7A">
        <w:rPr>
          <w:sz w:val="20"/>
          <w:vertAlign w:val="subscript"/>
        </w:rPr>
        <w:t>2</w:t>
      </w:r>
      <w:r w:rsidR="004947DB">
        <w:rPr>
          <w:sz w:val="20"/>
        </w:rPr>
        <w:t xml:space="preserve"> </w:t>
      </w:r>
      <w:r w:rsidR="000F36FB">
        <w:rPr>
          <w:sz w:val="20"/>
        </w:rPr>
        <w:t>to ensure the hydrated forms of Ca</w:t>
      </w:r>
      <w:r w:rsidR="004947DB">
        <w:rPr>
          <w:sz w:val="20"/>
        </w:rPr>
        <w:t xml:space="preserve"> and Mg</w:t>
      </w:r>
      <w:r w:rsidR="000F36FB">
        <w:rPr>
          <w:sz w:val="20"/>
        </w:rPr>
        <w:t xml:space="preserve"> are used (Figure 12)</w:t>
      </w:r>
      <w:r w:rsidR="00CB0E4F">
        <w:rPr>
          <w:sz w:val="20"/>
        </w:rPr>
        <w:t>.</w:t>
      </w:r>
      <w:r w:rsidR="009009A7">
        <w:rPr>
          <w:sz w:val="20"/>
        </w:rPr>
        <w:t xml:space="preserve">  Solver is rerun and results in an acceptable formulation (Figure 13).</w:t>
      </w:r>
    </w:p>
    <w:p w:rsidR="009A319D" w:rsidRDefault="008B6B6D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 w:rsidRPr="008B6B6D">
        <w:rPr>
          <w:b/>
          <w:sz w:val="20"/>
        </w:rPr>
        <w:t>Figure 9.</w:t>
      </w:r>
      <w:r>
        <w:rPr>
          <w:sz w:val="20"/>
        </w:rPr>
        <w:t xml:space="preserve">  Solver solution for ion targets specified in Figure 8.</w:t>
      </w:r>
    </w:p>
    <w:p w:rsidR="009A319D" w:rsidRDefault="009A319D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36EBCFD4" wp14:editId="634B4467">
            <wp:extent cx="3009900" cy="193357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335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566B" w:rsidRDefault="0059566B">
      <w:pPr>
        <w:rPr>
          <w:sz w:val="20"/>
        </w:rPr>
      </w:pPr>
    </w:p>
    <w:p w:rsidR="006450FF" w:rsidRDefault="006450FF">
      <w:pPr>
        <w:rPr>
          <w:sz w:val="20"/>
        </w:rPr>
      </w:pPr>
    </w:p>
    <w:p w:rsidR="006450FF" w:rsidRDefault="006450FF">
      <w:pPr>
        <w:rPr>
          <w:sz w:val="20"/>
        </w:rPr>
      </w:pPr>
    </w:p>
    <w:p w:rsidR="006450FF" w:rsidRDefault="006450FF">
      <w:pPr>
        <w:rPr>
          <w:b/>
          <w:sz w:val="20"/>
        </w:rPr>
      </w:pPr>
      <w:r>
        <w:rPr>
          <w:b/>
          <w:sz w:val="20"/>
        </w:rPr>
        <w:br w:type="page"/>
      </w:r>
    </w:p>
    <w:p w:rsidR="00B014E7" w:rsidRDefault="0059566B" w:rsidP="00835472">
      <w:pPr>
        <w:spacing w:before="100" w:beforeAutospacing="1" w:after="100" w:afterAutospacing="1" w:line="240" w:lineRule="auto"/>
        <w:ind w:left="1080" w:hanging="1080"/>
        <w:rPr>
          <w:sz w:val="20"/>
        </w:rPr>
      </w:pPr>
      <w:r w:rsidRPr="00BE6B8F">
        <w:rPr>
          <w:b/>
          <w:sz w:val="20"/>
        </w:rPr>
        <w:lastRenderedPageBreak/>
        <w:t>Figure 10.</w:t>
      </w:r>
      <w:r>
        <w:rPr>
          <w:sz w:val="20"/>
        </w:rPr>
        <w:t xml:space="preserve">  Objective constraints increased for salts not desired in the final solution, including acids, bases, poorly soluble, and organics.</w:t>
      </w:r>
    </w:p>
    <w:p w:rsidR="00D05587" w:rsidRDefault="00415018" w:rsidP="00950A19">
      <w:pPr>
        <w:spacing w:before="100" w:beforeAutospacing="1" w:after="100" w:afterAutospacing="1" w:line="240" w:lineRule="auto"/>
        <w:rPr>
          <w:sz w:val="20"/>
        </w:rPr>
      </w:pPr>
      <w:r w:rsidRPr="00415018">
        <w:rPr>
          <w:noProof/>
          <w:lang w:eastAsia="en-US"/>
        </w:rPr>
        <w:drawing>
          <wp:inline distT="0" distB="0" distL="0" distR="0" wp14:anchorId="2982C5F3" wp14:editId="03483D04">
            <wp:extent cx="5943600" cy="4292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87" w:rsidRDefault="00D05587" w:rsidP="00950A19">
      <w:pPr>
        <w:spacing w:before="100" w:beforeAutospacing="1" w:after="100" w:afterAutospacing="1" w:line="240" w:lineRule="auto"/>
        <w:rPr>
          <w:sz w:val="20"/>
        </w:rPr>
      </w:pPr>
    </w:p>
    <w:p w:rsidR="00834DF4" w:rsidRDefault="00834DF4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 w:rsidRPr="006450FF">
        <w:rPr>
          <w:b/>
          <w:sz w:val="20"/>
        </w:rPr>
        <w:t>Figure 11.</w:t>
      </w:r>
      <w:r>
        <w:rPr>
          <w:sz w:val="20"/>
        </w:rPr>
        <w:t xml:space="preserve">  Report of salt formulation after objective constraints adjusted.</w:t>
      </w:r>
    </w:p>
    <w:p w:rsidR="00D05587" w:rsidRDefault="00BE6B8F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60F5BA3B" wp14:editId="1B993B4A">
            <wp:extent cx="2981325" cy="17526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6B8F" w:rsidRDefault="00BE6B8F" w:rsidP="00950A19">
      <w:pPr>
        <w:spacing w:before="100" w:beforeAutospacing="1" w:after="100" w:afterAutospacing="1" w:line="240" w:lineRule="auto"/>
        <w:rPr>
          <w:sz w:val="20"/>
        </w:rPr>
      </w:pPr>
    </w:p>
    <w:p w:rsidR="00BE6B8F" w:rsidRDefault="00BE6B8F" w:rsidP="00950A19">
      <w:pPr>
        <w:spacing w:before="100" w:beforeAutospacing="1" w:after="100" w:afterAutospacing="1" w:line="240" w:lineRule="auto"/>
        <w:rPr>
          <w:sz w:val="20"/>
        </w:rPr>
      </w:pPr>
    </w:p>
    <w:p w:rsidR="000A4639" w:rsidRDefault="008C1343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 w:rsidRPr="008C1343">
        <w:rPr>
          <w:b/>
          <w:sz w:val="20"/>
        </w:rPr>
        <w:lastRenderedPageBreak/>
        <w:t>Figure 12.</w:t>
      </w:r>
      <w:r>
        <w:rPr>
          <w:sz w:val="20"/>
        </w:rPr>
        <w:t xml:space="preserve">  Objective constraints increased for non-hydrated salts of Ca and Mg.</w:t>
      </w:r>
    </w:p>
    <w:p w:rsidR="000A4639" w:rsidRDefault="000A4639" w:rsidP="00543B3E">
      <w:pPr>
        <w:spacing w:before="100" w:beforeAutospacing="1" w:after="100" w:afterAutospacing="1" w:line="240" w:lineRule="auto"/>
        <w:jc w:val="center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45D9B160" wp14:editId="445E5FC9">
            <wp:extent cx="5943600" cy="43097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39" w:rsidRDefault="000A4639" w:rsidP="00950A19">
      <w:pPr>
        <w:spacing w:before="100" w:beforeAutospacing="1" w:after="100" w:afterAutospacing="1" w:line="240" w:lineRule="auto"/>
        <w:rPr>
          <w:sz w:val="20"/>
        </w:rPr>
      </w:pPr>
    </w:p>
    <w:p w:rsidR="006450FF" w:rsidRDefault="009009A7" w:rsidP="00835472">
      <w:pPr>
        <w:spacing w:before="100" w:beforeAutospacing="1" w:after="100" w:afterAutospacing="1" w:line="240" w:lineRule="auto"/>
        <w:ind w:left="990" w:hanging="990"/>
        <w:rPr>
          <w:sz w:val="20"/>
        </w:rPr>
      </w:pPr>
      <w:r w:rsidRPr="00B05352">
        <w:rPr>
          <w:b/>
          <w:sz w:val="20"/>
        </w:rPr>
        <w:t>Figure 13.</w:t>
      </w:r>
      <w:r w:rsidR="00B05352">
        <w:rPr>
          <w:sz w:val="20"/>
        </w:rPr>
        <w:t xml:space="preserve">  Report of salt formulation after objective constraints adjusted to select for hydrated salts of Ca and Mg.</w:t>
      </w:r>
    </w:p>
    <w:p w:rsidR="00BE6B8F" w:rsidRDefault="009009A7" w:rsidP="00950A19">
      <w:pPr>
        <w:spacing w:before="100" w:beforeAutospacing="1" w:after="100" w:afterAutospacing="1" w:line="240" w:lineRule="auto"/>
        <w:rPr>
          <w:sz w:val="20"/>
        </w:rPr>
      </w:pPr>
      <w:r>
        <w:rPr>
          <w:noProof/>
          <w:lang w:eastAsia="en-US"/>
        </w:rPr>
        <w:drawing>
          <wp:inline distT="0" distB="0" distL="0" distR="0" wp14:anchorId="0D42934D" wp14:editId="53895C95">
            <wp:extent cx="2867025" cy="17716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09A7" w:rsidRDefault="009009A7" w:rsidP="00950A19">
      <w:pPr>
        <w:spacing w:before="100" w:beforeAutospacing="1" w:after="100" w:afterAutospacing="1" w:line="240" w:lineRule="auto"/>
        <w:rPr>
          <w:sz w:val="20"/>
        </w:rPr>
      </w:pPr>
    </w:p>
    <w:p w:rsidR="009009A7" w:rsidRDefault="009009A7" w:rsidP="00950A19">
      <w:pPr>
        <w:spacing w:before="100" w:beforeAutospacing="1" w:after="100" w:afterAutospacing="1" w:line="240" w:lineRule="auto"/>
        <w:rPr>
          <w:sz w:val="20"/>
        </w:rPr>
      </w:pPr>
    </w:p>
    <w:p w:rsidR="00E0229E" w:rsidRDefault="00E0229E" w:rsidP="00E0229E">
      <w:pPr>
        <w:pStyle w:val="Heading1"/>
        <w:spacing w:before="100" w:beforeAutospacing="1" w:after="100" w:afterAutospacing="1"/>
      </w:pPr>
      <w:bookmarkStart w:id="4" w:name="_Toc419713170"/>
      <w:r>
        <w:lastRenderedPageBreak/>
        <w:t>Forced Selection or Omission of Specific Salts</w:t>
      </w:r>
      <w:bookmarkEnd w:id="4"/>
    </w:p>
    <w:p w:rsidR="00AF0A13" w:rsidRDefault="00C21AE9" w:rsidP="00E0229E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 xml:space="preserve">Which salts to use or not </w:t>
      </w:r>
      <w:r w:rsidR="002C02F8">
        <w:rPr>
          <w:sz w:val="20"/>
        </w:rPr>
        <w:t xml:space="preserve">to </w:t>
      </w:r>
      <w:bookmarkStart w:id="5" w:name="_GoBack"/>
      <w:bookmarkEnd w:id="5"/>
      <w:r>
        <w:rPr>
          <w:sz w:val="20"/>
        </w:rPr>
        <w:t>use can generally be specified using the Objective constraints.  However, f</w:t>
      </w:r>
      <w:r w:rsidR="00E0229E">
        <w:rPr>
          <w:sz w:val="20"/>
        </w:rPr>
        <w:t>orc</w:t>
      </w:r>
      <w:r w:rsidR="009B02C0">
        <w:rPr>
          <w:sz w:val="20"/>
        </w:rPr>
        <w:t>ing</w:t>
      </w:r>
      <w:r w:rsidR="00E0229E">
        <w:rPr>
          <w:sz w:val="20"/>
        </w:rPr>
        <w:t xml:space="preserve"> Solver to use or not use a specific salt</w:t>
      </w:r>
      <w:r w:rsidR="009B02C0">
        <w:rPr>
          <w:sz w:val="20"/>
        </w:rPr>
        <w:t xml:space="preserve"> </w:t>
      </w:r>
      <w:r w:rsidR="00AE7524">
        <w:rPr>
          <w:sz w:val="20"/>
        </w:rPr>
        <w:t xml:space="preserve">can be </w:t>
      </w:r>
      <w:r>
        <w:rPr>
          <w:sz w:val="20"/>
        </w:rPr>
        <w:t xml:space="preserve">specifically </w:t>
      </w:r>
      <w:r w:rsidR="00AE7524">
        <w:rPr>
          <w:sz w:val="20"/>
        </w:rPr>
        <w:t>achieved by</w:t>
      </w:r>
      <w:r w:rsidR="009B02C0">
        <w:rPr>
          <w:sz w:val="20"/>
        </w:rPr>
        <w:t xml:space="preserve"> adding a constraint in the Solver Parameters screen.</w:t>
      </w:r>
      <w:r>
        <w:rPr>
          <w:sz w:val="20"/>
        </w:rPr>
        <w:t xml:space="preserve">  For example, consider </w:t>
      </w:r>
      <w:r w:rsidR="001446C5">
        <w:rPr>
          <w:sz w:val="20"/>
        </w:rPr>
        <w:t xml:space="preserve">the forced omission of KNO3 from the </w:t>
      </w:r>
      <w:r>
        <w:rPr>
          <w:sz w:val="20"/>
        </w:rPr>
        <w:t xml:space="preserve">formulation </w:t>
      </w:r>
      <w:r w:rsidR="001446C5">
        <w:rPr>
          <w:sz w:val="20"/>
        </w:rPr>
        <w:t xml:space="preserve">in </w:t>
      </w:r>
      <w:r>
        <w:rPr>
          <w:sz w:val="20"/>
        </w:rPr>
        <w:t>Figure 13.</w:t>
      </w:r>
      <w:r w:rsidR="00AF0A13">
        <w:rPr>
          <w:sz w:val="20"/>
        </w:rPr>
        <w:t xml:space="preserve">  A new constraint is added, $N$27 = 0.</w:t>
      </w:r>
      <w:r w:rsidR="00C87D8D">
        <w:rPr>
          <w:sz w:val="20"/>
        </w:rPr>
        <w:t xml:space="preserve">  $N$27 is the Salt (g) for KNO3</w:t>
      </w:r>
      <w:r w:rsidR="00982BAB">
        <w:rPr>
          <w:sz w:val="20"/>
        </w:rPr>
        <w:t>.  Solver will ignore KNO3 in the calculation.</w:t>
      </w:r>
      <w:r w:rsidR="002419D9">
        <w:rPr>
          <w:sz w:val="20"/>
        </w:rPr>
        <w:t xml:space="preserve">  The resulting formulation omits KNO3 (Figure 15.)</w:t>
      </w:r>
    </w:p>
    <w:p w:rsidR="00016D6F" w:rsidRDefault="00016D6F" w:rsidP="002419D9">
      <w:pPr>
        <w:spacing w:before="100" w:beforeAutospacing="1" w:after="100" w:afterAutospacing="1" w:line="240" w:lineRule="auto"/>
        <w:ind w:left="990" w:hanging="990"/>
        <w:jc w:val="center"/>
        <w:rPr>
          <w:sz w:val="20"/>
        </w:rPr>
      </w:pPr>
      <w:r w:rsidRPr="00B05352">
        <w:rPr>
          <w:b/>
          <w:sz w:val="20"/>
        </w:rPr>
        <w:t>Figure 1</w:t>
      </w:r>
      <w:r>
        <w:rPr>
          <w:b/>
          <w:sz w:val="20"/>
        </w:rPr>
        <w:t>4</w:t>
      </w:r>
      <w:r w:rsidRPr="00B05352">
        <w:rPr>
          <w:b/>
          <w:sz w:val="20"/>
        </w:rPr>
        <w:t>.</w:t>
      </w:r>
      <w:r>
        <w:rPr>
          <w:sz w:val="20"/>
        </w:rPr>
        <w:t xml:space="preserve"> </w:t>
      </w:r>
      <w:r w:rsidR="004C0732">
        <w:rPr>
          <w:sz w:val="20"/>
        </w:rPr>
        <w:t>Constraint added to Solver Parameters screen to force Solver to use 0 g KNO3.</w:t>
      </w:r>
    </w:p>
    <w:p w:rsidR="00AF0A13" w:rsidRDefault="001E28F6" w:rsidP="00AF0A13">
      <w:pPr>
        <w:spacing w:before="100" w:beforeAutospacing="1" w:after="100" w:afterAutospacing="1" w:line="240" w:lineRule="auto"/>
        <w:jc w:val="center"/>
        <w:rPr>
          <w:sz w:val="20"/>
        </w:rPr>
      </w:pPr>
      <w:r w:rsidRPr="001E28F6">
        <w:rPr>
          <w:noProof/>
          <w:lang w:eastAsia="en-US"/>
        </w:rPr>
        <w:drawing>
          <wp:inline distT="0" distB="0" distL="0" distR="0" wp14:anchorId="2295A9A0" wp14:editId="73AB4E0D">
            <wp:extent cx="5610225" cy="5667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13" w:rsidRDefault="00AF0A13" w:rsidP="00E0229E">
      <w:pPr>
        <w:spacing w:before="100" w:beforeAutospacing="1" w:after="100" w:afterAutospacing="1" w:line="240" w:lineRule="auto"/>
        <w:rPr>
          <w:sz w:val="20"/>
        </w:rPr>
      </w:pPr>
    </w:p>
    <w:p w:rsidR="00AF0A13" w:rsidRDefault="00AF0A13" w:rsidP="00E0229E">
      <w:pPr>
        <w:spacing w:before="100" w:beforeAutospacing="1" w:after="100" w:afterAutospacing="1" w:line="240" w:lineRule="auto"/>
        <w:rPr>
          <w:sz w:val="20"/>
        </w:rPr>
      </w:pPr>
    </w:p>
    <w:p w:rsidR="00AF0A13" w:rsidRDefault="00AF0A13" w:rsidP="00E0229E">
      <w:pPr>
        <w:spacing w:before="100" w:beforeAutospacing="1" w:after="100" w:afterAutospacing="1" w:line="240" w:lineRule="auto"/>
        <w:rPr>
          <w:sz w:val="20"/>
        </w:rPr>
      </w:pPr>
    </w:p>
    <w:p w:rsidR="002419D9" w:rsidRDefault="002419D9" w:rsidP="00B8288C">
      <w:pPr>
        <w:spacing w:before="100" w:beforeAutospacing="1" w:after="100" w:afterAutospacing="1" w:line="240" w:lineRule="auto"/>
        <w:ind w:left="990" w:hanging="990"/>
        <w:rPr>
          <w:sz w:val="20"/>
        </w:rPr>
      </w:pPr>
      <w:r w:rsidRPr="00B05352">
        <w:rPr>
          <w:b/>
          <w:sz w:val="20"/>
        </w:rPr>
        <w:t>Figure 1</w:t>
      </w:r>
      <w:r>
        <w:rPr>
          <w:b/>
          <w:sz w:val="20"/>
        </w:rPr>
        <w:t>5</w:t>
      </w:r>
      <w:r w:rsidRPr="00B05352">
        <w:rPr>
          <w:b/>
          <w:sz w:val="20"/>
        </w:rPr>
        <w:t>.</w:t>
      </w:r>
      <w:r>
        <w:rPr>
          <w:sz w:val="20"/>
        </w:rPr>
        <w:t xml:space="preserve"> Report of salt formulation after KNO3 was omitted</w:t>
      </w:r>
      <w:r w:rsidR="00B8288C">
        <w:rPr>
          <w:sz w:val="20"/>
        </w:rPr>
        <w:t xml:space="preserve"> from the Solver calculation by adding a constraint to the </w:t>
      </w:r>
      <w:r>
        <w:rPr>
          <w:sz w:val="20"/>
        </w:rPr>
        <w:t>Solver Parameters screen.</w:t>
      </w:r>
    </w:p>
    <w:p w:rsidR="00982BAB" w:rsidRDefault="00982BAB" w:rsidP="00E0229E">
      <w:pPr>
        <w:spacing w:before="100" w:beforeAutospacing="1" w:after="100" w:afterAutospacing="1" w:line="240" w:lineRule="auto"/>
        <w:rPr>
          <w:sz w:val="20"/>
        </w:rPr>
      </w:pPr>
      <w:r w:rsidRPr="00982BAB">
        <w:rPr>
          <w:noProof/>
          <w:lang w:eastAsia="en-US"/>
        </w:rPr>
        <w:drawing>
          <wp:inline distT="0" distB="0" distL="0" distR="0" wp14:anchorId="5E977005" wp14:editId="749661A8">
            <wp:extent cx="3667125" cy="19240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240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2BAB" w:rsidRDefault="00982BAB" w:rsidP="00E0229E">
      <w:pPr>
        <w:spacing w:before="100" w:beforeAutospacing="1" w:after="100" w:afterAutospacing="1" w:line="240" w:lineRule="auto"/>
        <w:rPr>
          <w:sz w:val="20"/>
        </w:rPr>
      </w:pPr>
    </w:p>
    <w:p w:rsidR="00982BAB" w:rsidRDefault="00982BAB" w:rsidP="00E0229E">
      <w:pPr>
        <w:spacing w:before="100" w:beforeAutospacing="1" w:after="100" w:afterAutospacing="1" w:line="240" w:lineRule="auto"/>
        <w:rPr>
          <w:sz w:val="20"/>
        </w:rPr>
      </w:pPr>
    </w:p>
    <w:p w:rsidR="00982BAB" w:rsidRDefault="00982BAB" w:rsidP="00E0229E">
      <w:pPr>
        <w:spacing w:before="100" w:beforeAutospacing="1" w:after="100" w:afterAutospacing="1" w:line="240" w:lineRule="auto"/>
        <w:rPr>
          <w:sz w:val="20"/>
        </w:rPr>
      </w:pPr>
    </w:p>
    <w:p w:rsidR="00982BAB" w:rsidRDefault="00982BAB" w:rsidP="00E0229E">
      <w:pPr>
        <w:spacing w:before="100" w:beforeAutospacing="1" w:after="100" w:afterAutospacing="1" w:line="240" w:lineRule="auto"/>
        <w:rPr>
          <w:sz w:val="20"/>
        </w:rPr>
      </w:pPr>
    </w:p>
    <w:p w:rsidR="00594D64" w:rsidRDefault="00594D64">
      <w:pPr>
        <w:rPr>
          <w:sz w:val="20"/>
        </w:rPr>
      </w:pPr>
      <w:r>
        <w:rPr>
          <w:sz w:val="20"/>
        </w:rPr>
        <w:br w:type="page"/>
      </w:r>
    </w:p>
    <w:p w:rsidR="00594D64" w:rsidRDefault="00594D64" w:rsidP="00594D64">
      <w:pPr>
        <w:pStyle w:val="Heading1"/>
        <w:spacing w:before="100" w:beforeAutospacing="1" w:after="100" w:afterAutospacing="1"/>
      </w:pPr>
      <w:bookmarkStart w:id="6" w:name="_Toc419713171"/>
      <w:r>
        <w:lastRenderedPageBreak/>
        <w:t>Further Questions</w:t>
      </w:r>
      <w:bookmarkEnd w:id="6"/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Randall P. Niedz, Ph.D.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Research Geneticist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U.S. Dept. of Agriculture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Agricultural Research Service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U.S. Horticultural Research Laboratory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2001 South Rock Road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Ft. Pierce, FL 34945-3030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Office: 772-462-5919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Cell: 772-216-2278</w:t>
      </w:r>
    </w:p>
    <w:p w:rsidR="004A7418" w:rsidRP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>Fax: 772-462-5986</w:t>
      </w:r>
    </w:p>
    <w:p w:rsidR="004A7418" w:rsidRDefault="004A7418" w:rsidP="004A7418">
      <w:pPr>
        <w:spacing w:after="0" w:line="240" w:lineRule="auto"/>
        <w:rPr>
          <w:sz w:val="20"/>
        </w:rPr>
      </w:pPr>
      <w:r w:rsidRPr="004A7418">
        <w:rPr>
          <w:sz w:val="20"/>
        </w:rPr>
        <w:t xml:space="preserve">Email: </w:t>
      </w:r>
      <w:hyperlink r:id="rId24" w:history="1">
        <w:r w:rsidR="000718BB" w:rsidRPr="0022116E">
          <w:rPr>
            <w:rStyle w:val="Hyperlink"/>
            <w:sz w:val="20"/>
          </w:rPr>
          <w:t>randall.niedz@ars.usda.gov</w:t>
        </w:r>
      </w:hyperlink>
    </w:p>
    <w:p w:rsidR="000718BB" w:rsidRDefault="000718BB" w:rsidP="004A7418">
      <w:pPr>
        <w:spacing w:after="0" w:line="240" w:lineRule="auto"/>
        <w:rPr>
          <w:sz w:val="20"/>
        </w:rPr>
      </w:pPr>
    </w:p>
    <w:p w:rsidR="000718BB" w:rsidRPr="004A7418" w:rsidRDefault="000718BB" w:rsidP="004A7418">
      <w:pPr>
        <w:spacing w:after="0" w:line="240" w:lineRule="auto"/>
        <w:rPr>
          <w:sz w:val="20"/>
        </w:rPr>
      </w:pPr>
    </w:p>
    <w:p w:rsidR="004A7418" w:rsidRPr="004A7418" w:rsidRDefault="004A7418" w:rsidP="004A7418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594D64" w:rsidRDefault="00594D64" w:rsidP="00E0229E">
      <w:pPr>
        <w:spacing w:before="100" w:beforeAutospacing="1" w:after="100" w:afterAutospacing="1" w:line="240" w:lineRule="auto"/>
        <w:rPr>
          <w:sz w:val="20"/>
        </w:rPr>
      </w:pPr>
    </w:p>
    <w:p w:rsidR="00594D64" w:rsidRDefault="00594D64" w:rsidP="00E0229E">
      <w:pPr>
        <w:spacing w:before="100" w:beforeAutospacing="1" w:after="100" w:afterAutospacing="1" w:line="240" w:lineRule="auto"/>
        <w:rPr>
          <w:sz w:val="20"/>
        </w:rPr>
      </w:pPr>
    </w:p>
    <w:p w:rsidR="009009A7" w:rsidRDefault="009009A7" w:rsidP="00950A19">
      <w:pPr>
        <w:spacing w:before="100" w:beforeAutospacing="1" w:after="100" w:afterAutospacing="1" w:line="240" w:lineRule="auto"/>
        <w:rPr>
          <w:sz w:val="20"/>
        </w:rPr>
      </w:pPr>
    </w:p>
    <w:p w:rsidR="00D05587" w:rsidRDefault="00D05587" w:rsidP="00950A19">
      <w:pPr>
        <w:spacing w:before="100" w:beforeAutospacing="1" w:after="100" w:afterAutospacing="1" w:line="240" w:lineRule="auto"/>
        <w:rPr>
          <w:sz w:val="20"/>
        </w:rPr>
      </w:pPr>
    </w:p>
    <w:p w:rsidR="009A319D" w:rsidRDefault="009A319D" w:rsidP="00950A19">
      <w:pPr>
        <w:spacing w:before="100" w:beforeAutospacing="1" w:after="100" w:afterAutospacing="1" w:line="240" w:lineRule="auto"/>
        <w:rPr>
          <w:sz w:val="20"/>
        </w:rPr>
      </w:pPr>
    </w:p>
    <w:p w:rsidR="009A319D" w:rsidRDefault="009A319D" w:rsidP="00950A19">
      <w:pPr>
        <w:spacing w:before="100" w:beforeAutospacing="1" w:after="100" w:afterAutospacing="1" w:line="240" w:lineRule="auto"/>
        <w:rPr>
          <w:sz w:val="20"/>
        </w:rPr>
      </w:pPr>
    </w:p>
    <w:p w:rsidR="009A319D" w:rsidRDefault="009A319D" w:rsidP="00950A19">
      <w:pPr>
        <w:spacing w:before="100" w:beforeAutospacing="1" w:after="100" w:afterAutospacing="1" w:line="240" w:lineRule="auto"/>
        <w:rPr>
          <w:sz w:val="20"/>
        </w:rPr>
      </w:pPr>
    </w:p>
    <w:p w:rsidR="009A319D" w:rsidRDefault="009A319D" w:rsidP="00950A19">
      <w:pPr>
        <w:spacing w:before="100" w:beforeAutospacing="1" w:after="100" w:afterAutospacing="1" w:line="240" w:lineRule="auto"/>
        <w:rPr>
          <w:sz w:val="20"/>
        </w:rPr>
      </w:pPr>
    </w:p>
    <w:p w:rsidR="009A319D" w:rsidRDefault="009A319D" w:rsidP="00950A19">
      <w:pPr>
        <w:spacing w:before="100" w:beforeAutospacing="1" w:after="100" w:afterAutospacing="1" w:line="240" w:lineRule="auto"/>
        <w:rPr>
          <w:sz w:val="20"/>
        </w:rPr>
      </w:pPr>
    </w:p>
    <w:p w:rsidR="000E4127" w:rsidRDefault="000E4127" w:rsidP="00950A19">
      <w:pPr>
        <w:spacing w:before="100" w:beforeAutospacing="1" w:after="100" w:afterAutospacing="1" w:line="240" w:lineRule="auto"/>
        <w:rPr>
          <w:sz w:val="20"/>
        </w:rPr>
      </w:pPr>
    </w:p>
    <w:p w:rsidR="000E4127" w:rsidRDefault="000E4127" w:rsidP="00950A19">
      <w:pPr>
        <w:spacing w:before="100" w:beforeAutospacing="1" w:after="100" w:afterAutospacing="1" w:line="240" w:lineRule="auto"/>
        <w:rPr>
          <w:sz w:val="20"/>
        </w:rPr>
      </w:pPr>
    </w:p>
    <w:p w:rsidR="000E4127" w:rsidRDefault="000E4127" w:rsidP="00950A19">
      <w:pPr>
        <w:spacing w:before="100" w:beforeAutospacing="1" w:after="100" w:afterAutospacing="1" w:line="240" w:lineRule="auto"/>
        <w:rPr>
          <w:sz w:val="20"/>
        </w:rPr>
      </w:pPr>
    </w:p>
    <w:p w:rsidR="005A5A56" w:rsidRPr="00271EE4" w:rsidRDefault="00EE3CF7" w:rsidP="00950A19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 xml:space="preserve">  </w:t>
      </w:r>
    </w:p>
    <w:sectPr w:rsidR="005A5A56" w:rsidRPr="00271EE4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A2" w:rsidRDefault="00905FA2" w:rsidP="00C26B12">
      <w:pPr>
        <w:spacing w:after="0" w:line="240" w:lineRule="auto"/>
      </w:pPr>
      <w:r>
        <w:separator/>
      </w:r>
    </w:p>
  </w:endnote>
  <w:endnote w:type="continuationSeparator" w:id="0">
    <w:p w:rsidR="00905FA2" w:rsidRDefault="00905FA2" w:rsidP="00C2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615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46B4" w:rsidRDefault="00B946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F8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946B4" w:rsidRDefault="00B94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A2" w:rsidRDefault="00905FA2" w:rsidP="00C26B12">
      <w:pPr>
        <w:spacing w:after="0" w:line="240" w:lineRule="auto"/>
      </w:pPr>
      <w:r>
        <w:separator/>
      </w:r>
    </w:p>
  </w:footnote>
  <w:footnote w:type="continuationSeparator" w:id="0">
    <w:p w:rsidR="00905FA2" w:rsidRDefault="00905FA2" w:rsidP="00C2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12" w:rsidRDefault="00C26B12">
    <w:pPr>
      <w:spacing w:line="264" w:lineRule="auto"/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0F5BC" wp14:editId="399022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1D7C5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" filled="f" strokecolor="#757575 [1614]" strokeweight="1.25pt">
              <v:stroke endcap="round"/>
              <w10:wrap anchorx="page" anchory="page"/>
            </v:rect>
          </w:pict>
        </mc:Fallback>
      </mc:AlternateContent>
    </w:r>
    <w:sdt>
      <w:sdtPr>
        <w:rPr>
          <w:color w:val="B01513" w:themeColor="accent1"/>
          <w:sz w:val="20"/>
          <w:szCs w:val="20"/>
        </w:rPr>
        <w:alias w:val="Title"/>
        <w:id w:val="15524250"/>
        <w:placeholder>
          <w:docPart w:val="5016D7398C4F434E8E3C5ECC2AF9D0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0784">
          <w:rPr>
            <w:color w:val="B01513" w:themeColor="accent1"/>
            <w:sz w:val="20"/>
            <w:szCs w:val="20"/>
          </w:rPr>
          <w:t>May 1</w:t>
        </w:r>
        <w:r w:rsidR="00880E99">
          <w:rPr>
            <w:color w:val="B01513" w:themeColor="accent1"/>
            <w:sz w:val="20"/>
            <w:szCs w:val="20"/>
          </w:rPr>
          <w:t>5</w:t>
        </w:r>
        <w:r w:rsidR="00460784">
          <w:rPr>
            <w:color w:val="B01513" w:themeColor="accent1"/>
            <w:sz w:val="20"/>
            <w:szCs w:val="20"/>
          </w:rPr>
          <w:t>, 2015</w:t>
        </w:r>
      </w:sdtContent>
    </w:sdt>
  </w:p>
  <w:p w:rsidR="00C26B12" w:rsidRDefault="00C2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6D6"/>
    <w:multiLevelType w:val="multilevel"/>
    <w:tmpl w:val="557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C2A42"/>
    <w:multiLevelType w:val="multilevel"/>
    <w:tmpl w:val="279E4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D30575"/>
    <w:multiLevelType w:val="hybridMultilevel"/>
    <w:tmpl w:val="DA242AC8"/>
    <w:lvl w:ilvl="0" w:tplc="A7D63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04FDA"/>
    <w:multiLevelType w:val="multilevel"/>
    <w:tmpl w:val="557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544B8"/>
    <w:multiLevelType w:val="multilevel"/>
    <w:tmpl w:val="557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EF"/>
    <w:rsid w:val="00016D6F"/>
    <w:rsid w:val="00030805"/>
    <w:rsid w:val="00033FB3"/>
    <w:rsid w:val="00055F91"/>
    <w:rsid w:val="000718BB"/>
    <w:rsid w:val="0007581C"/>
    <w:rsid w:val="000A1F0B"/>
    <w:rsid w:val="000A26F2"/>
    <w:rsid w:val="000A4639"/>
    <w:rsid w:val="000A65D6"/>
    <w:rsid w:val="000B3AB7"/>
    <w:rsid w:val="000D3C14"/>
    <w:rsid w:val="000E4127"/>
    <w:rsid w:val="000F36FB"/>
    <w:rsid w:val="0011027D"/>
    <w:rsid w:val="00116566"/>
    <w:rsid w:val="00116C83"/>
    <w:rsid w:val="00124234"/>
    <w:rsid w:val="001446C5"/>
    <w:rsid w:val="00144F9C"/>
    <w:rsid w:val="001844F8"/>
    <w:rsid w:val="001A399D"/>
    <w:rsid w:val="001A3D24"/>
    <w:rsid w:val="001B715A"/>
    <w:rsid w:val="001D64F3"/>
    <w:rsid w:val="001E28F6"/>
    <w:rsid w:val="00233905"/>
    <w:rsid w:val="002419D9"/>
    <w:rsid w:val="00271EE4"/>
    <w:rsid w:val="00281FAD"/>
    <w:rsid w:val="00282C56"/>
    <w:rsid w:val="00286A22"/>
    <w:rsid w:val="00292609"/>
    <w:rsid w:val="002B03EA"/>
    <w:rsid w:val="002B38C8"/>
    <w:rsid w:val="002C02F8"/>
    <w:rsid w:val="002C563F"/>
    <w:rsid w:val="002D0979"/>
    <w:rsid w:val="002F1A67"/>
    <w:rsid w:val="00341FDE"/>
    <w:rsid w:val="003632BF"/>
    <w:rsid w:val="003956FB"/>
    <w:rsid w:val="003A5F55"/>
    <w:rsid w:val="003B7902"/>
    <w:rsid w:val="003D3EF6"/>
    <w:rsid w:val="003E2FC2"/>
    <w:rsid w:val="0041170D"/>
    <w:rsid w:val="00415018"/>
    <w:rsid w:val="00437145"/>
    <w:rsid w:val="004401D9"/>
    <w:rsid w:val="00457467"/>
    <w:rsid w:val="00460784"/>
    <w:rsid w:val="00473331"/>
    <w:rsid w:val="004947DB"/>
    <w:rsid w:val="00495247"/>
    <w:rsid w:val="004A7418"/>
    <w:rsid w:val="004B3460"/>
    <w:rsid w:val="004C0732"/>
    <w:rsid w:val="004C1BA9"/>
    <w:rsid w:val="004C4A23"/>
    <w:rsid w:val="004E5222"/>
    <w:rsid w:val="004F589E"/>
    <w:rsid w:val="0050182F"/>
    <w:rsid w:val="005035EF"/>
    <w:rsid w:val="00513C71"/>
    <w:rsid w:val="0054337B"/>
    <w:rsid w:val="00543B3E"/>
    <w:rsid w:val="005524F9"/>
    <w:rsid w:val="005564AB"/>
    <w:rsid w:val="005832D6"/>
    <w:rsid w:val="00592F86"/>
    <w:rsid w:val="00594D64"/>
    <w:rsid w:val="0059566B"/>
    <w:rsid w:val="005A5A56"/>
    <w:rsid w:val="005A664C"/>
    <w:rsid w:val="005B49D4"/>
    <w:rsid w:val="005E4901"/>
    <w:rsid w:val="005F4ED5"/>
    <w:rsid w:val="00601C2B"/>
    <w:rsid w:val="006110EF"/>
    <w:rsid w:val="00616A7A"/>
    <w:rsid w:val="006450FF"/>
    <w:rsid w:val="00674CB1"/>
    <w:rsid w:val="006851F3"/>
    <w:rsid w:val="006A51E7"/>
    <w:rsid w:val="006C4093"/>
    <w:rsid w:val="006C50F3"/>
    <w:rsid w:val="006E40F6"/>
    <w:rsid w:val="006E62F2"/>
    <w:rsid w:val="00700660"/>
    <w:rsid w:val="00722C55"/>
    <w:rsid w:val="00733BB0"/>
    <w:rsid w:val="00744B7B"/>
    <w:rsid w:val="007778AE"/>
    <w:rsid w:val="0078621D"/>
    <w:rsid w:val="007B168C"/>
    <w:rsid w:val="007B574E"/>
    <w:rsid w:val="007B7728"/>
    <w:rsid w:val="007C2AAB"/>
    <w:rsid w:val="007F2508"/>
    <w:rsid w:val="008175FA"/>
    <w:rsid w:val="008244B4"/>
    <w:rsid w:val="00834DF4"/>
    <w:rsid w:val="00835472"/>
    <w:rsid w:val="0084077A"/>
    <w:rsid w:val="00844CA2"/>
    <w:rsid w:val="0085541D"/>
    <w:rsid w:val="008658CF"/>
    <w:rsid w:val="008737BD"/>
    <w:rsid w:val="00875D27"/>
    <w:rsid w:val="00880E99"/>
    <w:rsid w:val="008A095B"/>
    <w:rsid w:val="008A199E"/>
    <w:rsid w:val="008B6B6D"/>
    <w:rsid w:val="008C1343"/>
    <w:rsid w:val="008D3A76"/>
    <w:rsid w:val="009009A7"/>
    <w:rsid w:val="00905FA2"/>
    <w:rsid w:val="00905FFD"/>
    <w:rsid w:val="00950A19"/>
    <w:rsid w:val="00951905"/>
    <w:rsid w:val="009708B2"/>
    <w:rsid w:val="00971486"/>
    <w:rsid w:val="009772EB"/>
    <w:rsid w:val="00982BAB"/>
    <w:rsid w:val="009A034F"/>
    <w:rsid w:val="009A319D"/>
    <w:rsid w:val="009B02C0"/>
    <w:rsid w:val="009C6BA9"/>
    <w:rsid w:val="009D0CD1"/>
    <w:rsid w:val="009D7175"/>
    <w:rsid w:val="009E4B17"/>
    <w:rsid w:val="00A0109E"/>
    <w:rsid w:val="00A0235F"/>
    <w:rsid w:val="00A13F5D"/>
    <w:rsid w:val="00A4100B"/>
    <w:rsid w:val="00A517C6"/>
    <w:rsid w:val="00AA6618"/>
    <w:rsid w:val="00AD3E2E"/>
    <w:rsid w:val="00AE7524"/>
    <w:rsid w:val="00AF0A13"/>
    <w:rsid w:val="00AF7C7F"/>
    <w:rsid w:val="00B014A0"/>
    <w:rsid w:val="00B014E7"/>
    <w:rsid w:val="00B04DBD"/>
    <w:rsid w:val="00B05352"/>
    <w:rsid w:val="00B400D5"/>
    <w:rsid w:val="00B4072C"/>
    <w:rsid w:val="00B423FF"/>
    <w:rsid w:val="00B5680F"/>
    <w:rsid w:val="00B73B2D"/>
    <w:rsid w:val="00B8288C"/>
    <w:rsid w:val="00B946B4"/>
    <w:rsid w:val="00BB139F"/>
    <w:rsid w:val="00BD2C61"/>
    <w:rsid w:val="00BE6B8F"/>
    <w:rsid w:val="00C10C9B"/>
    <w:rsid w:val="00C11907"/>
    <w:rsid w:val="00C122FB"/>
    <w:rsid w:val="00C17E72"/>
    <w:rsid w:val="00C21AE9"/>
    <w:rsid w:val="00C26B12"/>
    <w:rsid w:val="00C306C9"/>
    <w:rsid w:val="00C336EA"/>
    <w:rsid w:val="00C36877"/>
    <w:rsid w:val="00C832FE"/>
    <w:rsid w:val="00C84C55"/>
    <w:rsid w:val="00C87C0F"/>
    <w:rsid w:val="00C87D8D"/>
    <w:rsid w:val="00C9251D"/>
    <w:rsid w:val="00C95AE8"/>
    <w:rsid w:val="00CA7A20"/>
    <w:rsid w:val="00CA7F72"/>
    <w:rsid w:val="00CB0E4F"/>
    <w:rsid w:val="00CD1F40"/>
    <w:rsid w:val="00CD3CC9"/>
    <w:rsid w:val="00CF0B98"/>
    <w:rsid w:val="00D05587"/>
    <w:rsid w:val="00D44C58"/>
    <w:rsid w:val="00DA2112"/>
    <w:rsid w:val="00DE42DB"/>
    <w:rsid w:val="00DF70EA"/>
    <w:rsid w:val="00E0037B"/>
    <w:rsid w:val="00E0229E"/>
    <w:rsid w:val="00E22E4E"/>
    <w:rsid w:val="00E309F8"/>
    <w:rsid w:val="00E51DA7"/>
    <w:rsid w:val="00E53FD6"/>
    <w:rsid w:val="00E56230"/>
    <w:rsid w:val="00E90393"/>
    <w:rsid w:val="00E96FF7"/>
    <w:rsid w:val="00E97CC8"/>
    <w:rsid w:val="00EC7AD1"/>
    <w:rsid w:val="00EE3CF7"/>
    <w:rsid w:val="00F0496F"/>
    <w:rsid w:val="00F16C2D"/>
    <w:rsid w:val="00F254F4"/>
    <w:rsid w:val="00F46B31"/>
    <w:rsid w:val="00FA4114"/>
    <w:rsid w:val="00FC1BC9"/>
    <w:rsid w:val="00FC36AF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8E10A-B01B-4B1C-8C88-50CD54A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254F4"/>
  </w:style>
  <w:style w:type="table" w:styleId="TableGrid">
    <w:name w:val="Table Grid"/>
    <w:basedOn w:val="TableNormal"/>
    <w:uiPriority w:val="39"/>
    <w:rsid w:val="00F2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12"/>
  </w:style>
  <w:style w:type="paragraph" w:styleId="Footer">
    <w:name w:val="footer"/>
    <w:basedOn w:val="Normal"/>
    <w:link w:val="FooterChar"/>
    <w:uiPriority w:val="99"/>
    <w:unhideWhenUsed/>
    <w:rsid w:val="00C2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12"/>
  </w:style>
  <w:style w:type="paragraph" w:styleId="TOCHeading">
    <w:name w:val="TOC Heading"/>
    <w:basedOn w:val="Heading1"/>
    <w:next w:val="Normal"/>
    <w:uiPriority w:val="39"/>
    <w:unhideWhenUsed/>
    <w:qFormat/>
    <w:rsid w:val="002C563F"/>
    <w:pPr>
      <w:spacing w:before="240" w:after="0" w:line="259" w:lineRule="auto"/>
      <w:outlineLvl w:val="9"/>
    </w:pPr>
    <w:rPr>
      <w:color w:val="830F0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63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randall.niedz@ars.usda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edz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6D7398C4F434E8E3C5ECC2AF9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DA77-A4AB-4602-BCB5-EF62543D0BD5}"/>
      </w:docPartPr>
      <w:docPartBody>
        <w:p w:rsidR="008343D1" w:rsidRDefault="00485DF3" w:rsidP="00485DF3">
          <w:pPr>
            <w:pStyle w:val="5016D7398C4F434E8E3C5ECC2AF9D06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3"/>
    <w:rsid w:val="00485DF3"/>
    <w:rsid w:val="008343D1"/>
    <w:rsid w:val="00941F86"/>
    <w:rsid w:val="00E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6D7398C4F434E8E3C5ECC2AF9D06D">
    <w:name w:val="5016D7398C4F434E8E3C5ECC2AF9D06D"/>
    <w:rsid w:val="0048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80D58-063E-4235-8B2E-F436A80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621</TotalTime>
  <Pages>17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15, 2015</dc:title>
  <dc:creator>Randy Niedz</dc:creator>
  <cp:keywords/>
  <cp:lastModifiedBy>Randy Niedz</cp:lastModifiedBy>
  <cp:revision>35</cp:revision>
  <cp:lastPrinted>2015-05-18T16:47:00Z</cp:lastPrinted>
  <dcterms:created xsi:type="dcterms:W3CDTF">2015-05-15T13:37:00Z</dcterms:created>
  <dcterms:modified xsi:type="dcterms:W3CDTF">2015-08-07T17:15:00Z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