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ABC57" w14:textId="77777777" w:rsidR="00B320F1" w:rsidRDefault="00D61259">
      <w:pPr>
        <w:jc w:val="center"/>
      </w:pPr>
      <w:r>
        <w:t>Asian Giant Hornet (</w:t>
      </w:r>
      <w:r>
        <w:rPr>
          <w:i/>
        </w:rPr>
        <w:t xml:space="preserve">Vespa </w:t>
      </w:r>
      <w:proofErr w:type="spellStart"/>
      <w:r>
        <w:rPr>
          <w:i/>
        </w:rPr>
        <w:t>mandarinia</w:t>
      </w:r>
      <w:proofErr w:type="spellEnd"/>
      <w:r>
        <w:t>) Genome Project Methods Description</w:t>
      </w:r>
    </w:p>
    <w:p w14:paraId="0AA84939" w14:textId="77777777" w:rsidR="00B320F1" w:rsidRDefault="00B320F1"/>
    <w:p w14:paraId="750DCD98" w14:textId="77777777" w:rsidR="00B320F1" w:rsidRDefault="00D61259">
      <w:r>
        <w:t>Sample collection:</w:t>
      </w:r>
    </w:p>
    <w:p w14:paraId="2D9541C5" w14:textId="77777777" w:rsidR="00B320F1" w:rsidRDefault="00D61259">
      <w:pPr>
        <w:rPr>
          <w:b w:val="0"/>
        </w:rPr>
      </w:pPr>
      <w:r>
        <w:rPr>
          <w:b w:val="0"/>
        </w:rPr>
        <w:t xml:space="preserve">A specimen of a large hornet of unknown taxonomy was turned in to local authorities on Vancouver Island, in British Columbia, in May of 2019. </w:t>
      </w:r>
      <w:proofErr w:type="gramStart"/>
      <w:r>
        <w:rPr>
          <w:b w:val="0"/>
        </w:rPr>
        <w:t xml:space="preserve">It was subsequently identified, by Canadian and Japanese entomologists, as well as DNA fingerprinting, to be </w:t>
      </w:r>
      <w:r w:rsidRPr="00463E6D">
        <w:rPr>
          <w:b w:val="0"/>
          <w:i/>
        </w:rPr>
        <w:t xml:space="preserve">V. </w:t>
      </w:r>
      <w:proofErr w:type="spellStart"/>
      <w:r w:rsidRPr="00463E6D">
        <w:rPr>
          <w:b w:val="0"/>
          <w:i/>
        </w:rPr>
        <w:t>mandarinia</w:t>
      </w:r>
      <w:proofErr w:type="spellEnd"/>
      <w:proofErr w:type="gramEnd"/>
      <w:r>
        <w:rPr>
          <w:b w:val="0"/>
        </w:rPr>
        <w:t>. Local beekeepers in Nanaimo, BC, managed to track down the nest, located at 49.152809 N, 123.943125 W. The beekeepers visited the nest later that evening and subdued all the insects with fire retardant (CO</w:t>
      </w:r>
      <w:r>
        <w:rPr>
          <w:b w:val="0"/>
          <w:vertAlign w:val="subscript"/>
        </w:rPr>
        <w:t>2</w:t>
      </w:r>
      <w:r>
        <w:rPr>
          <w:b w:val="0"/>
        </w:rPr>
        <w:t>), to both asphyxiate them and stun them with lower temperatures. The nest was then immediately dug out of the ground and all insects were transferred quickly into 70% ethanol. Once dead, the insects were removed from the alcohol and stored at -20˚C until they could be transferred to the University of British Columbia, where they were subsequently stored at -80˚C. The specimen used for sequencing was stored at -20˚C for approximately 2 weeks.</w:t>
      </w:r>
    </w:p>
    <w:p w14:paraId="5208FEA7" w14:textId="77777777" w:rsidR="00B320F1" w:rsidRDefault="00B320F1"/>
    <w:p w14:paraId="3E1E2F93" w14:textId="77777777" w:rsidR="00B320F1" w:rsidRDefault="00D61259">
      <w:r>
        <w:t>DNA extraction &amp; Library preparation:</w:t>
      </w:r>
    </w:p>
    <w:p w14:paraId="2713EB40" w14:textId="77777777" w:rsidR="00B320F1" w:rsidRDefault="00D61259">
      <w:pPr>
        <w:rPr>
          <w:b w:val="0"/>
        </w:rPr>
      </w:pPr>
      <w:r>
        <w:rPr>
          <w:b w:val="0"/>
        </w:rPr>
        <w:t xml:space="preserve">High molecular weight (HMW) DNA extraction was performed using the </w:t>
      </w:r>
      <w:proofErr w:type="spellStart"/>
      <w:r>
        <w:rPr>
          <w:b w:val="0"/>
        </w:rPr>
        <w:t>Qiagen</w:t>
      </w:r>
      <w:proofErr w:type="spellEnd"/>
      <w:r>
        <w:rPr>
          <w:b w:val="0"/>
        </w:rPr>
        <w:t xml:space="preserve"> </w:t>
      </w:r>
      <w:proofErr w:type="spellStart"/>
      <w:r>
        <w:rPr>
          <w:b w:val="0"/>
        </w:rPr>
        <w:t>MagAttract</w:t>
      </w:r>
      <w:proofErr w:type="spellEnd"/>
      <w:r>
        <w:rPr>
          <w:b w:val="0"/>
        </w:rPr>
        <w:t xml:space="preserve"> HMW DNA Kit. The tissue sample of the specimen was shipped on dry ice and stored at -80° C prior to extraction.  To process the sample, it was removed from the freezer and maintained frozen in liquid nitrogen.  The specimen was divided into the major body segments (head, thorax and abdomen). Half of the hornet’s thorax was split into two replicates (reaction A and reaction B) and placed in pre-frozen 2.0 ml reinforced </w:t>
      </w:r>
      <w:r w:rsidR="00591A84">
        <w:rPr>
          <w:b w:val="0"/>
        </w:rPr>
        <w:t xml:space="preserve">tubes (SPEX </w:t>
      </w:r>
      <w:proofErr w:type="spellStart"/>
      <w:r w:rsidR="00591A84">
        <w:rPr>
          <w:b w:val="0"/>
        </w:rPr>
        <w:t>SamplePrep</w:t>
      </w:r>
      <w:proofErr w:type="spellEnd"/>
      <w:r w:rsidR="00591A84">
        <w:rPr>
          <w:b w:val="0"/>
        </w:rPr>
        <w:t xml:space="preserve"> catalog item </w:t>
      </w:r>
      <w:r>
        <w:rPr>
          <w:b w:val="0"/>
        </w:rPr>
        <w:t xml:space="preserve">2310) each containing a sterilized 5/32inch 440 Stainless Steel Ball Bearing G25 (BC PERCISION) and submerged in liquid nitrogen. The frozen sample tubes were then placed in a pre- frozen aluminum tube block and loaded into the </w:t>
      </w:r>
      <w:proofErr w:type="spellStart"/>
      <w:r>
        <w:rPr>
          <w:b w:val="0"/>
        </w:rPr>
        <w:t>Geno</w:t>
      </w:r>
      <w:proofErr w:type="spellEnd"/>
      <w:r>
        <w:rPr>
          <w:b w:val="0"/>
        </w:rPr>
        <w:t xml:space="preserve">/Grinder2010 (SPEX Sample prep). Samples were ground for 30 seconds at 1750 rpm until pulverized into a fine powder. Immediately after grinding, 100 </w:t>
      </w:r>
      <w:proofErr w:type="spellStart"/>
      <w:r>
        <w:rPr>
          <w:b w:val="0"/>
        </w:rPr>
        <w:t>μl</w:t>
      </w:r>
      <w:proofErr w:type="spellEnd"/>
      <w:r>
        <w:rPr>
          <w:b w:val="0"/>
        </w:rPr>
        <w:t xml:space="preserve"> 1x PBS and 10 </w:t>
      </w:r>
      <w:proofErr w:type="spellStart"/>
      <w:r>
        <w:rPr>
          <w:b w:val="0"/>
        </w:rPr>
        <w:t>μl</w:t>
      </w:r>
      <w:proofErr w:type="spellEnd"/>
      <w:r>
        <w:rPr>
          <w:b w:val="0"/>
        </w:rPr>
        <w:t xml:space="preserve"> Proteinase K was added to each sample and inverted 5 times to mix. A mixture containing 2 </w:t>
      </w:r>
      <w:proofErr w:type="spellStart"/>
      <w:r>
        <w:rPr>
          <w:b w:val="0"/>
        </w:rPr>
        <w:t>μl</w:t>
      </w:r>
      <w:proofErr w:type="spellEnd"/>
      <w:r>
        <w:rPr>
          <w:b w:val="0"/>
        </w:rPr>
        <w:t xml:space="preserve"> of </w:t>
      </w:r>
      <w:proofErr w:type="spellStart"/>
      <w:r>
        <w:rPr>
          <w:b w:val="0"/>
        </w:rPr>
        <w:t>RNase</w:t>
      </w:r>
      <w:proofErr w:type="spellEnd"/>
      <w:r>
        <w:rPr>
          <w:b w:val="0"/>
        </w:rPr>
        <w:t xml:space="preserve"> A and 75 </w:t>
      </w:r>
      <w:proofErr w:type="spellStart"/>
      <w:r>
        <w:rPr>
          <w:b w:val="0"/>
        </w:rPr>
        <w:t>μl</w:t>
      </w:r>
      <w:proofErr w:type="spellEnd"/>
      <w:r>
        <w:rPr>
          <w:b w:val="0"/>
        </w:rPr>
        <w:t xml:space="preserve"> Buffer AL were added to each sample, mixed by pulse-</w:t>
      </w:r>
      <w:proofErr w:type="spellStart"/>
      <w:r>
        <w:rPr>
          <w:b w:val="0"/>
        </w:rPr>
        <w:t>vortexing</w:t>
      </w:r>
      <w:proofErr w:type="spellEnd"/>
      <w:r>
        <w:rPr>
          <w:b w:val="0"/>
        </w:rPr>
        <w:t xml:space="preserve">, and then spun down. The samples were allowed to incubate at 25° C for 2 hours. Following incubation, the lysate of each replicate was carefully transferred to new 1.5 ml </w:t>
      </w:r>
      <w:proofErr w:type="spellStart"/>
      <w:r>
        <w:rPr>
          <w:b w:val="0"/>
        </w:rPr>
        <w:t>microcentrifuge</w:t>
      </w:r>
      <w:proofErr w:type="spellEnd"/>
      <w:r>
        <w:rPr>
          <w:b w:val="0"/>
        </w:rPr>
        <w:t xml:space="preserve"> tubes using wide-bore pipette tips. </w:t>
      </w:r>
      <w:proofErr w:type="spellStart"/>
      <w:r>
        <w:rPr>
          <w:b w:val="0"/>
        </w:rPr>
        <w:t>MagAttract</w:t>
      </w:r>
      <w:proofErr w:type="spellEnd"/>
      <w:r>
        <w:rPr>
          <w:b w:val="0"/>
        </w:rPr>
        <w:t xml:space="preserve"> Suspension G was </w:t>
      </w:r>
      <w:proofErr w:type="spellStart"/>
      <w:r>
        <w:rPr>
          <w:b w:val="0"/>
        </w:rPr>
        <w:t>resuspended</w:t>
      </w:r>
      <w:proofErr w:type="spellEnd"/>
      <w:r>
        <w:rPr>
          <w:b w:val="0"/>
        </w:rPr>
        <w:t xml:space="preserve"> and 10 </w:t>
      </w:r>
      <w:proofErr w:type="spellStart"/>
      <w:r>
        <w:rPr>
          <w:b w:val="0"/>
        </w:rPr>
        <w:t>μl</w:t>
      </w:r>
      <w:proofErr w:type="spellEnd"/>
      <w:r>
        <w:rPr>
          <w:b w:val="0"/>
        </w:rPr>
        <w:t xml:space="preserve"> was added to each sample followed by 140 </w:t>
      </w:r>
      <w:proofErr w:type="spellStart"/>
      <w:r>
        <w:rPr>
          <w:b w:val="0"/>
        </w:rPr>
        <w:t>μl</w:t>
      </w:r>
      <w:proofErr w:type="spellEnd"/>
      <w:r>
        <w:rPr>
          <w:b w:val="0"/>
        </w:rPr>
        <w:t xml:space="preserve"> Buffer MB. The samples were placed in a </w:t>
      </w:r>
      <w:proofErr w:type="spellStart"/>
      <w:r>
        <w:rPr>
          <w:b w:val="0"/>
        </w:rPr>
        <w:t>thermomixer</w:t>
      </w:r>
      <w:proofErr w:type="spellEnd"/>
      <w:r>
        <w:rPr>
          <w:b w:val="0"/>
        </w:rPr>
        <w:t xml:space="preserve"> and incubated for 3 minutes at 25° C and 1400 rpm. The samples were centrifuged briefly, placed on a magnetic rack, and incubated on the </w:t>
      </w:r>
      <w:proofErr w:type="spellStart"/>
      <w:r>
        <w:rPr>
          <w:b w:val="0"/>
        </w:rPr>
        <w:t>benchtop</w:t>
      </w:r>
      <w:proofErr w:type="spellEnd"/>
      <w:r>
        <w:rPr>
          <w:b w:val="0"/>
        </w:rPr>
        <w:t xml:space="preserve"> until the solutions cleared. The supernatant was discarded, and the samples were removed from the magnetic rack. Buffer MW1 (350 </w:t>
      </w:r>
      <w:proofErr w:type="spellStart"/>
      <w:r>
        <w:rPr>
          <w:b w:val="0"/>
        </w:rPr>
        <w:t>μl</w:t>
      </w:r>
      <w:proofErr w:type="spellEnd"/>
      <w:r>
        <w:rPr>
          <w:b w:val="0"/>
        </w:rPr>
        <w:t xml:space="preserve">) was added directly to each bead pellet and the samples were returned to the </w:t>
      </w:r>
      <w:proofErr w:type="spellStart"/>
      <w:r>
        <w:rPr>
          <w:b w:val="0"/>
        </w:rPr>
        <w:t>thermomixer</w:t>
      </w:r>
      <w:proofErr w:type="spellEnd"/>
      <w:r>
        <w:rPr>
          <w:b w:val="0"/>
        </w:rPr>
        <w:t xml:space="preserve"> and incubated at 25° C </w:t>
      </w:r>
      <w:proofErr w:type="gramStart"/>
      <w:r>
        <w:rPr>
          <w:b w:val="0"/>
        </w:rPr>
        <w:t>and</w:t>
      </w:r>
      <w:proofErr w:type="gramEnd"/>
      <w:r>
        <w:rPr>
          <w:b w:val="0"/>
        </w:rPr>
        <w:t xml:space="preserve"> 1400 rpm for 1 min. The above procedure was repeated for a total of 2 washes with Buffer MW1 and 2 washes with 350 </w:t>
      </w:r>
      <w:proofErr w:type="spellStart"/>
      <w:r>
        <w:rPr>
          <w:b w:val="0"/>
        </w:rPr>
        <w:t>μl</w:t>
      </w:r>
      <w:proofErr w:type="spellEnd"/>
      <w:r>
        <w:rPr>
          <w:b w:val="0"/>
        </w:rPr>
        <w:t xml:space="preserve"> Buffer PE. Following the second wash with Buffer PE the supernatant was discarded. While the samples remained on the magnetic rack, </w:t>
      </w:r>
      <w:proofErr w:type="gramStart"/>
      <w:r>
        <w:rPr>
          <w:b w:val="0"/>
        </w:rPr>
        <w:t xml:space="preserve">350 </w:t>
      </w:r>
      <w:proofErr w:type="spellStart"/>
      <w:r>
        <w:rPr>
          <w:b w:val="0"/>
        </w:rPr>
        <w:t>μl</w:t>
      </w:r>
      <w:proofErr w:type="spellEnd"/>
      <w:proofErr w:type="gramEnd"/>
      <w:r>
        <w:rPr>
          <w:b w:val="0"/>
        </w:rPr>
        <w:t xml:space="preserve"> nuclease-free water was carefully pipetted down the side of each tube opposite the bead pellet. The samples were allowed to incubate for exactly 1 min and the supernatant was quickly and carefully discarded. This process was repeated for a total of 2 washes with nuclease-free water. HMW genomic DNA was eluted by adding 100 </w:t>
      </w:r>
      <w:proofErr w:type="spellStart"/>
      <w:r>
        <w:rPr>
          <w:b w:val="0"/>
        </w:rPr>
        <w:t>μl</w:t>
      </w:r>
      <w:proofErr w:type="spellEnd"/>
      <w:r>
        <w:rPr>
          <w:b w:val="0"/>
        </w:rPr>
        <w:t xml:space="preserve"> Buffer AE directly to each bead pellet and incubated in a </w:t>
      </w:r>
      <w:proofErr w:type="spellStart"/>
      <w:r>
        <w:rPr>
          <w:b w:val="0"/>
        </w:rPr>
        <w:t>thermomixer</w:t>
      </w:r>
      <w:proofErr w:type="spellEnd"/>
      <w:r>
        <w:rPr>
          <w:b w:val="0"/>
        </w:rPr>
        <w:t xml:space="preserve"> at 37° C and 1400 rpm for 5 min. The samples were briefly centrifuged, placed on a magnetic rack, and allowed to incubate on the </w:t>
      </w:r>
      <w:proofErr w:type="spellStart"/>
      <w:r>
        <w:rPr>
          <w:b w:val="0"/>
        </w:rPr>
        <w:t>benchtop</w:t>
      </w:r>
      <w:proofErr w:type="spellEnd"/>
      <w:r>
        <w:rPr>
          <w:b w:val="0"/>
        </w:rPr>
        <w:t xml:space="preserve"> </w:t>
      </w:r>
      <w:r>
        <w:rPr>
          <w:b w:val="0"/>
        </w:rPr>
        <w:lastRenderedPageBreak/>
        <w:t xml:space="preserve">until the solutions cleared. The </w:t>
      </w:r>
      <w:proofErr w:type="spellStart"/>
      <w:r>
        <w:rPr>
          <w:b w:val="0"/>
        </w:rPr>
        <w:t>eluate</w:t>
      </w:r>
      <w:proofErr w:type="spellEnd"/>
      <w:r>
        <w:rPr>
          <w:b w:val="0"/>
        </w:rPr>
        <w:t xml:space="preserve"> containing purified </w:t>
      </w:r>
      <w:proofErr w:type="spellStart"/>
      <w:r>
        <w:rPr>
          <w:b w:val="0"/>
        </w:rPr>
        <w:t>gDNA</w:t>
      </w:r>
      <w:proofErr w:type="spellEnd"/>
      <w:r>
        <w:rPr>
          <w:b w:val="0"/>
        </w:rPr>
        <w:t xml:space="preserve"> was then transferred into a new 1.5 ml </w:t>
      </w:r>
      <w:proofErr w:type="spellStart"/>
      <w:r>
        <w:rPr>
          <w:b w:val="0"/>
        </w:rPr>
        <w:t>microcentrifuge</w:t>
      </w:r>
      <w:proofErr w:type="spellEnd"/>
      <w:r>
        <w:rPr>
          <w:b w:val="0"/>
        </w:rPr>
        <w:t xml:space="preserve"> tube using wide-bore pipette tips.</w:t>
      </w:r>
    </w:p>
    <w:p w14:paraId="4234CFB7" w14:textId="77777777" w:rsidR="00B320F1" w:rsidRDefault="00B320F1">
      <w:pPr>
        <w:rPr>
          <w:b w:val="0"/>
        </w:rPr>
      </w:pPr>
    </w:p>
    <w:p w14:paraId="7F1174AC" w14:textId="77777777" w:rsidR="00B320F1" w:rsidRDefault="00D61259">
      <w:pPr>
        <w:rPr>
          <w:b w:val="0"/>
        </w:rPr>
      </w:pPr>
      <w:r>
        <w:rPr>
          <w:b w:val="0"/>
        </w:rPr>
        <w:t xml:space="preserve">The extracted DNA was quantified using </w:t>
      </w:r>
      <w:proofErr w:type="spellStart"/>
      <w:r>
        <w:rPr>
          <w:b w:val="0"/>
        </w:rPr>
        <w:t>dsDNA</w:t>
      </w:r>
      <w:proofErr w:type="spellEnd"/>
      <w:r>
        <w:rPr>
          <w:b w:val="0"/>
        </w:rPr>
        <w:t xml:space="preserve"> BR </w:t>
      </w:r>
      <w:proofErr w:type="spellStart"/>
      <w:r>
        <w:rPr>
          <w:b w:val="0"/>
        </w:rPr>
        <w:t>Qubit</w:t>
      </w:r>
      <w:proofErr w:type="spellEnd"/>
      <w:r>
        <w:rPr>
          <w:b w:val="0"/>
        </w:rPr>
        <w:t xml:space="preserve"> assay and read using the </w:t>
      </w:r>
      <w:proofErr w:type="spellStart"/>
      <w:r>
        <w:rPr>
          <w:b w:val="0"/>
        </w:rPr>
        <w:t>Fluorometer</w:t>
      </w:r>
      <w:proofErr w:type="spellEnd"/>
      <w:r>
        <w:rPr>
          <w:b w:val="0"/>
        </w:rPr>
        <w:t xml:space="preserve"> feature on a </w:t>
      </w:r>
      <w:proofErr w:type="spellStart"/>
      <w:r>
        <w:rPr>
          <w:b w:val="0"/>
        </w:rPr>
        <w:t>Denovix</w:t>
      </w:r>
      <w:proofErr w:type="spellEnd"/>
      <w:r>
        <w:rPr>
          <w:b w:val="0"/>
        </w:rPr>
        <w:t xml:space="preserve"> DS-11 Series. Additionally, the purity of the DNA was assessed using the UV-Vis spectrometer feature on a </w:t>
      </w:r>
      <w:proofErr w:type="spellStart"/>
      <w:r>
        <w:rPr>
          <w:b w:val="0"/>
        </w:rPr>
        <w:t>Denovix</w:t>
      </w:r>
      <w:proofErr w:type="spellEnd"/>
      <w:r>
        <w:rPr>
          <w:b w:val="0"/>
        </w:rPr>
        <w:t xml:space="preserve"> DS-11 Series.</w:t>
      </w:r>
    </w:p>
    <w:p w14:paraId="5BB5D87A" w14:textId="77777777" w:rsidR="00B320F1" w:rsidRDefault="00B320F1">
      <w:pPr>
        <w:rPr>
          <w:b w:val="0"/>
        </w:rPr>
      </w:pPr>
    </w:p>
    <w:p w14:paraId="6A3EB309" w14:textId="77777777" w:rsidR="00B320F1" w:rsidRDefault="00D61259">
      <w:pPr>
        <w:rPr>
          <w:b w:val="0"/>
        </w:rPr>
      </w:pPr>
      <w:r>
        <w:rPr>
          <w:b w:val="0"/>
        </w:rPr>
        <w:t xml:space="preserve">To improve the purity of the extracted DNA prior to shearing, a 1.75x bead </w:t>
      </w:r>
      <w:proofErr w:type="spellStart"/>
      <w:proofErr w:type="gramStart"/>
      <w:r>
        <w:rPr>
          <w:b w:val="0"/>
        </w:rPr>
        <w:t>clean-up</w:t>
      </w:r>
      <w:proofErr w:type="spellEnd"/>
      <w:proofErr w:type="gramEnd"/>
      <w:r>
        <w:rPr>
          <w:b w:val="0"/>
        </w:rPr>
        <w:t xml:space="preserve"> was performed by adding 175 </w:t>
      </w:r>
      <w:proofErr w:type="spellStart"/>
      <w:r>
        <w:rPr>
          <w:b w:val="0"/>
        </w:rPr>
        <w:t>μl</w:t>
      </w:r>
      <w:proofErr w:type="spellEnd"/>
      <w:r>
        <w:rPr>
          <w:b w:val="0"/>
        </w:rPr>
        <w:t xml:space="preserve"> of room temperature polyethylene glycol containing solid-phase reversible immobilization beads solution </w:t>
      </w:r>
      <w:r w:rsidR="00591A84">
        <w:rPr>
          <w:b w:val="0"/>
        </w:rPr>
        <w:t>[1]</w:t>
      </w:r>
      <w:r>
        <w:rPr>
          <w:b w:val="0"/>
        </w:rPr>
        <w:t xml:space="preserve"> to each sample. The samples were mixed thoroughly by slow pipetting with wide-bore pipette tips and incubated at room temperature for 15 min. The samples were briefly centrifuged, placed on a magnetic rack, and allowed to incubate on the </w:t>
      </w:r>
      <w:proofErr w:type="spellStart"/>
      <w:r>
        <w:rPr>
          <w:b w:val="0"/>
        </w:rPr>
        <w:t>benchtop</w:t>
      </w:r>
      <w:proofErr w:type="spellEnd"/>
      <w:r>
        <w:rPr>
          <w:b w:val="0"/>
        </w:rPr>
        <w:t xml:space="preserve"> until the solutions cleared. The supernatant was carefully removed and discarded. While samples remained on the magnet, 500 µl of freshly prepared 80% ethanol was added to each tube. After a minute, the ethanol was removed and replaced with another 500 µl of 80% ethanol. After a minute the ethanol was removed, and the samples were spun down and placed back on to the magnet. Any residual ethanol was removed, and the samples were allowed to air dry for 5 min. The samples were removed from the magnet and </w:t>
      </w:r>
      <w:proofErr w:type="spellStart"/>
      <w:r>
        <w:rPr>
          <w:b w:val="0"/>
        </w:rPr>
        <w:t>resuspended</w:t>
      </w:r>
      <w:proofErr w:type="spellEnd"/>
      <w:r>
        <w:rPr>
          <w:b w:val="0"/>
        </w:rPr>
        <w:t xml:space="preserve"> in 26 µl elution buffer (5 </w:t>
      </w:r>
      <w:proofErr w:type="spellStart"/>
      <w:r>
        <w:rPr>
          <w:b w:val="0"/>
        </w:rPr>
        <w:t>mM</w:t>
      </w:r>
      <w:proofErr w:type="spellEnd"/>
      <w:r>
        <w:rPr>
          <w:b w:val="0"/>
        </w:rPr>
        <w:t xml:space="preserve"> </w:t>
      </w:r>
      <w:proofErr w:type="spellStart"/>
      <w:r>
        <w:rPr>
          <w:b w:val="0"/>
        </w:rPr>
        <w:t>Tris-HCl</w:t>
      </w:r>
      <w:proofErr w:type="spellEnd"/>
      <w:r>
        <w:rPr>
          <w:b w:val="0"/>
        </w:rPr>
        <w:t xml:space="preserve">, pH 8.5) and incubated at 37° C for 15 min. The samples were briefly centrifuged, placed on a magnetic rack, and allowed to incubate on the </w:t>
      </w:r>
      <w:proofErr w:type="spellStart"/>
      <w:r>
        <w:rPr>
          <w:b w:val="0"/>
        </w:rPr>
        <w:t>benchtop</w:t>
      </w:r>
      <w:proofErr w:type="spellEnd"/>
      <w:r>
        <w:rPr>
          <w:b w:val="0"/>
        </w:rPr>
        <w:t xml:space="preserve"> until the solutions cleared. The </w:t>
      </w:r>
      <w:proofErr w:type="spellStart"/>
      <w:r>
        <w:rPr>
          <w:b w:val="0"/>
        </w:rPr>
        <w:t>eluate</w:t>
      </w:r>
      <w:proofErr w:type="spellEnd"/>
      <w:r>
        <w:rPr>
          <w:b w:val="0"/>
        </w:rPr>
        <w:t xml:space="preserve"> from each sample was carefully transferred using wide-bore pipette tips to new 1.5 ml tubes. </w:t>
      </w:r>
      <w:proofErr w:type="gramStart"/>
      <w:r>
        <w:rPr>
          <w:b w:val="0"/>
        </w:rPr>
        <w:t xml:space="preserve">A second elution was performed by </w:t>
      </w:r>
      <w:proofErr w:type="spellStart"/>
      <w:r>
        <w:rPr>
          <w:b w:val="0"/>
        </w:rPr>
        <w:t>resuspending</w:t>
      </w:r>
      <w:proofErr w:type="spellEnd"/>
      <w:r>
        <w:rPr>
          <w:b w:val="0"/>
        </w:rPr>
        <w:t xml:space="preserve"> each bead pellet in an additional 26 µl of elution buffer</w:t>
      </w:r>
      <w:proofErr w:type="gramEnd"/>
      <w:r>
        <w:rPr>
          <w:b w:val="0"/>
        </w:rPr>
        <w:t xml:space="preserve"> (5 </w:t>
      </w:r>
      <w:proofErr w:type="spellStart"/>
      <w:r>
        <w:rPr>
          <w:b w:val="0"/>
        </w:rPr>
        <w:t>mM</w:t>
      </w:r>
      <w:proofErr w:type="spellEnd"/>
      <w:r>
        <w:rPr>
          <w:b w:val="0"/>
        </w:rPr>
        <w:t xml:space="preserve"> </w:t>
      </w:r>
      <w:proofErr w:type="spellStart"/>
      <w:r>
        <w:rPr>
          <w:b w:val="0"/>
        </w:rPr>
        <w:t>Tris-HCl</w:t>
      </w:r>
      <w:proofErr w:type="spellEnd"/>
      <w:r>
        <w:rPr>
          <w:b w:val="0"/>
        </w:rPr>
        <w:t xml:space="preserve">, pH 8.5). The samples were again incubated at 37° C for 15 min, briefly centrifuged and placed on a magnetic rack. The samples were allowed to incubate on the </w:t>
      </w:r>
      <w:proofErr w:type="spellStart"/>
      <w:r>
        <w:rPr>
          <w:b w:val="0"/>
        </w:rPr>
        <w:t>benchtop</w:t>
      </w:r>
      <w:proofErr w:type="spellEnd"/>
      <w:r>
        <w:rPr>
          <w:b w:val="0"/>
        </w:rPr>
        <w:t xml:space="preserve"> until the solution cleared and the </w:t>
      </w:r>
      <w:proofErr w:type="spellStart"/>
      <w:r>
        <w:rPr>
          <w:b w:val="0"/>
        </w:rPr>
        <w:t>eluates</w:t>
      </w:r>
      <w:proofErr w:type="spellEnd"/>
      <w:r>
        <w:rPr>
          <w:b w:val="0"/>
        </w:rPr>
        <w:t xml:space="preserve"> were carefully added to their respective 1.5 ml tube containing the first elution using wide-bore pipette tips.</w:t>
      </w:r>
    </w:p>
    <w:p w14:paraId="02673DA2" w14:textId="77777777" w:rsidR="00B320F1" w:rsidRDefault="00B320F1">
      <w:pPr>
        <w:rPr>
          <w:b w:val="0"/>
        </w:rPr>
      </w:pPr>
    </w:p>
    <w:p w14:paraId="4DB42FC4" w14:textId="77777777" w:rsidR="00B320F1" w:rsidRDefault="00D61259">
      <w:pPr>
        <w:rPr>
          <w:b w:val="0"/>
        </w:rPr>
      </w:pPr>
      <w:r>
        <w:rPr>
          <w:b w:val="0"/>
        </w:rPr>
        <w:t xml:space="preserve">The cleaned DNA was quantified using </w:t>
      </w:r>
      <w:proofErr w:type="spellStart"/>
      <w:r>
        <w:rPr>
          <w:b w:val="0"/>
        </w:rPr>
        <w:t>dsDNA</w:t>
      </w:r>
      <w:proofErr w:type="spellEnd"/>
      <w:r>
        <w:rPr>
          <w:b w:val="0"/>
        </w:rPr>
        <w:t xml:space="preserve"> BR </w:t>
      </w:r>
      <w:proofErr w:type="spellStart"/>
      <w:r>
        <w:rPr>
          <w:b w:val="0"/>
        </w:rPr>
        <w:t>Qubit</w:t>
      </w:r>
      <w:proofErr w:type="spellEnd"/>
      <w:r>
        <w:rPr>
          <w:b w:val="0"/>
        </w:rPr>
        <w:t xml:space="preserve"> assay and read using the </w:t>
      </w:r>
      <w:proofErr w:type="spellStart"/>
      <w:r>
        <w:rPr>
          <w:b w:val="0"/>
        </w:rPr>
        <w:t>Fluorometer</w:t>
      </w:r>
      <w:proofErr w:type="spellEnd"/>
      <w:r>
        <w:rPr>
          <w:b w:val="0"/>
        </w:rPr>
        <w:t xml:space="preserve"> feature on a </w:t>
      </w:r>
      <w:proofErr w:type="spellStart"/>
      <w:r>
        <w:rPr>
          <w:b w:val="0"/>
        </w:rPr>
        <w:t>Denovix</w:t>
      </w:r>
      <w:proofErr w:type="spellEnd"/>
      <w:r>
        <w:rPr>
          <w:b w:val="0"/>
        </w:rPr>
        <w:t xml:space="preserve"> DS-11 Series. Additionally, the purity of the DNA was assessed using the UV-Vis spectrometer feature on a </w:t>
      </w:r>
      <w:proofErr w:type="spellStart"/>
      <w:r>
        <w:rPr>
          <w:b w:val="0"/>
        </w:rPr>
        <w:t>Denovix</w:t>
      </w:r>
      <w:proofErr w:type="spellEnd"/>
      <w:r>
        <w:rPr>
          <w:b w:val="0"/>
        </w:rPr>
        <w:t xml:space="preserve"> DS-11 Series. The DNA size was qualified on the Agilent 4200 </w:t>
      </w:r>
      <w:proofErr w:type="spellStart"/>
      <w:r>
        <w:rPr>
          <w:b w:val="0"/>
        </w:rPr>
        <w:t>Tapestation</w:t>
      </w:r>
      <w:proofErr w:type="spellEnd"/>
      <w:r>
        <w:rPr>
          <w:b w:val="0"/>
        </w:rPr>
        <w:t xml:space="preserve"> System with genomic Screen Tape (Agilent Technologies).</w:t>
      </w:r>
    </w:p>
    <w:p w14:paraId="149949BA" w14:textId="77777777" w:rsidR="00B320F1" w:rsidRDefault="00B320F1">
      <w:pPr>
        <w:rPr>
          <w:b w:val="0"/>
        </w:rPr>
      </w:pPr>
    </w:p>
    <w:p w14:paraId="57AE0EAE" w14:textId="77777777" w:rsidR="00B320F1" w:rsidRDefault="00D61259">
      <w:pPr>
        <w:rPr>
          <w:b w:val="0"/>
        </w:rPr>
      </w:pPr>
      <w:r>
        <w:rPr>
          <w:b w:val="0"/>
        </w:rPr>
        <w:t xml:space="preserve">DNA shearing was performed using the </w:t>
      </w:r>
      <w:proofErr w:type="spellStart"/>
      <w:r>
        <w:rPr>
          <w:b w:val="0"/>
        </w:rPr>
        <w:t>Diagenode</w:t>
      </w:r>
      <w:proofErr w:type="spellEnd"/>
      <w:r>
        <w:rPr>
          <w:b w:val="0"/>
        </w:rPr>
        <w:t xml:space="preserve"> </w:t>
      </w:r>
      <w:proofErr w:type="spellStart"/>
      <w:r>
        <w:rPr>
          <w:b w:val="0"/>
        </w:rPr>
        <w:t>Megaruptor</w:t>
      </w:r>
      <w:proofErr w:type="spellEnd"/>
      <w:r>
        <w:rPr>
          <w:b w:val="0"/>
        </w:rPr>
        <w:t xml:space="preserve"> 2. The </w:t>
      </w:r>
      <w:proofErr w:type="spellStart"/>
      <w:r>
        <w:rPr>
          <w:b w:val="0"/>
        </w:rPr>
        <w:t>Megaruptor</w:t>
      </w:r>
      <w:proofErr w:type="spellEnd"/>
      <w:r>
        <w:rPr>
          <w:b w:val="0"/>
        </w:rPr>
        <w:t xml:space="preserve"> was prepared by initializing the system and performing a full wash cycle followed by a 10 </w:t>
      </w:r>
      <w:proofErr w:type="spellStart"/>
      <w:r>
        <w:rPr>
          <w:b w:val="0"/>
        </w:rPr>
        <w:t>mM</w:t>
      </w:r>
      <w:proofErr w:type="spellEnd"/>
      <w:r>
        <w:rPr>
          <w:b w:val="0"/>
        </w:rPr>
        <w:t xml:space="preserve"> </w:t>
      </w:r>
      <w:proofErr w:type="spellStart"/>
      <w:r>
        <w:rPr>
          <w:b w:val="0"/>
        </w:rPr>
        <w:t>Tris-HCl</w:t>
      </w:r>
      <w:proofErr w:type="spellEnd"/>
      <w:r>
        <w:rPr>
          <w:b w:val="0"/>
        </w:rPr>
        <w:t xml:space="preserve"> pH 7.5 </w:t>
      </w:r>
      <w:proofErr w:type="gramStart"/>
      <w:r>
        <w:rPr>
          <w:b w:val="0"/>
        </w:rPr>
        <w:t>rinse</w:t>
      </w:r>
      <w:proofErr w:type="gramEnd"/>
      <w:r>
        <w:rPr>
          <w:b w:val="0"/>
        </w:rPr>
        <w:t xml:space="preserve">. The machine was fitted with a long </w:t>
      </w:r>
      <w:proofErr w:type="spellStart"/>
      <w:r>
        <w:rPr>
          <w:b w:val="0"/>
        </w:rPr>
        <w:t>Hydropore</w:t>
      </w:r>
      <w:proofErr w:type="spellEnd"/>
      <w:r>
        <w:rPr>
          <w:b w:val="0"/>
        </w:rPr>
        <w:t xml:space="preserve"> (</w:t>
      </w:r>
      <w:proofErr w:type="spellStart"/>
      <w:r>
        <w:rPr>
          <w:b w:val="0"/>
        </w:rPr>
        <w:t>Diagenode</w:t>
      </w:r>
      <w:proofErr w:type="spellEnd"/>
      <w:r>
        <w:rPr>
          <w:b w:val="0"/>
        </w:rPr>
        <w:t xml:space="preserve"> catalog </w:t>
      </w:r>
      <w:r w:rsidR="00591A84">
        <w:rPr>
          <w:b w:val="0"/>
        </w:rPr>
        <w:t xml:space="preserve">item </w:t>
      </w:r>
      <w:r>
        <w:rPr>
          <w:b w:val="0"/>
        </w:rPr>
        <w:t xml:space="preserve">E07010002) and pre-loaded. For the construction of a Pacific Biosciences </w:t>
      </w:r>
      <w:proofErr w:type="spellStart"/>
      <w:r>
        <w:rPr>
          <w:b w:val="0"/>
        </w:rPr>
        <w:t>HiFi</w:t>
      </w:r>
      <w:proofErr w:type="spellEnd"/>
      <w:r>
        <w:rPr>
          <w:b w:val="0"/>
        </w:rPr>
        <w:t xml:space="preserve"> </w:t>
      </w:r>
      <w:proofErr w:type="spellStart"/>
      <w:r>
        <w:rPr>
          <w:b w:val="0"/>
        </w:rPr>
        <w:t>SMRTbell</w:t>
      </w:r>
      <w:proofErr w:type="spellEnd"/>
      <w:r>
        <w:rPr>
          <w:b w:val="0"/>
        </w:rPr>
        <w:t xml:space="preserve"> library, HMW </w:t>
      </w:r>
      <w:proofErr w:type="spellStart"/>
      <w:r>
        <w:rPr>
          <w:b w:val="0"/>
        </w:rPr>
        <w:t>gDNA</w:t>
      </w:r>
      <w:proofErr w:type="spellEnd"/>
      <w:r>
        <w:rPr>
          <w:b w:val="0"/>
        </w:rPr>
        <w:t xml:space="preserve"> from each replicate was transferred into new 0.5 ml Hydro Tubes (</w:t>
      </w:r>
      <w:proofErr w:type="spellStart"/>
      <w:r>
        <w:rPr>
          <w:b w:val="0"/>
        </w:rPr>
        <w:t>Diagenode</w:t>
      </w:r>
      <w:proofErr w:type="spellEnd"/>
      <w:r>
        <w:rPr>
          <w:b w:val="0"/>
        </w:rPr>
        <w:t xml:space="preserve"> catalog</w:t>
      </w:r>
      <w:r w:rsidR="00591A84">
        <w:rPr>
          <w:b w:val="0"/>
        </w:rPr>
        <w:t xml:space="preserve"> item</w:t>
      </w:r>
      <w:r>
        <w:rPr>
          <w:b w:val="0"/>
        </w:rPr>
        <w:t xml:space="preserve"> C30010018)</w:t>
      </w:r>
      <w:proofErr w:type="gramStart"/>
      <w:r>
        <w:rPr>
          <w:b w:val="0"/>
        </w:rPr>
        <w:t>;</w:t>
      </w:r>
      <w:proofErr w:type="gramEnd"/>
      <w:r>
        <w:rPr>
          <w:b w:val="0"/>
        </w:rPr>
        <w:t xml:space="preserve"> 1.2 </w:t>
      </w:r>
      <w:proofErr w:type="spellStart"/>
      <w:r>
        <w:rPr>
          <w:b w:val="0"/>
        </w:rPr>
        <w:t>μgs</w:t>
      </w:r>
      <w:proofErr w:type="spellEnd"/>
      <w:r>
        <w:rPr>
          <w:b w:val="0"/>
        </w:rPr>
        <w:t xml:space="preserve"> of reaction A and 0.615 </w:t>
      </w:r>
      <w:proofErr w:type="spellStart"/>
      <w:r>
        <w:rPr>
          <w:b w:val="0"/>
        </w:rPr>
        <w:t>μgs</w:t>
      </w:r>
      <w:proofErr w:type="spellEnd"/>
      <w:r>
        <w:rPr>
          <w:b w:val="0"/>
        </w:rPr>
        <w:t xml:space="preserve"> of reaction B. The volume of each tube was brought to a total 300 </w:t>
      </w:r>
      <w:proofErr w:type="spellStart"/>
      <w:r>
        <w:rPr>
          <w:b w:val="0"/>
        </w:rPr>
        <w:t>μl</w:t>
      </w:r>
      <w:proofErr w:type="spellEnd"/>
      <w:r>
        <w:rPr>
          <w:b w:val="0"/>
        </w:rPr>
        <w:t xml:space="preserve"> with 5 </w:t>
      </w:r>
      <w:proofErr w:type="spellStart"/>
      <w:r>
        <w:rPr>
          <w:b w:val="0"/>
        </w:rPr>
        <w:t>mM</w:t>
      </w:r>
      <w:proofErr w:type="spellEnd"/>
      <w:r>
        <w:rPr>
          <w:b w:val="0"/>
        </w:rPr>
        <w:t xml:space="preserve"> </w:t>
      </w:r>
      <w:proofErr w:type="spellStart"/>
      <w:r>
        <w:rPr>
          <w:b w:val="0"/>
        </w:rPr>
        <w:t>Tris-HCl</w:t>
      </w:r>
      <w:proofErr w:type="spellEnd"/>
      <w:r>
        <w:rPr>
          <w:b w:val="0"/>
        </w:rPr>
        <w:t xml:space="preserve">, pH 8.5). Each replicate was sheared using the specifications of 20 </w:t>
      </w:r>
      <w:proofErr w:type="gramStart"/>
      <w:r>
        <w:rPr>
          <w:b w:val="0"/>
        </w:rPr>
        <w:t>kb</w:t>
      </w:r>
      <w:proofErr w:type="gramEnd"/>
      <w:r>
        <w:rPr>
          <w:b w:val="0"/>
        </w:rPr>
        <w:t xml:space="preserve"> and volume of 300 </w:t>
      </w:r>
      <w:proofErr w:type="spellStart"/>
      <w:r>
        <w:rPr>
          <w:b w:val="0"/>
        </w:rPr>
        <w:t>μl</w:t>
      </w:r>
      <w:proofErr w:type="spellEnd"/>
      <w:r>
        <w:rPr>
          <w:b w:val="0"/>
        </w:rPr>
        <w:t>.</w:t>
      </w:r>
    </w:p>
    <w:p w14:paraId="4B760632" w14:textId="77777777" w:rsidR="00B320F1" w:rsidRDefault="00B320F1">
      <w:pPr>
        <w:rPr>
          <w:b w:val="0"/>
        </w:rPr>
      </w:pPr>
    </w:p>
    <w:p w14:paraId="09D895F7" w14:textId="77777777" w:rsidR="00B320F1" w:rsidRDefault="00D61259">
      <w:pPr>
        <w:rPr>
          <w:b w:val="0"/>
        </w:rPr>
      </w:pPr>
      <w:r>
        <w:rPr>
          <w:b w:val="0"/>
        </w:rPr>
        <w:t xml:space="preserve">After shearing, a 2x bead </w:t>
      </w:r>
      <w:proofErr w:type="spellStart"/>
      <w:r>
        <w:rPr>
          <w:b w:val="0"/>
        </w:rPr>
        <w:t>clean-up</w:t>
      </w:r>
      <w:proofErr w:type="spellEnd"/>
      <w:r>
        <w:rPr>
          <w:b w:val="0"/>
        </w:rPr>
        <w:t xml:space="preserve"> was performed by adding 690 </w:t>
      </w:r>
      <w:proofErr w:type="spellStart"/>
      <w:r>
        <w:rPr>
          <w:b w:val="0"/>
        </w:rPr>
        <w:t>μl</w:t>
      </w:r>
      <w:proofErr w:type="spellEnd"/>
      <w:r>
        <w:rPr>
          <w:b w:val="0"/>
        </w:rPr>
        <w:t xml:space="preserve"> of room temperature polyethylene glycol containing solid-phase reversible immobilization beads solution </w:t>
      </w:r>
      <w:r w:rsidR="00591A84">
        <w:rPr>
          <w:b w:val="0"/>
        </w:rPr>
        <w:t>[1]</w:t>
      </w:r>
      <w:r>
        <w:rPr>
          <w:b w:val="0"/>
        </w:rPr>
        <w:t xml:space="preserve"> to each sample. The samples were mixed thoroughly by slow pipetting with wide-bore pipette tips and incubated at room </w:t>
      </w:r>
      <w:r>
        <w:rPr>
          <w:b w:val="0"/>
        </w:rPr>
        <w:lastRenderedPageBreak/>
        <w:t xml:space="preserve">temperature for 15 min. The samples were briefly centrifuged, placed on a magnetic rack, and allowed to incubate on the </w:t>
      </w:r>
      <w:proofErr w:type="spellStart"/>
      <w:r>
        <w:rPr>
          <w:b w:val="0"/>
        </w:rPr>
        <w:t>benchtop</w:t>
      </w:r>
      <w:proofErr w:type="spellEnd"/>
      <w:r>
        <w:rPr>
          <w:b w:val="0"/>
        </w:rPr>
        <w:t xml:space="preserve"> until the solutions cleared. The supernatant was carefully removed and discarded. While samples remained on the magnet, 500 µl of freshly prepared 80% ethanol was added. After a minute, the ethanol was removed and replaced with another 500 µl of 80% ethanol. After a minute the ethanol was removed, and the samples were spun down and placed back on to the magnet. Any residual ethanol was removed, and the samples were allowed to air dry for 5 min. The samples were removed from the magnet and </w:t>
      </w:r>
      <w:proofErr w:type="spellStart"/>
      <w:r>
        <w:rPr>
          <w:b w:val="0"/>
        </w:rPr>
        <w:t>resuspended</w:t>
      </w:r>
      <w:proofErr w:type="spellEnd"/>
      <w:r>
        <w:rPr>
          <w:b w:val="0"/>
        </w:rPr>
        <w:t xml:space="preserve"> in 25 µl elution buffer and incubated at 37° C for 15 min. The samples were briefly centrifuged, placed on a magnetic rack, and allowed to incubate on the </w:t>
      </w:r>
      <w:proofErr w:type="spellStart"/>
      <w:r>
        <w:rPr>
          <w:b w:val="0"/>
        </w:rPr>
        <w:t>benchtop</w:t>
      </w:r>
      <w:proofErr w:type="spellEnd"/>
      <w:r>
        <w:rPr>
          <w:b w:val="0"/>
        </w:rPr>
        <w:t xml:space="preserve"> until the solutions cleared. The </w:t>
      </w:r>
      <w:proofErr w:type="spellStart"/>
      <w:r>
        <w:rPr>
          <w:b w:val="0"/>
        </w:rPr>
        <w:t>eluates</w:t>
      </w:r>
      <w:proofErr w:type="spellEnd"/>
      <w:r>
        <w:rPr>
          <w:b w:val="0"/>
        </w:rPr>
        <w:t xml:space="preserve"> were carefully transferred using wide-bore pipette tips to new 1.5 ml tubes. </w:t>
      </w:r>
      <w:proofErr w:type="gramStart"/>
      <w:r>
        <w:rPr>
          <w:b w:val="0"/>
        </w:rPr>
        <w:t xml:space="preserve">A second elution was performed by </w:t>
      </w:r>
      <w:proofErr w:type="spellStart"/>
      <w:r>
        <w:rPr>
          <w:b w:val="0"/>
        </w:rPr>
        <w:t>resuspending</w:t>
      </w:r>
      <w:proofErr w:type="spellEnd"/>
      <w:r>
        <w:rPr>
          <w:b w:val="0"/>
        </w:rPr>
        <w:t xml:space="preserve"> the beads in an additional 25 µl of elution buffer</w:t>
      </w:r>
      <w:proofErr w:type="gramEnd"/>
      <w:r>
        <w:rPr>
          <w:b w:val="0"/>
        </w:rPr>
        <w:t xml:space="preserve">. The samples were again incubated at 37° C for 15 min, briefly centrifuged and placed on a magnetic rack. The samples were allowed to incubate on the </w:t>
      </w:r>
      <w:proofErr w:type="spellStart"/>
      <w:r>
        <w:rPr>
          <w:b w:val="0"/>
        </w:rPr>
        <w:t>benchtop</w:t>
      </w:r>
      <w:proofErr w:type="spellEnd"/>
      <w:r>
        <w:rPr>
          <w:b w:val="0"/>
        </w:rPr>
        <w:t xml:space="preserve"> until the solutions cleared and the </w:t>
      </w:r>
      <w:proofErr w:type="spellStart"/>
      <w:r>
        <w:rPr>
          <w:b w:val="0"/>
        </w:rPr>
        <w:t>eluates</w:t>
      </w:r>
      <w:proofErr w:type="spellEnd"/>
      <w:r>
        <w:rPr>
          <w:b w:val="0"/>
        </w:rPr>
        <w:t xml:space="preserve"> were carefully added to their respective 1.5 ml tubes containing the first elution using wide-bore pipette tips.</w:t>
      </w:r>
    </w:p>
    <w:p w14:paraId="54FDEA7D" w14:textId="77777777" w:rsidR="00B320F1" w:rsidRDefault="00B320F1">
      <w:pPr>
        <w:rPr>
          <w:b w:val="0"/>
        </w:rPr>
      </w:pPr>
    </w:p>
    <w:p w14:paraId="2C199B5F" w14:textId="77777777" w:rsidR="00B320F1" w:rsidRDefault="00D61259">
      <w:pPr>
        <w:rPr>
          <w:b w:val="0"/>
        </w:rPr>
      </w:pPr>
      <w:r>
        <w:rPr>
          <w:b w:val="0"/>
        </w:rPr>
        <w:t xml:space="preserve">The sheared </w:t>
      </w:r>
      <w:proofErr w:type="spellStart"/>
      <w:r>
        <w:rPr>
          <w:b w:val="0"/>
        </w:rPr>
        <w:t>gDNA</w:t>
      </w:r>
      <w:proofErr w:type="spellEnd"/>
      <w:r>
        <w:rPr>
          <w:b w:val="0"/>
        </w:rPr>
        <w:t xml:space="preserve"> was quantified using a </w:t>
      </w:r>
      <w:proofErr w:type="spellStart"/>
      <w:r>
        <w:rPr>
          <w:b w:val="0"/>
        </w:rPr>
        <w:t>dsDNA</w:t>
      </w:r>
      <w:proofErr w:type="spellEnd"/>
      <w:r>
        <w:rPr>
          <w:b w:val="0"/>
        </w:rPr>
        <w:t xml:space="preserve"> BR </w:t>
      </w:r>
      <w:proofErr w:type="spellStart"/>
      <w:r>
        <w:rPr>
          <w:b w:val="0"/>
        </w:rPr>
        <w:t>Qubit</w:t>
      </w:r>
      <w:proofErr w:type="spellEnd"/>
      <w:r>
        <w:rPr>
          <w:b w:val="0"/>
        </w:rPr>
        <w:t xml:space="preserve"> assay and read using the </w:t>
      </w:r>
      <w:proofErr w:type="spellStart"/>
      <w:r>
        <w:rPr>
          <w:b w:val="0"/>
        </w:rPr>
        <w:t>fluorometer</w:t>
      </w:r>
      <w:proofErr w:type="spellEnd"/>
      <w:r>
        <w:rPr>
          <w:b w:val="0"/>
        </w:rPr>
        <w:t xml:space="preserve"> feature on a </w:t>
      </w:r>
      <w:proofErr w:type="spellStart"/>
      <w:r>
        <w:rPr>
          <w:b w:val="0"/>
        </w:rPr>
        <w:t>Denovix</w:t>
      </w:r>
      <w:proofErr w:type="spellEnd"/>
      <w:r>
        <w:rPr>
          <w:b w:val="0"/>
        </w:rPr>
        <w:t xml:space="preserve"> DS-11 Series. Additionally, an aliquot of sheared DNA was taken and diluted to approximately 1ng/</w:t>
      </w:r>
      <w:proofErr w:type="spellStart"/>
      <w:r>
        <w:rPr>
          <w:b w:val="0"/>
        </w:rPr>
        <w:t>μl</w:t>
      </w:r>
      <w:proofErr w:type="spellEnd"/>
      <w:r>
        <w:rPr>
          <w:b w:val="0"/>
        </w:rPr>
        <w:t xml:space="preserve"> and then sized on the Fragment Analyzer using a HS Large Fragment 50kb Kit (Agilent Technologies).</w:t>
      </w:r>
    </w:p>
    <w:p w14:paraId="6D6A5CCE" w14:textId="77777777" w:rsidR="00B320F1" w:rsidRDefault="00B320F1">
      <w:pPr>
        <w:rPr>
          <w:b w:val="0"/>
        </w:rPr>
      </w:pPr>
    </w:p>
    <w:p w14:paraId="24774E1D" w14:textId="77777777" w:rsidR="00B320F1" w:rsidRDefault="00D61259">
      <w:pPr>
        <w:rPr>
          <w:b w:val="0"/>
        </w:rPr>
      </w:pPr>
      <w:r>
        <w:rPr>
          <w:b w:val="0"/>
        </w:rPr>
        <w:t xml:space="preserve">To prepare the </w:t>
      </w:r>
      <w:proofErr w:type="spellStart"/>
      <w:r>
        <w:rPr>
          <w:b w:val="0"/>
        </w:rPr>
        <w:t>SMRTbell</w:t>
      </w:r>
      <w:proofErr w:type="spellEnd"/>
      <w:r>
        <w:rPr>
          <w:b w:val="0"/>
        </w:rPr>
        <w:t xml:space="preserve"> library, working on ice a master mix of Diluted DNA Prep Additive was prepared in a new 0.2 ml PCR tube by combining 0.2 </w:t>
      </w:r>
      <w:proofErr w:type="spellStart"/>
      <w:r>
        <w:rPr>
          <w:b w:val="0"/>
        </w:rPr>
        <w:t>μl</w:t>
      </w:r>
      <w:proofErr w:type="spellEnd"/>
      <w:r>
        <w:rPr>
          <w:b w:val="0"/>
        </w:rPr>
        <w:t xml:space="preserve"> DNA Prep Additive and 0.8 </w:t>
      </w:r>
      <w:proofErr w:type="spellStart"/>
      <w:r>
        <w:rPr>
          <w:b w:val="0"/>
        </w:rPr>
        <w:t>μl</w:t>
      </w:r>
      <w:proofErr w:type="spellEnd"/>
      <w:r>
        <w:rPr>
          <w:b w:val="0"/>
        </w:rPr>
        <w:t xml:space="preserve"> Enzyme Dilution Buffer for each sample. For each replicate, up to 45.4 µl of sheared DNA was placed in a new 0.2 mL PCR tube and then the following were added to each reaction: 7.0 µl DNA Prep Buffer, 0.6 µl NAD, 1.0 µl Diluted DNA Prep Additive, and 1.0 µl DNA Prep Enzyme. The samples were mixed thoroughly by slow pipetting using wide-bore pipette tips and the contents were spun down. The reactions were incubated in a </w:t>
      </w:r>
      <w:proofErr w:type="spellStart"/>
      <w:r>
        <w:rPr>
          <w:b w:val="0"/>
        </w:rPr>
        <w:t>thermocycler</w:t>
      </w:r>
      <w:proofErr w:type="spellEnd"/>
      <w:r>
        <w:rPr>
          <w:b w:val="0"/>
        </w:rPr>
        <w:t xml:space="preserve"> at 37° C for 15 min to remove single-stranded overhangs and then returned to 4° C. Following the incubation, 2.0 </w:t>
      </w:r>
      <w:proofErr w:type="spellStart"/>
      <w:r>
        <w:rPr>
          <w:b w:val="0"/>
        </w:rPr>
        <w:t>μl</w:t>
      </w:r>
      <w:proofErr w:type="spellEnd"/>
      <w:r>
        <w:rPr>
          <w:b w:val="0"/>
        </w:rPr>
        <w:t xml:space="preserve"> DNA Damage Repair Mix v2 was added to each sample, mixed well, and spun down briefly. The reactions were allowed to incubate for an additional 30 min at 37° C to repair DNA damage. The reactions were allowed to cool to 4° C before 3.0 </w:t>
      </w:r>
      <w:proofErr w:type="spellStart"/>
      <w:r>
        <w:rPr>
          <w:b w:val="0"/>
        </w:rPr>
        <w:t>μl</w:t>
      </w:r>
      <w:proofErr w:type="spellEnd"/>
      <w:r>
        <w:rPr>
          <w:b w:val="0"/>
        </w:rPr>
        <w:t xml:space="preserve"> End Prep Mix was added to each sample and mixed. The reactions were incubated in a </w:t>
      </w:r>
      <w:proofErr w:type="spellStart"/>
      <w:r>
        <w:rPr>
          <w:b w:val="0"/>
        </w:rPr>
        <w:t>thermocycler</w:t>
      </w:r>
      <w:proofErr w:type="spellEnd"/>
      <w:r>
        <w:rPr>
          <w:b w:val="0"/>
        </w:rPr>
        <w:t xml:space="preserve"> with the following settings to allow for end repair and the addition of an A-tail: 20° C for 10 min, 65° C for 30min and hold at 4° C. Barcoded Overhang Adapter (5.0 </w:t>
      </w:r>
      <w:proofErr w:type="spellStart"/>
      <w:r>
        <w:rPr>
          <w:b w:val="0"/>
        </w:rPr>
        <w:t>μl</w:t>
      </w:r>
      <w:proofErr w:type="spellEnd"/>
      <w:r>
        <w:rPr>
          <w:b w:val="0"/>
        </w:rPr>
        <w:t xml:space="preserve"> of bc1011), 30.0 </w:t>
      </w:r>
      <w:proofErr w:type="spellStart"/>
      <w:r>
        <w:rPr>
          <w:b w:val="0"/>
        </w:rPr>
        <w:t>μl</w:t>
      </w:r>
      <w:proofErr w:type="spellEnd"/>
      <w:r>
        <w:rPr>
          <w:b w:val="0"/>
        </w:rPr>
        <w:t xml:space="preserve"> Ligation Mix, 1.0 </w:t>
      </w:r>
      <w:proofErr w:type="spellStart"/>
      <w:r>
        <w:rPr>
          <w:b w:val="0"/>
        </w:rPr>
        <w:t>μl</w:t>
      </w:r>
      <w:proofErr w:type="spellEnd"/>
      <w:r>
        <w:rPr>
          <w:b w:val="0"/>
        </w:rPr>
        <w:t xml:space="preserve"> Ligation Additive, 1.0 </w:t>
      </w:r>
      <w:proofErr w:type="spellStart"/>
      <w:r>
        <w:rPr>
          <w:b w:val="0"/>
        </w:rPr>
        <w:t>μl</w:t>
      </w:r>
      <w:proofErr w:type="spellEnd"/>
      <w:r>
        <w:rPr>
          <w:b w:val="0"/>
        </w:rPr>
        <w:t xml:space="preserve"> Ligation Enhancer was added to each sample, mixed and allowed to ligate at 20° C for 3 hours. Following the ligation, the reactions were incubated for an additional 10 min at 65° C to inactivate the ligase and returned to 4° C. A nuclease treatment to remove damaged </w:t>
      </w:r>
      <w:proofErr w:type="spellStart"/>
      <w:r>
        <w:rPr>
          <w:b w:val="0"/>
        </w:rPr>
        <w:t>SMRTbell</w:t>
      </w:r>
      <w:proofErr w:type="spellEnd"/>
      <w:r>
        <w:rPr>
          <w:b w:val="0"/>
        </w:rPr>
        <w:t xml:space="preserve"> library was performed by adding 2.0 </w:t>
      </w:r>
      <w:proofErr w:type="spellStart"/>
      <w:r>
        <w:rPr>
          <w:b w:val="0"/>
        </w:rPr>
        <w:t>μl</w:t>
      </w:r>
      <w:proofErr w:type="spellEnd"/>
      <w:r>
        <w:rPr>
          <w:b w:val="0"/>
        </w:rPr>
        <w:t xml:space="preserve"> Enzyme </w:t>
      </w:r>
      <w:proofErr w:type="gramStart"/>
      <w:r>
        <w:rPr>
          <w:b w:val="0"/>
        </w:rPr>
        <w:t>A</w:t>
      </w:r>
      <w:proofErr w:type="gramEnd"/>
      <w:r>
        <w:rPr>
          <w:b w:val="0"/>
        </w:rPr>
        <w:t xml:space="preserve">, 0.5 </w:t>
      </w:r>
      <w:proofErr w:type="spellStart"/>
      <w:r>
        <w:rPr>
          <w:b w:val="0"/>
        </w:rPr>
        <w:t>μl</w:t>
      </w:r>
      <w:proofErr w:type="spellEnd"/>
      <w:r>
        <w:rPr>
          <w:b w:val="0"/>
        </w:rPr>
        <w:t xml:space="preserve"> Enzyme B, 0.5 </w:t>
      </w:r>
      <w:proofErr w:type="spellStart"/>
      <w:r>
        <w:rPr>
          <w:b w:val="0"/>
        </w:rPr>
        <w:t>μl</w:t>
      </w:r>
      <w:proofErr w:type="spellEnd"/>
      <w:r>
        <w:rPr>
          <w:b w:val="0"/>
        </w:rPr>
        <w:t xml:space="preserve"> Enzyme C, and 1.0 </w:t>
      </w:r>
      <w:proofErr w:type="spellStart"/>
      <w:r>
        <w:rPr>
          <w:b w:val="0"/>
        </w:rPr>
        <w:t>μl</w:t>
      </w:r>
      <w:proofErr w:type="spellEnd"/>
      <w:r>
        <w:rPr>
          <w:b w:val="0"/>
        </w:rPr>
        <w:t xml:space="preserve"> Enzyme D to each sample. The reactions were mixed well, spun down briefly, and incubated at 37° C for 1 hr.</w:t>
      </w:r>
    </w:p>
    <w:p w14:paraId="0FFC6B01" w14:textId="77777777" w:rsidR="00B320F1" w:rsidRDefault="00B320F1">
      <w:pPr>
        <w:rPr>
          <w:b w:val="0"/>
        </w:rPr>
      </w:pPr>
    </w:p>
    <w:p w14:paraId="61A1CF3E" w14:textId="77777777" w:rsidR="00B320F1" w:rsidRDefault="00D61259">
      <w:pPr>
        <w:rPr>
          <w:b w:val="0"/>
        </w:rPr>
      </w:pPr>
      <w:r>
        <w:rPr>
          <w:b w:val="0"/>
        </w:rPr>
        <w:t xml:space="preserve">A 0.8x </w:t>
      </w:r>
      <w:proofErr w:type="spellStart"/>
      <w:r>
        <w:rPr>
          <w:b w:val="0"/>
        </w:rPr>
        <w:t>Ampure</w:t>
      </w:r>
      <w:proofErr w:type="spellEnd"/>
      <w:r>
        <w:rPr>
          <w:b w:val="0"/>
        </w:rPr>
        <w:t xml:space="preserve"> PB </w:t>
      </w:r>
      <w:proofErr w:type="spellStart"/>
      <w:proofErr w:type="gramStart"/>
      <w:r>
        <w:rPr>
          <w:b w:val="0"/>
        </w:rPr>
        <w:t>clean-up</w:t>
      </w:r>
      <w:proofErr w:type="spellEnd"/>
      <w:proofErr w:type="gramEnd"/>
      <w:r>
        <w:rPr>
          <w:b w:val="0"/>
        </w:rPr>
        <w:t xml:space="preserve"> was performed by adding 81 </w:t>
      </w:r>
      <w:proofErr w:type="spellStart"/>
      <w:r>
        <w:rPr>
          <w:b w:val="0"/>
        </w:rPr>
        <w:t>μl</w:t>
      </w:r>
      <w:proofErr w:type="spellEnd"/>
      <w:r>
        <w:rPr>
          <w:b w:val="0"/>
        </w:rPr>
        <w:t xml:space="preserve"> of room temperature </w:t>
      </w:r>
      <w:proofErr w:type="spellStart"/>
      <w:r>
        <w:rPr>
          <w:b w:val="0"/>
        </w:rPr>
        <w:t>Ampure</w:t>
      </w:r>
      <w:proofErr w:type="spellEnd"/>
      <w:r>
        <w:rPr>
          <w:b w:val="0"/>
        </w:rPr>
        <w:t xml:space="preserve"> PB beads to each sample. The samples were mixed thoroughly by slow pipetting with wide-bore pipette tips and incubated at room temperature for 15 min. The samples were briefly centrifuged, placed on a magnetic </w:t>
      </w:r>
      <w:r>
        <w:rPr>
          <w:b w:val="0"/>
        </w:rPr>
        <w:lastRenderedPageBreak/>
        <w:t xml:space="preserve">rack, and allowed to incubate on the </w:t>
      </w:r>
      <w:proofErr w:type="spellStart"/>
      <w:r>
        <w:rPr>
          <w:b w:val="0"/>
        </w:rPr>
        <w:t>benchtop</w:t>
      </w:r>
      <w:proofErr w:type="spellEnd"/>
      <w:r>
        <w:rPr>
          <w:b w:val="0"/>
        </w:rPr>
        <w:t xml:space="preserve"> until the solutions cleared. The supernatant was carefully removed and discarded. While samples remained on the magnet, 500 µl of freshly prepared 80% ethanol was added. After a minute, the ethanol was removed and replaced with another 500 µl of 80% ethanol. After a minute the ethanol was removed, and the samples were spun down and placed back on to the magnet. Residual ethanol was removed, and the samples were allowed to air dry for 5 min. The samples were removed from the magnet and </w:t>
      </w:r>
      <w:proofErr w:type="spellStart"/>
      <w:r>
        <w:rPr>
          <w:b w:val="0"/>
        </w:rPr>
        <w:t>resuspended</w:t>
      </w:r>
      <w:proofErr w:type="spellEnd"/>
      <w:r>
        <w:rPr>
          <w:b w:val="0"/>
        </w:rPr>
        <w:t xml:space="preserve"> in 75 µl elution buffer and incubated at 37° C for 15 min. The samples were briefly centrifuged, placed on a magnetic rack, and allowed to incubate on the </w:t>
      </w:r>
      <w:proofErr w:type="spellStart"/>
      <w:r>
        <w:rPr>
          <w:b w:val="0"/>
        </w:rPr>
        <w:t>benchtop</w:t>
      </w:r>
      <w:proofErr w:type="spellEnd"/>
      <w:r>
        <w:rPr>
          <w:b w:val="0"/>
        </w:rPr>
        <w:t xml:space="preserve"> until the solutions cleared. The </w:t>
      </w:r>
      <w:proofErr w:type="spellStart"/>
      <w:r>
        <w:rPr>
          <w:b w:val="0"/>
        </w:rPr>
        <w:t>eluates</w:t>
      </w:r>
      <w:proofErr w:type="spellEnd"/>
      <w:r>
        <w:rPr>
          <w:b w:val="0"/>
        </w:rPr>
        <w:t xml:space="preserve"> were carefully transferred using wide-bore pipette tips to new 1.5 ml tubes. </w:t>
      </w:r>
      <w:proofErr w:type="gramStart"/>
      <w:r>
        <w:rPr>
          <w:b w:val="0"/>
        </w:rPr>
        <w:t xml:space="preserve">A second elution was performed by </w:t>
      </w:r>
      <w:proofErr w:type="spellStart"/>
      <w:r>
        <w:rPr>
          <w:b w:val="0"/>
        </w:rPr>
        <w:t>resuspending</w:t>
      </w:r>
      <w:proofErr w:type="spellEnd"/>
      <w:r>
        <w:rPr>
          <w:b w:val="0"/>
        </w:rPr>
        <w:t xml:space="preserve"> each bead pellet in an additional 25 µl of elution buffer</w:t>
      </w:r>
      <w:proofErr w:type="gramEnd"/>
      <w:r>
        <w:rPr>
          <w:b w:val="0"/>
        </w:rPr>
        <w:t xml:space="preserve">. The samples were again incubated at 37° C for 15 min, briefly centrifuged and placed on a magnetic rack. The samples were allowed to incubate on the </w:t>
      </w:r>
      <w:proofErr w:type="spellStart"/>
      <w:r>
        <w:rPr>
          <w:b w:val="0"/>
        </w:rPr>
        <w:t>benchtop</w:t>
      </w:r>
      <w:proofErr w:type="spellEnd"/>
      <w:r>
        <w:rPr>
          <w:b w:val="0"/>
        </w:rPr>
        <w:t xml:space="preserve"> until the solutions cleared and the </w:t>
      </w:r>
      <w:proofErr w:type="spellStart"/>
      <w:r>
        <w:rPr>
          <w:b w:val="0"/>
        </w:rPr>
        <w:t>eluates</w:t>
      </w:r>
      <w:proofErr w:type="spellEnd"/>
      <w:r>
        <w:rPr>
          <w:b w:val="0"/>
        </w:rPr>
        <w:t xml:space="preserve"> were carefully added to their respective 1.5 ml tubes containing the first elution using wide-bore pipette tips.</w:t>
      </w:r>
    </w:p>
    <w:p w14:paraId="17985B1D" w14:textId="77777777" w:rsidR="00B320F1" w:rsidRDefault="00B320F1">
      <w:pPr>
        <w:rPr>
          <w:b w:val="0"/>
        </w:rPr>
      </w:pPr>
    </w:p>
    <w:p w14:paraId="4AEC15FE" w14:textId="77777777" w:rsidR="00B320F1" w:rsidRDefault="00D61259">
      <w:pPr>
        <w:rPr>
          <w:b w:val="0"/>
        </w:rPr>
      </w:pPr>
      <w:r>
        <w:rPr>
          <w:b w:val="0"/>
        </w:rPr>
        <w:t xml:space="preserve">A 3kb size selection was performed using 2.2x volume of 40% diluted </w:t>
      </w:r>
      <w:proofErr w:type="spellStart"/>
      <w:r>
        <w:rPr>
          <w:b w:val="0"/>
        </w:rPr>
        <w:t>Ampure</w:t>
      </w:r>
      <w:proofErr w:type="spellEnd"/>
      <w:r>
        <w:rPr>
          <w:b w:val="0"/>
        </w:rPr>
        <w:t xml:space="preserve"> PB beads. 220 </w:t>
      </w:r>
      <w:proofErr w:type="spellStart"/>
      <w:r>
        <w:rPr>
          <w:b w:val="0"/>
        </w:rPr>
        <w:t>μl</w:t>
      </w:r>
      <w:proofErr w:type="spellEnd"/>
      <w:r>
        <w:rPr>
          <w:b w:val="0"/>
        </w:rPr>
        <w:t xml:space="preserve"> of room temperature 40% </w:t>
      </w:r>
      <w:proofErr w:type="spellStart"/>
      <w:r>
        <w:rPr>
          <w:b w:val="0"/>
        </w:rPr>
        <w:t>Ampure</w:t>
      </w:r>
      <w:proofErr w:type="spellEnd"/>
      <w:r>
        <w:rPr>
          <w:b w:val="0"/>
        </w:rPr>
        <w:t xml:space="preserve"> PB beads was added to each sample and mixed thoroughly by slow pipetting with wide-bore pipette tips. The samples were incubated at room temperature for 15 min, briefly centrifuged, and placed on a magnetic rack. The samples were allowed to incubate on the </w:t>
      </w:r>
      <w:proofErr w:type="spellStart"/>
      <w:r>
        <w:rPr>
          <w:b w:val="0"/>
        </w:rPr>
        <w:t>benchtop</w:t>
      </w:r>
      <w:proofErr w:type="spellEnd"/>
      <w:r>
        <w:rPr>
          <w:b w:val="0"/>
        </w:rPr>
        <w:t xml:space="preserve"> until the solutions cleared. The supernatant was carefully removed and discarded. While samples remained on the magnet, 500 µl of freshly prepared 80% ethanol was added. After a minute, the ethanol was removed and replaced with another 500 µl of 80% ethanol. After a minute the ethanol was removed, and the samples were spun down and placed back on to the magnet. Residual ethanol was removed, and the samples were allowed to air dry for 5 min. The samples were removed from the magnet and </w:t>
      </w:r>
      <w:proofErr w:type="spellStart"/>
      <w:r>
        <w:rPr>
          <w:b w:val="0"/>
        </w:rPr>
        <w:t>resuspended</w:t>
      </w:r>
      <w:proofErr w:type="spellEnd"/>
      <w:r>
        <w:rPr>
          <w:b w:val="0"/>
        </w:rPr>
        <w:t xml:space="preserve"> in 10 µl elution buffer and incubated at 37° C for 15 min. The samples were briefly centrifuged, placed on a magnetic rack, and allowed to incubate on the </w:t>
      </w:r>
      <w:proofErr w:type="spellStart"/>
      <w:r>
        <w:rPr>
          <w:b w:val="0"/>
        </w:rPr>
        <w:t>benchtop</w:t>
      </w:r>
      <w:proofErr w:type="spellEnd"/>
      <w:r>
        <w:rPr>
          <w:b w:val="0"/>
        </w:rPr>
        <w:t xml:space="preserve"> until the solutions cleared. The </w:t>
      </w:r>
      <w:proofErr w:type="spellStart"/>
      <w:r>
        <w:rPr>
          <w:b w:val="0"/>
        </w:rPr>
        <w:t>eluates</w:t>
      </w:r>
      <w:proofErr w:type="spellEnd"/>
      <w:r>
        <w:rPr>
          <w:b w:val="0"/>
        </w:rPr>
        <w:t xml:space="preserve"> were carefully transferred using wide-bore pipette tips to new 1.5 ml tubes. </w:t>
      </w:r>
      <w:proofErr w:type="gramStart"/>
      <w:r>
        <w:rPr>
          <w:b w:val="0"/>
        </w:rPr>
        <w:t xml:space="preserve">A second elution was performed by </w:t>
      </w:r>
      <w:proofErr w:type="spellStart"/>
      <w:r>
        <w:rPr>
          <w:b w:val="0"/>
        </w:rPr>
        <w:t>resuspending</w:t>
      </w:r>
      <w:proofErr w:type="spellEnd"/>
      <w:r>
        <w:rPr>
          <w:b w:val="0"/>
        </w:rPr>
        <w:t xml:space="preserve"> each bead pellet in an additional 7 µl of elution buffer</w:t>
      </w:r>
      <w:proofErr w:type="gramEnd"/>
      <w:r>
        <w:rPr>
          <w:b w:val="0"/>
        </w:rPr>
        <w:t xml:space="preserve">. The samples were again incubated at 37° C for 15 min, briefly centrifuged and placed on a magnetic rack. The samples were allowed to incubate on the </w:t>
      </w:r>
      <w:proofErr w:type="spellStart"/>
      <w:r>
        <w:rPr>
          <w:b w:val="0"/>
        </w:rPr>
        <w:t>benchtop</w:t>
      </w:r>
      <w:proofErr w:type="spellEnd"/>
      <w:r>
        <w:rPr>
          <w:b w:val="0"/>
        </w:rPr>
        <w:t xml:space="preserve"> until the solutions cleared and the </w:t>
      </w:r>
      <w:proofErr w:type="spellStart"/>
      <w:r>
        <w:rPr>
          <w:b w:val="0"/>
        </w:rPr>
        <w:t>eluates</w:t>
      </w:r>
      <w:proofErr w:type="spellEnd"/>
      <w:r>
        <w:rPr>
          <w:b w:val="0"/>
        </w:rPr>
        <w:t xml:space="preserve"> were carefully added to their respective 1.5 ml tubes containing the first elution using wide-bore pipette tips.</w:t>
      </w:r>
    </w:p>
    <w:p w14:paraId="5E147C6D" w14:textId="77777777" w:rsidR="00B320F1" w:rsidRDefault="00B320F1">
      <w:pPr>
        <w:rPr>
          <w:b w:val="0"/>
        </w:rPr>
      </w:pPr>
    </w:p>
    <w:p w14:paraId="52F6428E" w14:textId="77777777" w:rsidR="00B320F1" w:rsidRDefault="00D61259">
      <w:pPr>
        <w:rPr>
          <w:b w:val="0"/>
        </w:rPr>
      </w:pPr>
      <w:r>
        <w:rPr>
          <w:b w:val="0"/>
        </w:rPr>
        <w:t xml:space="preserve">The </w:t>
      </w:r>
      <w:proofErr w:type="spellStart"/>
      <w:r>
        <w:rPr>
          <w:b w:val="0"/>
        </w:rPr>
        <w:t>SMRTbell</w:t>
      </w:r>
      <w:proofErr w:type="spellEnd"/>
      <w:r>
        <w:rPr>
          <w:b w:val="0"/>
        </w:rPr>
        <w:t xml:space="preserve"> libraries were quantified using a </w:t>
      </w:r>
      <w:proofErr w:type="spellStart"/>
      <w:r>
        <w:rPr>
          <w:b w:val="0"/>
        </w:rPr>
        <w:t>dsDNA</w:t>
      </w:r>
      <w:proofErr w:type="spellEnd"/>
      <w:r>
        <w:rPr>
          <w:b w:val="0"/>
        </w:rPr>
        <w:t xml:space="preserve"> BR </w:t>
      </w:r>
      <w:proofErr w:type="spellStart"/>
      <w:r>
        <w:rPr>
          <w:b w:val="0"/>
        </w:rPr>
        <w:t>Qubit</w:t>
      </w:r>
      <w:proofErr w:type="spellEnd"/>
      <w:r>
        <w:rPr>
          <w:b w:val="0"/>
        </w:rPr>
        <w:t xml:space="preserve"> assay and read using the </w:t>
      </w:r>
      <w:proofErr w:type="spellStart"/>
      <w:r>
        <w:rPr>
          <w:b w:val="0"/>
        </w:rPr>
        <w:t>fluorometer</w:t>
      </w:r>
      <w:proofErr w:type="spellEnd"/>
      <w:r>
        <w:rPr>
          <w:b w:val="0"/>
        </w:rPr>
        <w:t xml:space="preserve"> feature on a </w:t>
      </w:r>
      <w:proofErr w:type="spellStart"/>
      <w:r>
        <w:rPr>
          <w:b w:val="0"/>
        </w:rPr>
        <w:t>Denovix</w:t>
      </w:r>
      <w:proofErr w:type="spellEnd"/>
      <w:r>
        <w:rPr>
          <w:b w:val="0"/>
        </w:rPr>
        <w:t xml:space="preserve"> DS-11 Series. Additionally, an aliquot of sheared DNA was taken and diluted to approximately 1ng/</w:t>
      </w:r>
      <w:proofErr w:type="spellStart"/>
      <w:r>
        <w:rPr>
          <w:b w:val="0"/>
        </w:rPr>
        <w:t>μl</w:t>
      </w:r>
      <w:proofErr w:type="spellEnd"/>
      <w:r>
        <w:rPr>
          <w:b w:val="0"/>
        </w:rPr>
        <w:t xml:space="preserve"> and then sized on the Fragment Analyzer (Agilent Technologies) using a HS Large Fragment 50kb Kit. Size-fractionation of </w:t>
      </w:r>
      <w:proofErr w:type="spellStart"/>
      <w:r>
        <w:rPr>
          <w:b w:val="0"/>
        </w:rPr>
        <w:t>SMRTbell</w:t>
      </w:r>
      <w:proofErr w:type="spellEnd"/>
      <w:r>
        <w:rPr>
          <w:b w:val="0"/>
        </w:rPr>
        <w:t xml:space="preserve"> Library was performed on a </w:t>
      </w:r>
      <w:proofErr w:type="spellStart"/>
      <w:r>
        <w:rPr>
          <w:b w:val="0"/>
        </w:rPr>
        <w:t>SageELF</w:t>
      </w:r>
      <w:proofErr w:type="spellEnd"/>
      <w:r>
        <w:rPr>
          <w:b w:val="0"/>
        </w:rPr>
        <w:t xml:space="preserve"> (Sage Science, INC) using a 0.75% </w:t>
      </w:r>
      <w:proofErr w:type="spellStart"/>
      <w:r>
        <w:rPr>
          <w:b w:val="0"/>
        </w:rPr>
        <w:t>agarose</w:t>
      </w:r>
      <w:proofErr w:type="spellEnd"/>
      <w:r>
        <w:rPr>
          <w:b w:val="0"/>
        </w:rPr>
        <w:t xml:space="preserve"> gel cassette (1kb-40kb) and marker 75. By following the manufacturer's instructions the instrument was calibrated and the gel cassettes were prepared. The target value was set to 3450 and all wells were selected ON to collect. Each of the remaining prepared </w:t>
      </w:r>
      <w:proofErr w:type="spellStart"/>
      <w:r>
        <w:rPr>
          <w:b w:val="0"/>
        </w:rPr>
        <w:t>SMRTbell</w:t>
      </w:r>
      <w:proofErr w:type="spellEnd"/>
      <w:r>
        <w:rPr>
          <w:b w:val="0"/>
        </w:rPr>
        <w:t xml:space="preserve"> Libraries (644ng of reaction A and 695ng of reaction B) were brought up to a total volume of 30 µl with the elution buffer and gently mixed with 10 µL of Sage Science’s Marker 75. Each mixture was loaded into individual gel cassettes and allowed to run. For each cassette, </w:t>
      </w:r>
      <w:proofErr w:type="spellStart"/>
      <w:r>
        <w:rPr>
          <w:b w:val="0"/>
        </w:rPr>
        <w:t>eluate</w:t>
      </w:r>
      <w:proofErr w:type="spellEnd"/>
      <w:r>
        <w:rPr>
          <w:b w:val="0"/>
        </w:rPr>
        <w:t xml:space="preserve"> from the 13 collection wells were </w:t>
      </w:r>
      <w:r>
        <w:rPr>
          <w:b w:val="0"/>
        </w:rPr>
        <w:lastRenderedPageBreak/>
        <w:t xml:space="preserve">transferred using wide-bore pipette tips to new 0.2 mL tubes. Each well was rinsed twice with 30 µl of elution buffer and combined with its respective fraction. All size-fractionation were quantified using </w:t>
      </w:r>
      <w:proofErr w:type="spellStart"/>
      <w:r>
        <w:rPr>
          <w:b w:val="0"/>
        </w:rPr>
        <w:t>dsDNA</w:t>
      </w:r>
      <w:proofErr w:type="spellEnd"/>
      <w:r>
        <w:rPr>
          <w:b w:val="0"/>
        </w:rPr>
        <w:t xml:space="preserve"> BR </w:t>
      </w:r>
      <w:proofErr w:type="spellStart"/>
      <w:r>
        <w:rPr>
          <w:b w:val="0"/>
        </w:rPr>
        <w:t>Qubit</w:t>
      </w:r>
      <w:proofErr w:type="spellEnd"/>
      <w:r>
        <w:rPr>
          <w:b w:val="0"/>
        </w:rPr>
        <w:t xml:space="preserve"> assay using the </w:t>
      </w:r>
      <w:proofErr w:type="spellStart"/>
      <w:r>
        <w:rPr>
          <w:b w:val="0"/>
        </w:rPr>
        <w:t>Fluorometer</w:t>
      </w:r>
      <w:proofErr w:type="spellEnd"/>
      <w:r>
        <w:rPr>
          <w:b w:val="0"/>
        </w:rPr>
        <w:t xml:space="preserve"> feature on a </w:t>
      </w:r>
      <w:proofErr w:type="spellStart"/>
      <w:r>
        <w:rPr>
          <w:b w:val="0"/>
        </w:rPr>
        <w:t>Denovix</w:t>
      </w:r>
      <w:proofErr w:type="spellEnd"/>
      <w:r>
        <w:rPr>
          <w:b w:val="0"/>
        </w:rPr>
        <w:t xml:space="preserve"> DS-11 Series and then sized on the Fragment Analyzer using a HS Large Fragment 50kb Kit (Agilent Technologies).</w:t>
      </w:r>
    </w:p>
    <w:p w14:paraId="4C641D13" w14:textId="77777777" w:rsidR="00B320F1" w:rsidRDefault="00B320F1">
      <w:pPr>
        <w:rPr>
          <w:b w:val="0"/>
        </w:rPr>
      </w:pPr>
    </w:p>
    <w:p w14:paraId="37BC336D" w14:textId="77777777" w:rsidR="00B320F1" w:rsidRDefault="00D61259">
      <w:pPr>
        <w:rPr>
          <w:b w:val="0"/>
        </w:rPr>
      </w:pPr>
      <w:r>
        <w:rPr>
          <w:b w:val="0"/>
        </w:rPr>
        <w:t xml:space="preserve">From reaction A, well 5(avg. size: 17.9kb), well 6(avg. size: 14.3 kb), and well 7(avg. size: 12 kb) were pooled together with well 7(avg. size: 10.8 kb) from reaction B. The pooled fractions were cleaned and concentrated by adding 720 </w:t>
      </w:r>
      <w:proofErr w:type="spellStart"/>
      <w:r>
        <w:rPr>
          <w:b w:val="0"/>
        </w:rPr>
        <w:t>μl</w:t>
      </w:r>
      <w:proofErr w:type="spellEnd"/>
      <w:r>
        <w:rPr>
          <w:b w:val="0"/>
        </w:rPr>
        <w:t xml:space="preserve"> (2x volume) of room temperature polyethylene glycol containing solid-phase reversible immobilization beads solution </w:t>
      </w:r>
      <w:r w:rsidR="00591A84">
        <w:rPr>
          <w:b w:val="0"/>
        </w:rPr>
        <w:t>[1]</w:t>
      </w:r>
      <w:r>
        <w:rPr>
          <w:b w:val="0"/>
        </w:rPr>
        <w:t xml:space="preserve">. The sample was mixed thoroughly by slow pipetting with wide-bore pipette tips and incubated at room temperature for 15 min. The sample was briefly centrifuged, placed on a magnetic rack, and allowed to incubate on the </w:t>
      </w:r>
      <w:proofErr w:type="spellStart"/>
      <w:r>
        <w:rPr>
          <w:b w:val="0"/>
        </w:rPr>
        <w:t>benchtop</w:t>
      </w:r>
      <w:proofErr w:type="spellEnd"/>
      <w:r>
        <w:rPr>
          <w:b w:val="0"/>
        </w:rPr>
        <w:t xml:space="preserve"> until the solution cleared. The supernatant was carefully removed and discarded. While the sample remained on the magnet, 500 µl of freshly prepared 80% ethanol was added. After a minute, the ethanol was removed and replaced with another 500 µl of 80% ethanol. After a minute the ethanol was removed, and the sample was spun down and placed back on to the magnet. Residual ethanol was removed, and the sample was allowed to air dry for 5 min. The sample was removed from the magnet and </w:t>
      </w:r>
      <w:proofErr w:type="spellStart"/>
      <w:r>
        <w:rPr>
          <w:b w:val="0"/>
        </w:rPr>
        <w:t>resuspended</w:t>
      </w:r>
      <w:proofErr w:type="spellEnd"/>
      <w:r>
        <w:rPr>
          <w:b w:val="0"/>
        </w:rPr>
        <w:t xml:space="preserve"> in 10 µl elution buffer and incubated at 37° C for 15 min. The sample was briefly centrifuged, placed on a magnetic rack, and allowed to incubate on the </w:t>
      </w:r>
      <w:proofErr w:type="spellStart"/>
      <w:r>
        <w:rPr>
          <w:b w:val="0"/>
        </w:rPr>
        <w:t>benchtop</w:t>
      </w:r>
      <w:proofErr w:type="spellEnd"/>
      <w:r>
        <w:rPr>
          <w:b w:val="0"/>
        </w:rPr>
        <w:t xml:space="preserve"> until the solution cleared. The </w:t>
      </w:r>
      <w:proofErr w:type="spellStart"/>
      <w:r>
        <w:rPr>
          <w:b w:val="0"/>
        </w:rPr>
        <w:t>eluate</w:t>
      </w:r>
      <w:proofErr w:type="spellEnd"/>
      <w:r>
        <w:rPr>
          <w:b w:val="0"/>
        </w:rPr>
        <w:t xml:space="preserve"> was carefully transferred using wide-bore pipette tips to new 1.5 ml tubes. </w:t>
      </w:r>
      <w:proofErr w:type="gramStart"/>
      <w:r>
        <w:rPr>
          <w:b w:val="0"/>
        </w:rPr>
        <w:t xml:space="preserve">A second elution was performed by </w:t>
      </w:r>
      <w:proofErr w:type="spellStart"/>
      <w:r>
        <w:rPr>
          <w:b w:val="0"/>
        </w:rPr>
        <w:t>resuspending</w:t>
      </w:r>
      <w:proofErr w:type="spellEnd"/>
      <w:r>
        <w:rPr>
          <w:b w:val="0"/>
        </w:rPr>
        <w:t xml:space="preserve"> the bead pellet in an additional 7 µl of elution buffer</w:t>
      </w:r>
      <w:proofErr w:type="gramEnd"/>
      <w:r>
        <w:rPr>
          <w:b w:val="0"/>
        </w:rPr>
        <w:t xml:space="preserve">. The sample was again incubated at 37° C for 15 min, briefly centrifuged and placed on a magnetic rack. The sample was allowed to incubate on the </w:t>
      </w:r>
      <w:proofErr w:type="spellStart"/>
      <w:r>
        <w:rPr>
          <w:b w:val="0"/>
        </w:rPr>
        <w:t>benchtop</w:t>
      </w:r>
      <w:proofErr w:type="spellEnd"/>
      <w:r>
        <w:rPr>
          <w:b w:val="0"/>
        </w:rPr>
        <w:t xml:space="preserve"> until the solution cleared and the </w:t>
      </w:r>
      <w:proofErr w:type="spellStart"/>
      <w:r>
        <w:rPr>
          <w:b w:val="0"/>
        </w:rPr>
        <w:t>eluate</w:t>
      </w:r>
      <w:proofErr w:type="spellEnd"/>
      <w:r>
        <w:rPr>
          <w:b w:val="0"/>
        </w:rPr>
        <w:t xml:space="preserve"> was carefully added to the 1.5 ml tubes containing the first elution using a wide-bore pipette tip.</w:t>
      </w:r>
    </w:p>
    <w:p w14:paraId="4A0DA80D" w14:textId="77777777" w:rsidR="00B320F1" w:rsidRDefault="00B320F1">
      <w:pPr>
        <w:rPr>
          <w:b w:val="0"/>
        </w:rPr>
      </w:pPr>
    </w:p>
    <w:p w14:paraId="08F4D132" w14:textId="77777777" w:rsidR="00B320F1" w:rsidRDefault="00D61259">
      <w:pPr>
        <w:rPr>
          <w:b w:val="0"/>
        </w:rPr>
      </w:pPr>
      <w:r>
        <w:rPr>
          <w:b w:val="0"/>
        </w:rPr>
        <w:t xml:space="preserve">The completed </w:t>
      </w:r>
      <w:proofErr w:type="spellStart"/>
      <w:r>
        <w:rPr>
          <w:b w:val="0"/>
        </w:rPr>
        <w:t>HiFI</w:t>
      </w:r>
      <w:proofErr w:type="spellEnd"/>
      <w:r>
        <w:rPr>
          <w:b w:val="0"/>
        </w:rPr>
        <w:t xml:space="preserve"> </w:t>
      </w:r>
      <w:proofErr w:type="spellStart"/>
      <w:r>
        <w:rPr>
          <w:b w:val="0"/>
        </w:rPr>
        <w:t>SMRTbell</w:t>
      </w:r>
      <w:proofErr w:type="spellEnd"/>
      <w:r>
        <w:rPr>
          <w:b w:val="0"/>
        </w:rPr>
        <w:t xml:space="preserve"> Library was quantified using </w:t>
      </w:r>
      <w:proofErr w:type="spellStart"/>
      <w:r>
        <w:rPr>
          <w:b w:val="0"/>
        </w:rPr>
        <w:t>dsDNA</w:t>
      </w:r>
      <w:proofErr w:type="spellEnd"/>
      <w:r>
        <w:rPr>
          <w:b w:val="0"/>
        </w:rPr>
        <w:t xml:space="preserve"> BR </w:t>
      </w:r>
      <w:proofErr w:type="spellStart"/>
      <w:r>
        <w:rPr>
          <w:b w:val="0"/>
        </w:rPr>
        <w:t>Qubit</w:t>
      </w:r>
      <w:proofErr w:type="spellEnd"/>
      <w:r>
        <w:rPr>
          <w:b w:val="0"/>
        </w:rPr>
        <w:t xml:space="preserve"> assay and read using the </w:t>
      </w:r>
      <w:proofErr w:type="spellStart"/>
      <w:r>
        <w:rPr>
          <w:b w:val="0"/>
        </w:rPr>
        <w:t>Fluorometer</w:t>
      </w:r>
      <w:proofErr w:type="spellEnd"/>
      <w:r>
        <w:rPr>
          <w:b w:val="0"/>
        </w:rPr>
        <w:t xml:space="preserve"> feature on a </w:t>
      </w:r>
      <w:proofErr w:type="spellStart"/>
      <w:r>
        <w:rPr>
          <w:b w:val="0"/>
        </w:rPr>
        <w:t>Denovix</w:t>
      </w:r>
      <w:proofErr w:type="spellEnd"/>
      <w:r>
        <w:rPr>
          <w:b w:val="0"/>
        </w:rPr>
        <w:t xml:space="preserve"> DS-11 Series. An aliquot was diluted to 1ng/µl and sized on the Fragment Analyzer using a HS Large Fragment 50kb Kit (Agilent Technologies).</w:t>
      </w:r>
    </w:p>
    <w:p w14:paraId="330A0FCE" w14:textId="77777777" w:rsidR="00B320F1" w:rsidRDefault="00B320F1"/>
    <w:p w14:paraId="240D24DC" w14:textId="77777777" w:rsidR="00B320F1" w:rsidRDefault="00D61259">
      <w:r>
        <w:t>Sequencing:</w:t>
      </w:r>
    </w:p>
    <w:p w14:paraId="274BC94A" w14:textId="77777777" w:rsidR="00B320F1" w:rsidRDefault="00D61259">
      <w:pPr>
        <w:rPr>
          <w:b w:val="0"/>
        </w:rPr>
      </w:pPr>
      <w:r>
        <w:rPr>
          <w:b w:val="0"/>
        </w:rPr>
        <w:t xml:space="preserve">The library SGAP075 was assigned the local identifier LIB107643.  Sequencing was performed on a Sequel II System using Bind Kit 2.0, Sequencing kit v2.0, and SMRT Cell 8M.  To target </w:t>
      </w:r>
      <w:proofErr w:type="spellStart"/>
      <w:r>
        <w:rPr>
          <w:b w:val="0"/>
        </w:rPr>
        <w:t>HiFi</w:t>
      </w:r>
      <w:proofErr w:type="spellEnd"/>
      <w:r>
        <w:rPr>
          <w:b w:val="0"/>
        </w:rPr>
        <w:t xml:space="preserve"> reads, the library was loaded at 100pM concentration using </w:t>
      </w:r>
      <w:proofErr w:type="gramStart"/>
      <w:r>
        <w:rPr>
          <w:b w:val="0"/>
        </w:rPr>
        <w:t>30 hour</w:t>
      </w:r>
      <w:proofErr w:type="gramEnd"/>
      <w:r>
        <w:rPr>
          <w:b w:val="0"/>
        </w:rPr>
        <w:t xml:space="preserve"> movie times on two cells. Raw </w:t>
      </w:r>
      <w:proofErr w:type="spellStart"/>
      <w:r>
        <w:rPr>
          <w:b w:val="0"/>
        </w:rPr>
        <w:t>subreads</w:t>
      </w:r>
      <w:proofErr w:type="spellEnd"/>
      <w:r>
        <w:rPr>
          <w:b w:val="0"/>
        </w:rPr>
        <w:t xml:space="preserve"> were converted to </w:t>
      </w:r>
      <w:proofErr w:type="spellStart"/>
      <w:r>
        <w:rPr>
          <w:b w:val="0"/>
        </w:rPr>
        <w:t>HiFi</w:t>
      </w:r>
      <w:proofErr w:type="spellEnd"/>
      <w:r>
        <w:rPr>
          <w:b w:val="0"/>
        </w:rPr>
        <w:t xml:space="preserve"> data by processing with CCS to call a single high quality consensus sequence for each molecule, using a 99.5% consensus accuracy cutoff.</w:t>
      </w:r>
    </w:p>
    <w:p w14:paraId="2175ECA8" w14:textId="77777777" w:rsidR="00B320F1" w:rsidRDefault="00B320F1"/>
    <w:p w14:paraId="4404BB87" w14:textId="77777777" w:rsidR="00B320F1" w:rsidRDefault="00D61259">
      <w:pPr>
        <w:rPr>
          <w:b w:val="0"/>
        </w:rPr>
      </w:pPr>
      <w:proofErr w:type="spellStart"/>
      <w:r>
        <w:rPr>
          <w:b w:val="0"/>
        </w:rPr>
        <w:t>HiFi</w:t>
      </w:r>
      <w:proofErr w:type="spellEnd"/>
      <w:r>
        <w:rPr>
          <w:b w:val="0"/>
        </w:rPr>
        <w:t xml:space="preserve"> read stats:</w:t>
      </w:r>
    </w:p>
    <w:tbl>
      <w:tblPr>
        <w:tblStyle w:val="a"/>
        <w:tblW w:w="62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60"/>
        <w:gridCol w:w="1815"/>
        <w:gridCol w:w="2250"/>
      </w:tblGrid>
      <w:tr w:rsidR="00B320F1" w14:paraId="3C6CAD98" w14:textId="77777777" w:rsidTr="00463E6D">
        <w:trPr>
          <w:cnfStyle w:val="100000000000" w:firstRow="1" w:lastRow="0" w:firstColumn="0" w:lastColumn="0" w:oddVBand="0" w:evenVBand="0" w:oddHBand="0" w:evenHBand="0" w:firstRowFirstColumn="0" w:firstRowLastColumn="0" w:lastRowFirstColumn="0" w:lastRowLastColumn="0"/>
          <w:trHeight w:val="336"/>
          <w:jc w:val="center"/>
        </w:trPr>
        <w:tc>
          <w:tcPr>
            <w:tcW w:w="2160" w:type="dxa"/>
            <w:vAlign w:val="center"/>
          </w:tcPr>
          <w:p w14:paraId="049B035D" w14:textId="77777777" w:rsidR="00B320F1" w:rsidRDefault="00B320F1">
            <w:pPr>
              <w:jc w:val="center"/>
            </w:pPr>
          </w:p>
        </w:tc>
        <w:tc>
          <w:tcPr>
            <w:tcW w:w="1815" w:type="dxa"/>
            <w:vAlign w:val="center"/>
          </w:tcPr>
          <w:p w14:paraId="49DCA7AE" w14:textId="77777777" w:rsidR="00B320F1" w:rsidRDefault="00D61259">
            <w:pPr>
              <w:jc w:val="center"/>
            </w:pPr>
            <w:r>
              <w:t>SMRT Cell 1</w:t>
            </w:r>
          </w:p>
        </w:tc>
        <w:tc>
          <w:tcPr>
            <w:tcW w:w="2250" w:type="dxa"/>
            <w:vAlign w:val="center"/>
          </w:tcPr>
          <w:p w14:paraId="31198E16" w14:textId="77777777" w:rsidR="00B320F1" w:rsidRDefault="00D61259">
            <w:pPr>
              <w:jc w:val="center"/>
            </w:pPr>
            <w:r>
              <w:t>SMRT Cell 2</w:t>
            </w:r>
          </w:p>
        </w:tc>
      </w:tr>
      <w:tr w:rsidR="00B320F1" w14:paraId="266C827D" w14:textId="77777777" w:rsidTr="00463E6D">
        <w:trPr>
          <w:cnfStyle w:val="000000100000" w:firstRow="0" w:lastRow="0" w:firstColumn="0" w:lastColumn="0" w:oddVBand="0" w:evenVBand="0" w:oddHBand="1" w:evenHBand="0" w:firstRowFirstColumn="0" w:firstRowLastColumn="0" w:lastRowFirstColumn="0" w:lastRowLastColumn="0"/>
          <w:trHeight w:val="336"/>
          <w:jc w:val="center"/>
        </w:trPr>
        <w:tc>
          <w:tcPr>
            <w:tcW w:w="2160" w:type="dxa"/>
            <w:vAlign w:val="center"/>
          </w:tcPr>
          <w:p w14:paraId="304C84A0" w14:textId="77777777" w:rsidR="00B320F1" w:rsidRDefault="00D61259">
            <w:pPr>
              <w:rPr>
                <w:b w:val="0"/>
              </w:rPr>
            </w:pPr>
            <w:r>
              <w:rPr>
                <w:b w:val="0"/>
              </w:rPr>
              <w:t xml:space="preserve"># </w:t>
            </w:r>
            <w:proofErr w:type="gramStart"/>
            <w:r>
              <w:rPr>
                <w:b w:val="0"/>
              </w:rPr>
              <w:t>of</w:t>
            </w:r>
            <w:proofErr w:type="gramEnd"/>
            <w:r>
              <w:rPr>
                <w:b w:val="0"/>
              </w:rPr>
              <w:t xml:space="preserve"> </w:t>
            </w:r>
            <w:proofErr w:type="spellStart"/>
            <w:r>
              <w:rPr>
                <w:b w:val="0"/>
              </w:rPr>
              <w:t>HiFi</w:t>
            </w:r>
            <w:proofErr w:type="spellEnd"/>
            <w:r>
              <w:rPr>
                <w:b w:val="0"/>
              </w:rPr>
              <w:t xml:space="preserve"> reads</w:t>
            </w:r>
          </w:p>
        </w:tc>
        <w:tc>
          <w:tcPr>
            <w:tcW w:w="1815" w:type="dxa"/>
            <w:vAlign w:val="center"/>
          </w:tcPr>
          <w:p w14:paraId="0288B0E4" w14:textId="77777777" w:rsidR="00B320F1" w:rsidRDefault="00D61259">
            <w:pPr>
              <w:jc w:val="center"/>
              <w:rPr>
                <w:b w:val="0"/>
              </w:rPr>
            </w:pPr>
            <w:r>
              <w:rPr>
                <w:b w:val="0"/>
              </w:rPr>
              <w:t>980,541</w:t>
            </w:r>
          </w:p>
        </w:tc>
        <w:tc>
          <w:tcPr>
            <w:tcW w:w="2250" w:type="dxa"/>
            <w:vAlign w:val="center"/>
          </w:tcPr>
          <w:p w14:paraId="50F6C83C" w14:textId="77777777" w:rsidR="00B320F1" w:rsidRDefault="00D61259">
            <w:pPr>
              <w:jc w:val="center"/>
              <w:rPr>
                <w:b w:val="0"/>
              </w:rPr>
            </w:pPr>
            <w:r>
              <w:rPr>
                <w:b w:val="0"/>
              </w:rPr>
              <w:t>1,191,311</w:t>
            </w:r>
          </w:p>
        </w:tc>
      </w:tr>
      <w:tr w:rsidR="00B320F1" w14:paraId="24873E0C" w14:textId="77777777" w:rsidTr="00463E6D">
        <w:trPr>
          <w:trHeight w:val="336"/>
          <w:jc w:val="center"/>
        </w:trPr>
        <w:tc>
          <w:tcPr>
            <w:tcW w:w="2160" w:type="dxa"/>
            <w:vAlign w:val="center"/>
          </w:tcPr>
          <w:p w14:paraId="2BD6B3FA" w14:textId="77777777" w:rsidR="00B320F1" w:rsidRDefault="00D61259">
            <w:pPr>
              <w:rPr>
                <w:b w:val="0"/>
              </w:rPr>
            </w:pPr>
            <w:r>
              <w:rPr>
                <w:b w:val="0"/>
              </w:rPr>
              <w:t>Yield</w:t>
            </w:r>
          </w:p>
        </w:tc>
        <w:tc>
          <w:tcPr>
            <w:tcW w:w="1815" w:type="dxa"/>
            <w:vAlign w:val="center"/>
          </w:tcPr>
          <w:p w14:paraId="66C34AFF" w14:textId="77777777" w:rsidR="00B320F1" w:rsidRDefault="00D61259">
            <w:pPr>
              <w:jc w:val="center"/>
              <w:rPr>
                <w:b w:val="0"/>
              </w:rPr>
            </w:pPr>
            <w:r>
              <w:rPr>
                <w:b w:val="0"/>
              </w:rPr>
              <w:t>15.5 Gb</w:t>
            </w:r>
          </w:p>
        </w:tc>
        <w:tc>
          <w:tcPr>
            <w:tcW w:w="2250" w:type="dxa"/>
            <w:vAlign w:val="center"/>
          </w:tcPr>
          <w:p w14:paraId="6D20F5EC" w14:textId="77777777" w:rsidR="00B320F1" w:rsidRDefault="00D61259">
            <w:pPr>
              <w:jc w:val="center"/>
              <w:rPr>
                <w:b w:val="0"/>
              </w:rPr>
            </w:pPr>
            <w:r>
              <w:rPr>
                <w:b w:val="0"/>
              </w:rPr>
              <w:t>18.9 Gb</w:t>
            </w:r>
          </w:p>
        </w:tc>
      </w:tr>
      <w:tr w:rsidR="00B320F1" w14:paraId="623FCD63" w14:textId="77777777" w:rsidTr="00463E6D">
        <w:trPr>
          <w:cnfStyle w:val="000000100000" w:firstRow="0" w:lastRow="0" w:firstColumn="0" w:lastColumn="0" w:oddVBand="0" w:evenVBand="0" w:oddHBand="1" w:evenHBand="0" w:firstRowFirstColumn="0" w:firstRowLastColumn="0" w:lastRowFirstColumn="0" w:lastRowLastColumn="0"/>
          <w:trHeight w:val="336"/>
          <w:jc w:val="center"/>
        </w:trPr>
        <w:tc>
          <w:tcPr>
            <w:tcW w:w="2160" w:type="dxa"/>
            <w:vAlign w:val="center"/>
          </w:tcPr>
          <w:p w14:paraId="736407A1" w14:textId="77777777" w:rsidR="00B320F1" w:rsidRDefault="00D61259">
            <w:pPr>
              <w:rPr>
                <w:b w:val="0"/>
              </w:rPr>
            </w:pPr>
            <w:r>
              <w:rPr>
                <w:b w:val="0"/>
              </w:rPr>
              <w:t>Mean insert length</w:t>
            </w:r>
          </w:p>
        </w:tc>
        <w:tc>
          <w:tcPr>
            <w:tcW w:w="1815" w:type="dxa"/>
            <w:vAlign w:val="center"/>
          </w:tcPr>
          <w:p w14:paraId="5F85B14F" w14:textId="77777777" w:rsidR="00B320F1" w:rsidRDefault="00D61259">
            <w:pPr>
              <w:jc w:val="center"/>
              <w:rPr>
                <w:b w:val="0"/>
              </w:rPr>
            </w:pPr>
            <w:r>
              <w:rPr>
                <w:b w:val="0"/>
              </w:rPr>
              <w:t xml:space="preserve">15,822 </w:t>
            </w:r>
            <w:proofErr w:type="spellStart"/>
            <w:r>
              <w:rPr>
                <w:b w:val="0"/>
              </w:rPr>
              <w:t>bp</w:t>
            </w:r>
            <w:proofErr w:type="spellEnd"/>
          </w:p>
        </w:tc>
        <w:tc>
          <w:tcPr>
            <w:tcW w:w="2250" w:type="dxa"/>
            <w:vAlign w:val="center"/>
          </w:tcPr>
          <w:p w14:paraId="26F00D6D" w14:textId="77777777" w:rsidR="00B320F1" w:rsidRDefault="00D61259">
            <w:pPr>
              <w:jc w:val="center"/>
              <w:rPr>
                <w:b w:val="0"/>
              </w:rPr>
            </w:pPr>
            <w:r>
              <w:rPr>
                <w:b w:val="0"/>
              </w:rPr>
              <w:t xml:space="preserve">15,883 </w:t>
            </w:r>
            <w:proofErr w:type="spellStart"/>
            <w:r>
              <w:rPr>
                <w:b w:val="0"/>
              </w:rPr>
              <w:t>bp</w:t>
            </w:r>
            <w:proofErr w:type="spellEnd"/>
          </w:p>
        </w:tc>
      </w:tr>
      <w:tr w:rsidR="00B320F1" w14:paraId="7A366DED" w14:textId="77777777" w:rsidTr="00463E6D">
        <w:trPr>
          <w:trHeight w:val="336"/>
          <w:jc w:val="center"/>
        </w:trPr>
        <w:tc>
          <w:tcPr>
            <w:tcW w:w="2160" w:type="dxa"/>
            <w:vAlign w:val="center"/>
          </w:tcPr>
          <w:p w14:paraId="44B7310C" w14:textId="77777777" w:rsidR="00B320F1" w:rsidRDefault="00D61259">
            <w:pPr>
              <w:rPr>
                <w:b w:val="0"/>
              </w:rPr>
            </w:pPr>
            <w:r>
              <w:rPr>
                <w:b w:val="0"/>
              </w:rPr>
              <w:t>Median read quality</w:t>
            </w:r>
          </w:p>
        </w:tc>
        <w:tc>
          <w:tcPr>
            <w:tcW w:w="1815" w:type="dxa"/>
            <w:vAlign w:val="center"/>
          </w:tcPr>
          <w:p w14:paraId="42E16A48" w14:textId="77777777" w:rsidR="00B320F1" w:rsidRDefault="00D61259">
            <w:pPr>
              <w:jc w:val="center"/>
              <w:rPr>
                <w:b w:val="0"/>
              </w:rPr>
            </w:pPr>
            <w:r>
              <w:rPr>
                <w:b w:val="0"/>
              </w:rPr>
              <w:t>Q28</w:t>
            </w:r>
          </w:p>
        </w:tc>
        <w:tc>
          <w:tcPr>
            <w:tcW w:w="2250" w:type="dxa"/>
            <w:vAlign w:val="center"/>
          </w:tcPr>
          <w:p w14:paraId="5CB72C96" w14:textId="77777777" w:rsidR="00B320F1" w:rsidRDefault="00D61259">
            <w:pPr>
              <w:jc w:val="center"/>
              <w:rPr>
                <w:b w:val="0"/>
              </w:rPr>
            </w:pPr>
            <w:r>
              <w:rPr>
                <w:b w:val="0"/>
              </w:rPr>
              <w:t>Q29</w:t>
            </w:r>
          </w:p>
        </w:tc>
      </w:tr>
    </w:tbl>
    <w:p w14:paraId="15240B78" w14:textId="77777777" w:rsidR="00B320F1" w:rsidRDefault="00B320F1"/>
    <w:p w14:paraId="22D8C380" w14:textId="77777777" w:rsidR="00B320F1" w:rsidRDefault="00D61259">
      <w:pPr>
        <w:rPr>
          <w:b w:val="0"/>
          <w:sz w:val="32"/>
          <w:szCs w:val="32"/>
        </w:rPr>
      </w:pPr>
      <w:bookmarkStart w:id="0" w:name="_GoBack"/>
      <w:bookmarkEnd w:id="0"/>
      <w:r>
        <w:rPr>
          <w:b w:val="0"/>
        </w:rPr>
        <w:t xml:space="preserve">Reads were adapter barcode trimmed using </w:t>
      </w:r>
      <w:hyperlink r:id="rId7">
        <w:r>
          <w:rPr>
            <w:b w:val="0"/>
            <w:color w:val="0000FF"/>
            <w:u w:val="single"/>
          </w:rPr>
          <w:t>lima</w:t>
        </w:r>
      </w:hyperlink>
      <w:r>
        <w:rPr>
          <w:b w:val="0"/>
        </w:rPr>
        <w:t xml:space="preserve">. </w:t>
      </w:r>
      <w:proofErr w:type="spellStart"/>
      <w:r>
        <w:rPr>
          <w:b w:val="0"/>
        </w:rPr>
        <w:t>Kmer</w:t>
      </w:r>
      <w:proofErr w:type="spellEnd"/>
      <w:r>
        <w:rPr>
          <w:b w:val="0"/>
        </w:rPr>
        <w:t xml:space="preserve"> analysis of the </w:t>
      </w:r>
      <w:proofErr w:type="spellStart"/>
      <w:r>
        <w:rPr>
          <w:b w:val="0"/>
        </w:rPr>
        <w:t>HiFi</w:t>
      </w:r>
      <w:proofErr w:type="spellEnd"/>
      <w:r>
        <w:rPr>
          <w:b w:val="0"/>
        </w:rPr>
        <w:t xml:space="preserve"> reads using </w:t>
      </w:r>
      <w:hyperlink r:id="rId8">
        <w:proofErr w:type="spellStart"/>
        <w:r>
          <w:rPr>
            <w:b w:val="0"/>
            <w:color w:val="0000FF"/>
            <w:u w:val="single"/>
          </w:rPr>
          <w:t>GenomeScope</w:t>
        </w:r>
        <w:proofErr w:type="spellEnd"/>
      </w:hyperlink>
      <w:r w:rsidR="00591A84">
        <w:rPr>
          <w:b w:val="0"/>
        </w:rPr>
        <w:t xml:space="preserve"> [2</w:t>
      </w:r>
      <w:r>
        <w:rPr>
          <w:b w:val="0"/>
        </w:rPr>
        <w:t xml:space="preserve">] yielded 66x average haploid coverage, corresponding to a genome size estimate of 260 </w:t>
      </w:r>
      <w:proofErr w:type="gramStart"/>
      <w:r>
        <w:rPr>
          <w:b w:val="0"/>
        </w:rPr>
        <w:t>Mb</w:t>
      </w:r>
      <w:proofErr w:type="gramEnd"/>
      <w:r>
        <w:rPr>
          <w:b w:val="0"/>
        </w:rPr>
        <w:t>.</w:t>
      </w:r>
    </w:p>
    <w:p w14:paraId="70D0D539" w14:textId="77777777" w:rsidR="00B320F1" w:rsidRDefault="00B320F1">
      <w:pPr>
        <w:rPr>
          <w:b w:val="0"/>
        </w:rPr>
      </w:pPr>
    </w:p>
    <w:p w14:paraId="1690CFBD" w14:textId="77777777" w:rsidR="00B320F1" w:rsidRDefault="00D61259">
      <w:r>
        <w:t>Assembly:</w:t>
      </w:r>
    </w:p>
    <w:p w14:paraId="4C7E4C04" w14:textId="77777777" w:rsidR="00B320F1" w:rsidRDefault="00D61259">
      <w:pPr>
        <w:rPr>
          <w:b w:val="0"/>
        </w:rPr>
      </w:pPr>
      <w:r>
        <w:rPr>
          <w:b w:val="0"/>
        </w:rPr>
        <w:t>The nuclear genome assembly was carried out using IPA (</w:t>
      </w:r>
      <w:proofErr w:type="spellStart"/>
      <w:r>
        <w:rPr>
          <w:b w:val="0"/>
        </w:rPr>
        <w:t>Sović</w:t>
      </w:r>
      <w:proofErr w:type="spellEnd"/>
      <w:r>
        <w:rPr>
          <w:b w:val="0"/>
        </w:rPr>
        <w:t xml:space="preserve">, </w:t>
      </w:r>
      <w:proofErr w:type="spellStart"/>
      <w:r>
        <w:rPr>
          <w:b w:val="0"/>
        </w:rPr>
        <w:t>Kronenberg</w:t>
      </w:r>
      <w:proofErr w:type="spellEnd"/>
      <w:r>
        <w:rPr>
          <w:b w:val="0"/>
        </w:rPr>
        <w:t xml:space="preserve"> </w:t>
      </w:r>
      <w:r>
        <w:rPr>
          <w:b w:val="0"/>
          <w:i/>
        </w:rPr>
        <w:t>et al.</w:t>
      </w:r>
      <w:r w:rsidR="00591A84">
        <w:rPr>
          <w:b w:val="0"/>
        </w:rPr>
        <w:t xml:space="preserve"> [3,4</w:t>
      </w:r>
      <w:r>
        <w:rPr>
          <w:b w:val="0"/>
        </w:rPr>
        <w:t xml:space="preserve">], using the </w:t>
      </w:r>
      <w:hyperlink r:id="rId9">
        <w:proofErr w:type="spellStart"/>
        <w:r>
          <w:rPr>
            <w:b w:val="0"/>
            <w:color w:val="0000FF"/>
            <w:u w:val="single"/>
          </w:rPr>
          <w:t>bioconda</w:t>
        </w:r>
        <w:proofErr w:type="spellEnd"/>
        <w:r>
          <w:rPr>
            <w:b w:val="0"/>
            <w:color w:val="0000FF"/>
            <w:u w:val="single"/>
          </w:rPr>
          <w:t xml:space="preserve"> release</w:t>
        </w:r>
      </w:hyperlink>
      <w:r>
        <w:rPr>
          <w:b w:val="0"/>
        </w:rPr>
        <w:t xml:space="preserve">) with default settings. Primary </w:t>
      </w:r>
      <w:proofErr w:type="spellStart"/>
      <w:r>
        <w:rPr>
          <w:b w:val="0"/>
        </w:rPr>
        <w:t>contigs</w:t>
      </w:r>
      <w:proofErr w:type="spellEnd"/>
      <w:r>
        <w:rPr>
          <w:b w:val="0"/>
        </w:rPr>
        <w:t xml:space="preserve"> were subjected to </w:t>
      </w:r>
      <w:hyperlink r:id="rId10">
        <w:proofErr w:type="spellStart"/>
        <w:r>
          <w:rPr>
            <w:b w:val="0"/>
            <w:color w:val="0000FF"/>
            <w:u w:val="single"/>
          </w:rPr>
          <w:t>purge_dups</w:t>
        </w:r>
        <w:proofErr w:type="spellEnd"/>
      </w:hyperlink>
      <w:r w:rsidR="00591A84">
        <w:rPr>
          <w:b w:val="0"/>
        </w:rPr>
        <w:t xml:space="preserve"> [5</w:t>
      </w:r>
      <w:r>
        <w:rPr>
          <w:b w:val="0"/>
        </w:rPr>
        <w:t xml:space="preserve">] to generate the primary assembly file. The purged </w:t>
      </w:r>
      <w:proofErr w:type="spellStart"/>
      <w:r>
        <w:rPr>
          <w:b w:val="0"/>
        </w:rPr>
        <w:t>contigs</w:t>
      </w:r>
      <w:proofErr w:type="spellEnd"/>
      <w:r>
        <w:rPr>
          <w:b w:val="0"/>
        </w:rPr>
        <w:t xml:space="preserve"> were combined with the original </w:t>
      </w:r>
      <w:proofErr w:type="spellStart"/>
      <w:r>
        <w:rPr>
          <w:b w:val="0"/>
        </w:rPr>
        <w:t>haplotigs</w:t>
      </w:r>
      <w:proofErr w:type="spellEnd"/>
      <w:r>
        <w:rPr>
          <w:b w:val="0"/>
        </w:rPr>
        <w:t xml:space="preserve"> file, followed by an additional round of </w:t>
      </w:r>
      <w:proofErr w:type="spellStart"/>
      <w:r>
        <w:rPr>
          <w:b w:val="0"/>
        </w:rPr>
        <w:t>purge_dups</w:t>
      </w:r>
      <w:proofErr w:type="spellEnd"/>
      <w:r>
        <w:rPr>
          <w:b w:val="0"/>
        </w:rPr>
        <w:t xml:space="preserve">. </w:t>
      </w:r>
    </w:p>
    <w:p w14:paraId="243724CC" w14:textId="77777777" w:rsidR="00B320F1" w:rsidRDefault="00B320F1">
      <w:pPr>
        <w:rPr>
          <w:b w:val="0"/>
        </w:rPr>
      </w:pPr>
    </w:p>
    <w:tbl>
      <w:tblPr>
        <w:tblStyle w:val="a0"/>
        <w:tblW w:w="7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72"/>
        <w:gridCol w:w="2394"/>
        <w:gridCol w:w="2394"/>
      </w:tblGrid>
      <w:tr w:rsidR="00B320F1" w14:paraId="5DA06AE7" w14:textId="77777777" w:rsidTr="00463E6D">
        <w:trPr>
          <w:cnfStyle w:val="100000000000" w:firstRow="1" w:lastRow="0" w:firstColumn="0" w:lastColumn="0" w:oddVBand="0" w:evenVBand="0" w:oddHBand="0" w:evenHBand="0" w:firstRowFirstColumn="0" w:firstRowLastColumn="0" w:lastRowFirstColumn="0" w:lastRowLastColumn="0"/>
          <w:trHeight w:val="340"/>
          <w:jc w:val="center"/>
        </w:trPr>
        <w:tc>
          <w:tcPr>
            <w:tcW w:w="2272" w:type="dxa"/>
            <w:vAlign w:val="center"/>
          </w:tcPr>
          <w:p w14:paraId="728B7CCC" w14:textId="77777777" w:rsidR="00B320F1" w:rsidRDefault="00B320F1">
            <w:pPr>
              <w:jc w:val="center"/>
              <w:rPr>
                <w:rFonts w:ascii="Arial" w:eastAsia="Arial" w:hAnsi="Arial" w:cs="Arial"/>
                <w:sz w:val="18"/>
                <w:szCs w:val="18"/>
              </w:rPr>
            </w:pPr>
          </w:p>
        </w:tc>
        <w:tc>
          <w:tcPr>
            <w:tcW w:w="2394" w:type="dxa"/>
            <w:vAlign w:val="center"/>
          </w:tcPr>
          <w:p w14:paraId="6C3FA461" w14:textId="77777777" w:rsidR="00B320F1" w:rsidRDefault="00D61259">
            <w:pPr>
              <w:jc w:val="center"/>
              <w:rPr>
                <w:rFonts w:ascii="Arial" w:eastAsia="Arial" w:hAnsi="Arial" w:cs="Arial"/>
                <w:sz w:val="18"/>
                <w:szCs w:val="18"/>
              </w:rPr>
            </w:pPr>
            <w:r>
              <w:rPr>
                <w:rFonts w:ascii="Arial" w:eastAsia="Arial" w:hAnsi="Arial" w:cs="Arial"/>
                <w:sz w:val="18"/>
                <w:szCs w:val="18"/>
              </w:rPr>
              <w:t>Primary</w:t>
            </w:r>
          </w:p>
        </w:tc>
        <w:tc>
          <w:tcPr>
            <w:tcW w:w="2394" w:type="dxa"/>
            <w:vAlign w:val="center"/>
          </w:tcPr>
          <w:p w14:paraId="60920A42" w14:textId="77777777" w:rsidR="00B320F1" w:rsidRDefault="00D61259">
            <w:pPr>
              <w:jc w:val="center"/>
              <w:rPr>
                <w:rFonts w:ascii="Arial" w:eastAsia="Arial" w:hAnsi="Arial" w:cs="Arial"/>
                <w:sz w:val="18"/>
                <w:szCs w:val="18"/>
              </w:rPr>
            </w:pPr>
            <w:proofErr w:type="spellStart"/>
            <w:r>
              <w:rPr>
                <w:rFonts w:ascii="Arial" w:eastAsia="Arial" w:hAnsi="Arial" w:cs="Arial"/>
                <w:sz w:val="18"/>
                <w:szCs w:val="18"/>
              </w:rPr>
              <w:t>Haplotigs</w:t>
            </w:r>
            <w:proofErr w:type="spellEnd"/>
          </w:p>
        </w:tc>
      </w:tr>
      <w:tr w:rsidR="00B320F1" w14:paraId="666F01CF" w14:textId="77777777" w:rsidTr="00463E6D">
        <w:trPr>
          <w:cnfStyle w:val="000000100000" w:firstRow="0" w:lastRow="0" w:firstColumn="0" w:lastColumn="0" w:oddVBand="0" w:evenVBand="0" w:oddHBand="1" w:evenHBand="0" w:firstRowFirstColumn="0" w:firstRowLastColumn="0" w:lastRowFirstColumn="0" w:lastRowLastColumn="0"/>
          <w:trHeight w:val="380"/>
          <w:jc w:val="center"/>
        </w:trPr>
        <w:tc>
          <w:tcPr>
            <w:tcW w:w="2272" w:type="dxa"/>
            <w:vAlign w:val="center"/>
          </w:tcPr>
          <w:p w14:paraId="6E321374" w14:textId="77777777" w:rsidR="00B320F1" w:rsidRDefault="00D61259">
            <w:pPr>
              <w:rPr>
                <w:rFonts w:ascii="Arial" w:eastAsia="Arial" w:hAnsi="Arial" w:cs="Arial"/>
                <w:b w:val="0"/>
                <w:sz w:val="18"/>
                <w:szCs w:val="18"/>
              </w:rPr>
            </w:pPr>
            <w:r>
              <w:rPr>
                <w:rFonts w:ascii="Arial" w:eastAsia="Arial" w:hAnsi="Arial" w:cs="Arial"/>
                <w:b w:val="0"/>
                <w:sz w:val="18"/>
                <w:szCs w:val="18"/>
              </w:rPr>
              <w:t>Assembly size</w:t>
            </w:r>
          </w:p>
        </w:tc>
        <w:tc>
          <w:tcPr>
            <w:tcW w:w="2394" w:type="dxa"/>
            <w:vAlign w:val="center"/>
          </w:tcPr>
          <w:p w14:paraId="12214CCB" w14:textId="77777777" w:rsidR="00B320F1" w:rsidRDefault="00D61259">
            <w:pPr>
              <w:jc w:val="center"/>
              <w:rPr>
                <w:rFonts w:ascii="Arial" w:eastAsia="Arial" w:hAnsi="Arial" w:cs="Arial"/>
                <w:sz w:val="18"/>
                <w:szCs w:val="18"/>
              </w:rPr>
            </w:pPr>
            <w:r>
              <w:rPr>
                <w:rFonts w:ascii="Arial" w:eastAsia="Arial" w:hAnsi="Arial" w:cs="Arial"/>
                <w:sz w:val="18"/>
                <w:szCs w:val="18"/>
              </w:rPr>
              <w:t>248 Mb</w:t>
            </w:r>
          </w:p>
        </w:tc>
        <w:tc>
          <w:tcPr>
            <w:tcW w:w="2394" w:type="dxa"/>
            <w:vAlign w:val="center"/>
          </w:tcPr>
          <w:p w14:paraId="228BC0C5" w14:textId="77777777" w:rsidR="00B320F1" w:rsidRDefault="00D61259">
            <w:pPr>
              <w:jc w:val="center"/>
              <w:rPr>
                <w:rFonts w:ascii="Arial" w:eastAsia="Arial" w:hAnsi="Arial" w:cs="Arial"/>
                <w:b w:val="0"/>
                <w:sz w:val="18"/>
                <w:szCs w:val="18"/>
              </w:rPr>
            </w:pPr>
            <w:r>
              <w:rPr>
                <w:rFonts w:ascii="Arial" w:eastAsia="Arial" w:hAnsi="Arial" w:cs="Arial"/>
                <w:b w:val="0"/>
                <w:sz w:val="18"/>
                <w:szCs w:val="18"/>
              </w:rPr>
              <w:t>200 Mb</w:t>
            </w:r>
          </w:p>
        </w:tc>
      </w:tr>
      <w:tr w:rsidR="00B320F1" w14:paraId="1D837BDA" w14:textId="77777777" w:rsidTr="00463E6D">
        <w:trPr>
          <w:trHeight w:val="380"/>
          <w:jc w:val="center"/>
        </w:trPr>
        <w:tc>
          <w:tcPr>
            <w:tcW w:w="2272" w:type="dxa"/>
            <w:vAlign w:val="center"/>
          </w:tcPr>
          <w:p w14:paraId="4BA53D89" w14:textId="77777777" w:rsidR="00B320F1" w:rsidRDefault="00D61259">
            <w:pPr>
              <w:rPr>
                <w:rFonts w:ascii="Arial" w:eastAsia="Arial" w:hAnsi="Arial" w:cs="Arial"/>
                <w:b w:val="0"/>
                <w:sz w:val="18"/>
                <w:szCs w:val="18"/>
              </w:rPr>
            </w:pPr>
            <w:r>
              <w:rPr>
                <w:rFonts w:ascii="Arial" w:eastAsia="Arial" w:hAnsi="Arial" w:cs="Arial"/>
                <w:b w:val="0"/>
                <w:sz w:val="18"/>
                <w:szCs w:val="18"/>
              </w:rPr>
              <w:t xml:space="preserve"># </w:t>
            </w:r>
            <w:proofErr w:type="gramStart"/>
            <w:r>
              <w:rPr>
                <w:rFonts w:ascii="Arial" w:eastAsia="Arial" w:hAnsi="Arial" w:cs="Arial"/>
                <w:b w:val="0"/>
                <w:sz w:val="18"/>
                <w:szCs w:val="18"/>
              </w:rPr>
              <w:t>of</w:t>
            </w:r>
            <w:proofErr w:type="gramEnd"/>
            <w:r>
              <w:rPr>
                <w:rFonts w:ascii="Arial" w:eastAsia="Arial" w:hAnsi="Arial" w:cs="Arial"/>
                <w:b w:val="0"/>
                <w:sz w:val="18"/>
                <w:szCs w:val="18"/>
              </w:rPr>
              <w:t xml:space="preserve"> </w:t>
            </w:r>
            <w:proofErr w:type="spellStart"/>
            <w:r>
              <w:rPr>
                <w:rFonts w:ascii="Arial" w:eastAsia="Arial" w:hAnsi="Arial" w:cs="Arial"/>
                <w:b w:val="0"/>
                <w:sz w:val="18"/>
                <w:szCs w:val="18"/>
              </w:rPr>
              <w:t>contigs</w:t>
            </w:r>
            <w:proofErr w:type="spellEnd"/>
          </w:p>
        </w:tc>
        <w:tc>
          <w:tcPr>
            <w:tcW w:w="2394" w:type="dxa"/>
            <w:vAlign w:val="center"/>
          </w:tcPr>
          <w:p w14:paraId="1D369AB8" w14:textId="77777777" w:rsidR="00B320F1" w:rsidRDefault="00D61259">
            <w:pPr>
              <w:jc w:val="center"/>
              <w:rPr>
                <w:rFonts w:ascii="Arial" w:eastAsia="Arial" w:hAnsi="Arial" w:cs="Arial"/>
                <w:sz w:val="18"/>
                <w:szCs w:val="18"/>
              </w:rPr>
            </w:pPr>
            <w:r>
              <w:rPr>
                <w:rFonts w:ascii="Arial" w:eastAsia="Arial" w:hAnsi="Arial" w:cs="Arial"/>
                <w:sz w:val="18"/>
                <w:szCs w:val="18"/>
              </w:rPr>
              <w:t>262</w:t>
            </w:r>
          </w:p>
        </w:tc>
        <w:tc>
          <w:tcPr>
            <w:tcW w:w="2394" w:type="dxa"/>
            <w:vAlign w:val="center"/>
          </w:tcPr>
          <w:p w14:paraId="52DA588A" w14:textId="77777777" w:rsidR="00B320F1" w:rsidRDefault="00D61259">
            <w:pPr>
              <w:jc w:val="center"/>
              <w:rPr>
                <w:rFonts w:ascii="Arial" w:eastAsia="Arial" w:hAnsi="Arial" w:cs="Arial"/>
                <w:b w:val="0"/>
                <w:sz w:val="18"/>
                <w:szCs w:val="18"/>
              </w:rPr>
            </w:pPr>
            <w:r>
              <w:rPr>
                <w:rFonts w:ascii="Arial" w:eastAsia="Arial" w:hAnsi="Arial" w:cs="Arial"/>
                <w:b w:val="0"/>
                <w:sz w:val="18"/>
                <w:szCs w:val="18"/>
              </w:rPr>
              <w:t>2,523</w:t>
            </w:r>
          </w:p>
        </w:tc>
      </w:tr>
      <w:tr w:rsidR="00B320F1" w14:paraId="083EB2B1" w14:textId="77777777" w:rsidTr="00463E6D">
        <w:trPr>
          <w:cnfStyle w:val="000000100000" w:firstRow="0" w:lastRow="0" w:firstColumn="0" w:lastColumn="0" w:oddVBand="0" w:evenVBand="0" w:oddHBand="1" w:evenHBand="0" w:firstRowFirstColumn="0" w:firstRowLastColumn="0" w:lastRowFirstColumn="0" w:lastRowLastColumn="0"/>
          <w:trHeight w:val="380"/>
          <w:jc w:val="center"/>
        </w:trPr>
        <w:tc>
          <w:tcPr>
            <w:tcW w:w="2272" w:type="dxa"/>
            <w:vAlign w:val="center"/>
          </w:tcPr>
          <w:p w14:paraId="58332C3E" w14:textId="77777777" w:rsidR="00B320F1" w:rsidRDefault="00D61259">
            <w:pPr>
              <w:rPr>
                <w:rFonts w:ascii="Arial" w:eastAsia="Arial" w:hAnsi="Arial" w:cs="Arial"/>
                <w:b w:val="0"/>
                <w:sz w:val="18"/>
                <w:szCs w:val="18"/>
              </w:rPr>
            </w:pPr>
            <w:proofErr w:type="spellStart"/>
            <w:r>
              <w:rPr>
                <w:rFonts w:ascii="Arial" w:eastAsia="Arial" w:hAnsi="Arial" w:cs="Arial"/>
                <w:b w:val="0"/>
                <w:sz w:val="18"/>
                <w:szCs w:val="18"/>
              </w:rPr>
              <w:t>Contig</w:t>
            </w:r>
            <w:proofErr w:type="spellEnd"/>
            <w:r>
              <w:rPr>
                <w:rFonts w:ascii="Arial" w:eastAsia="Arial" w:hAnsi="Arial" w:cs="Arial"/>
                <w:b w:val="0"/>
                <w:sz w:val="18"/>
                <w:szCs w:val="18"/>
              </w:rPr>
              <w:t xml:space="preserve"> N50</w:t>
            </w:r>
          </w:p>
        </w:tc>
        <w:tc>
          <w:tcPr>
            <w:tcW w:w="2394" w:type="dxa"/>
            <w:vAlign w:val="center"/>
          </w:tcPr>
          <w:p w14:paraId="3E351C64" w14:textId="77777777" w:rsidR="00B320F1" w:rsidRDefault="00D61259">
            <w:pPr>
              <w:jc w:val="center"/>
              <w:rPr>
                <w:rFonts w:ascii="Arial" w:eastAsia="Arial" w:hAnsi="Arial" w:cs="Arial"/>
                <w:sz w:val="18"/>
                <w:szCs w:val="18"/>
              </w:rPr>
            </w:pPr>
            <w:r>
              <w:rPr>
                <w:rFonts w:ascii="Arial" w:eastAsia="Arial" w:hAnsi="Arial" w:cs="Arial"/>
                <w:sz w:val="18"/>
                <w:szCs w:val="18"/>
              </w:rPr>
              <w:t>3.14 Mb</w:t>
            </w:r>
          </w:p>
        </w:tc>
        <w:tc>
          <w:tcPr>
            <w:tcW w:w="2394" w:type="dxa"/>
            <w:vAlign w:val="center"/>
          </w:tcPr>
          <w:p w14:paraId="168F0850" w14:textId="77777777" w:rsidR="00B320F1" w:rsidRDefault="00D61259">
            <w:pPr>
              <w:jc w:val="center"/>
              <w:rPr>
                <w:rFonts w:ascii="Arial" w:eastAsia="Arial" w:hAnsi="Arial" w:cs="Arial"/>
                <w:b w:val="0"/>
                <w:sz w:val="18"/>
                <w:szCs w:val="18"/>
              </w:rPr>
            </w:pPr>
            <w:r>
              <w:rPr>
                <w:rFonts w:ascii="Arial" w:eastAsia="Arial" w:hAnsi="Arial" w:cs="Arial"/>
                <w:b w:val="0"/>
                <w:sz w:val="18"/>
                <w:szCs w:val="18"/>
              </w:rPr>
              <w:t>0.16 Mb</w:t>
            </w:r>
          </w:p>
        </w:tc>
      </w:tr>
      <w:tr w:rsidR="00B320F1" w14:paraId="5A53F924" w14:textId="77777777" w:rsidTr="00463E6D">
        <w:trPr>
          <w:trHeight w:val="720"/>
          <w:jc w:val="center"/>
        </w:trPr>
        <w:tc>
          <w:tcPr>
            <w:tcW w:w="2272" w:type="dxa"/>
            <w:vAlign w:val="center"/>
          </w:tcPr>
          <w:p w14:paraId="6859EAAB" w14:textId="77777777" w:rsidR="00B320F1" w:rsidRDefault="00D61259">
            <w:pPr>
              <w:rPr>
                <w:rFonts w:ascii="Arial" w:eastAsia="Arial" w:hAnsi="Arial" w:cs="Arial"/>
                <w:b w:val="0"/>
                <w:sz w:val="18"/>
                <w:szCs w:val="18"/>
              </w:rPr>
            </w:pPr>
            <w:r>
              <w:rPr>
                <w:rFonts w:ascii="Arial" w:eastAsia="Arial" w:hAnsi="Arial" w:cs="Arial"/>
                <w:b w:val="0"/>
                <w:sz w:val="18"/>
                <w:szCs w:val="18"/>
              </w:rPr>
              <w:t>BUSCO (</w:t>
            </w:r>
            <w:proofErr w:type="spellStart"/>
            <w:proofErr w:type="gramStart"/>
            <w:r>
              <w:rPr>
                <w:rFonts w:ascii="Arial" w:eastAsia="Arial" w:hAnsi="Arial" w:cs="Arial"/>
                <w:b w:val="0"/>
                <w:sz w:val="18"/>
                <w:szCs w:val="18"/>
              </w:rPr>
              <w:t>insecta</w:t>
            </w:r>
            <w:proofErr w:type="spellEnd"/>
            <w:r>
              <w:rPr>
                <w:rFonts w:ascii="Arial" w:eastAsia="Arial" w:hAnsi="Arial" w:cs="Arial"/>
                <w:b w:val="0"/>
                <w:sz w:val="18"/>
                <w:szCs w:val="18"/>
              </w:rPr>
              <w:t>)</w:t>
            </w:r>
            <w:r>
              <w:rPr>
                <w:rFonts w:ascii="Arial" w:eastAsia="Arial" w:hAnsi="Arial" w:cs="Arial"/>
                <w:b w:val="0"/>
                <w:sz w:val="18"/>
                <w:szCs w:val="18"/>
                <w:vertAlign w:val="superscript"/>
              </w:rPr>
              <w:t>1</w:t>
            </w:r>
            <w:proofErr w:type="gramEnd"/>
            <w:r>
              <w:rPr>
                <w:rFonts w:ascii="Arial" w:eastAsia="Arial" w:hAnsi="Arial" w:cs="Arial"/>
                <w:b w:val="0"/>
                <w:sz w:val="18"/>
                <w:szCs w:val="18"/>
              </w:rPr>
              <w:t xml:space="preserve"> completeness (n=1,658)</w:t>
            </w:r>
          </w:p>
        </w:tc>
        <w:tc>
          <w:tcPr>
            <w:tcW w:w="2394" w:type="dxa"/>
            <w:vAlign w:val="center"/>
          </w:tcPr>
          <w:p w14:paraId="5C8C8F11" w14:textId="77777777" w:rsidR="00B320F1" w:rsidRDefault="00D61259">
            <w:pPr>
              <w:jc w:val="center"/>
              <w:rPr>
                <w:rFonts w:ascii="Arial" w:eastAsia="Arial" w:hAnsi="Arial" w:cs="Arial"/>
                <w:sz w:val="18"/>
                <w:szCs w:val="18"/>
              </w:rPr>
            </w:pPr>
            <w:r>
              <w:rPr>
                <w:rFonts w:ascii="Arial" w:eastAsia="Arial" w:hAnsi="Arial" w:cs="Arial"/>
                <w:sz w:val="18"/>
                <w:szCs w:val="18"/>
              </w:rPr>
              <w:t>C</w:t>
            </w:r>
            <w:proofErr w:type="gramStart"/>
            <w:r>
              <w:rPr>
                <w:rFonts w:ascii="Arial" w:eastAsia="Arial" w:hAnsi="Arial" w:cs="Arial"/>
                <w:sz w:val="18"/>
                <w:szCs w:val="18"/>
              </w:rPr>
              <w:t>:99.3</w:t>
            </w:r>
            <w:proofErr w:type="gramEnd"/>
            <w:r>
              <w:rPr>
                <w:rFonts w:ascii="Arial" w:eastAsia="Arial" w:hAnsi="Arial" w:cs="Arial"/>
                <w:sz w:val="18"/>
                <w:szCs w:val="18"/>
              </w:rPr>
              <w:t>% [S:98.9%,D:0.4%] F:0.4%,M:0.3%</w:t>
            </w:r>
          </w:p>
        </w:tc>
        <w:tc>
          <w:tcPr>
            <w:tcW w:w="2394" w:type="dxa"/>
            <w:vAlign w:val="center"/>
          </w:tcPr>
          <w:p w14:paraId="17595D10" w14:textId="77777777" w:rsidR="00B320F1" w:rsidRDefault="00D61259">
            <w:pPr>
              <w:jc w:val="center"/>
              <w:rPr>
                <w:rFonts w:ascii="Arial" w:eastAsia="Arial" w:hAnsi="Arial" w:cs="Arial"/>
                <w:b w:val="0"/>
                <w:sz w:val="18"/>
                <w:szCs w:val="18"/>
              </w:rPr>
            </w:pPr>
            <w:r>
              <w:rPr>
                <w:rFonts w:ascii="Arial" w:eastAsia="Arial" w:hAnsi="Arial" w:cs="Arial"/>
                <w:b w:val="0"/>
                <w:sz w:val="18"/>
                <w:szCs w:val="18"/>
              </w:rPr>
              <w:t>C</w:t>
            </w:r>
            <w:proofErr w:type="gramStart"/>
            <w:r>
              <w:rPr>
                <w:rFonts w:ascii="Arial" w:eastAsia="Arial" w:hAnsi="Arial" w:cs="Arial"/>
                <w:b w:val="0"/>
                <w:sz w:val="18"/>
                <w:szCs w:val="18"/>
              </w:rPr>
              <w:t>:59.9</w:t>
            </w:r>
            <w:proofErr w:type="gramEnd"/>
            <w:r>
              <w:rPr>
                <w:rFonts w:ascii="Arial" w:eastAsia="Arial" w:hAnsi="Arial" w:cs="Arial"/>
                <w:b w:val="0"/>
                <w:sz w:val="18"/>
                <w:szCs w:val="18"/>
              </w:rPr>
              <w:t xml:space="preserve">% </w:t>
            </w:r>
            <w:r>
              <w:rPr>
                <w:rFonts w:ascii="Arial" w:eastAsia="Arial" w:hAnsi="Arial" w:cs="Arial"/>
                <w:b w:val="0"/>
                <w:sz w:val="18"/>
                <w:szCs w:val="18"/>
              </w:rPr>
              <w:br/>
              <w:t>[S:59.5%,D:0.4%] F:2.1%,M:38.0%</w:t>
            </w:r>
          </w:p>
        </w:tc>
      </w:tr>
      <w:tr w:rsidR="00B320F1" w14:paraId="62BC6AA7" w14:textId="77777777" w:rsidTr="00463E6D">
        <w:trPr>
          <w:cnfStyle w:val="000000100000" w:firstRow="0" w:lastRow="0" w:firstColumn="0" w:lastColumn="0" w:oddVBand="0" w:evenVBand="0" w:oddHBand="1" w:evenHBand="0" w:firstRowFirstColumn="0" w:firstRowLastColumn="0" w:lastRowFirstColumn="0" w:lastRowLastColumn="0"/>
          <w:trHeight w:val="900"/>
          <w:jc w:val="center"/>
        </w:trPr>
        <w:tc>
          <w:tcPr>
            <w:tcW w:w="2272" w:type="dxa"/>
            <w:vAlign w:val="center"/>
          </w:tcPr>
          <w:p w14:paraId="6289BB1C" w14:textId="77777777" w:rsidR="00B320F1" w:rsidRDefault="00D61259">
            <w:pPr>
              <w:rPr>
                <w:rFonts w:ascii="Arial" w:eastAsia="Arial" w:hAnsi="Arial" w:cs="Arial"/>
                <w:b w:val="0"/>
                <w:sz w:val="18"/>
                <w:szCs w:val="18"/>
              </w:rPr>
            </w:pPr>
            <w:r>
              <w:rPr>
                <w:rFonts w:ascii="Arial" w:eastAsia="Arial" w:hAnsi="Arial" w:cs="Arial"/>
                <w:b w:val="0"/>
                <w:sz w:val="18"/>
                <w:szCs w:val="18"/>
              </w:rPr>
              <w:t xml:space="preserve">Conserved gene </w:t>
            </w:r>
            <w:proofErr w:type="spellStart"/>
            <w:r>
              <w:rPr>
                <w:rFonts w:ascii="Arial" w:eastAsia="Arial" w:hAnsi="Arial" w:cs="Arial"/>
                <w:b w:val="0"/>
                <w:sz w:val="18"/>
                <w:szCs w:val="18"/>
              </w:rPr>
              <w:t>frameshift</w:t>
            </w:r>
            <w:proofErr w:type="spellEnd"/>
            <w:r>
              <w:rPr>
                <w:rFonts w:ascii="Arial" w:eastAsia="Arial" w:hAnsi="Arial" w:cs="Arial"/>
                <w:b w:val="0"/>
                <w:sz w:val="18"/>
                <w:szCs w:val="18"/>
              </w:rPr>
              <w:t xml:space="preserve"> error analysis (BUSCO </w:t>
            </w:r>
            <w:proofErr w:type="spellStart"/>
            <w:proofErr w:type="gramStart"/>
            <w:r>
              <w:rPr>
                <w:rFonts w:ascii="Arial" w:eastAsia="Arial" w:hAnsi="Arial" w:cs="Arial"/>
                <w:b w:val="0"/>
                <w:sz w:val="18"/>
                <w:szCs w:val="18"/>
              </w:rPr>
              <w:t>insecta</w:t>
            </w:r>
            <w:proofErr w:type="spellEnd"/>
            <w:r>
              <w:rPr>
                <w:rFonts w:ascii="Arial" w:eastAsia="Arial" w:hAnsi="Arial" w:cs="Arial"/>
                <w:b w:val="0"/>
                <w:sz w:val="18"/>
                <w:szCs w:val="18"/>
              </w:rPr>
              <w:t>)</w:t>
            </w:r>
            <w:r>
              <w:rPr>
                <w:rFonts w:ascii="Arial" w:eastAsia="Arial" w:hAnsi="Arial" w:cs="Arial"/>
                <w:b w:val="0"/>
                <w:sz w:val="18"/>
                <w:szCs w:val="18"/>
                <w:vertAlign w:val="superscript"/>
              </w:rPr>
              <w:t>2</w:t>
            </w:r>
            <w:proofErr w:type="gramEnd"/>
          </w:p>
        </w:tc>
        <w:tc>
          <w:tcPr>
            <w:tcW w:w="2394" w:type="dxa"/>
            <w:vAlign w:val="center"/>
          </w:tcPr>
          <w:p w14:paraId="58DC03A0" w14:textId="77777777" w:rsidR="00B320F1" w:rsidRDefault="00D61259">
            <w:pPr>
              <w:jc w:val="center"/>
              <w:rPr>
                <w:rFonts w:ascii="Arial" w:eastAsia="Arial" w:hAnsi="Arial" w:cs="Arial"/>
                <w:sz w:val="18"/>
                <w:szCs w:val="18"/>
              </w:rPr>
            </w:pPr>
            <w:r>
              <w:rPr>
                <w:rFonts w:ascii="Arial" w:eastAsia="Arial" w:hAnsi="Arial" w:cs="Arial"/>
                <w:sz w:val="18"/>
                <w:szCs w:val="18"/>
              </w:rPr>
              <w:t xml:space="preserve">20 frame shift inducing errors in 1,308 kb gene alignment space </w:t>
            </w:r>
            <w:r>
              <w:rPr>
                <w:rFonts w:ascii="Arial" w:eastAsia="Arial" w:hAnsi="Arial" w:cs="Arial"/>
                <w:sz w:val="18"/>
                <w:szCs w:val="18"/>
              </w:rPr>
              <w:br/>
              <w:t>(Q48.2)</w:t>
            </w:r>
          </w:p>
        </w:tc>
        <w:tc>
          <w:tcPr>
            <w:tcW w:w="2394" w:type="dxa"/>
            <w:vAlign w:val="center"/>
          </w:tcPr>
          <w:p w14:paraId="0B8404E5" w14:textId="77777777" w:rsidR="00B320F1" w:rsidRDefault="00D61259">
            <w:pPr>
              <w:jc w:val="center"/>
              <w:rPr>
                <w:rFonts w:ascii="Arial" w:eastAsia="Arial" w:hAnsi="Arial" w:cs="Arial"/>
                <w:b w:val="0"/>
                <w:sz w:val="18"/>
                <w:szCs w:val="18"/>
              </w:rPr>
            </w:pPr>
            <w:r>
              <w:rPr>
                <w:rFonts w:ascii="Arial" w:eastAsia="Arial" w:hAnsi="Arial" w:cs="Arial"/>
                <w:b w:val="0"/>
                <w:sz w:val="18"/>
                <w:szCs w:val="18"/>
              </w:rPr>
              <w:t xml:space="preserve">41 frame shift inducing errors in 776 kb gene alignment space </w:t>
            </w:r>
            <w:r>
              <w:rPr>
                <w:rFonts w:ascii="Arial" w:eastAsia="Arial" w:hAnsi="Arial" w:cs="Arial"/>
                <w:b w:val="0"/>
                <w:sz w:val="18"/>
                <w:szCs w:val="18"/>
              </w:rPr>
              <w:br/>
              <w:t>(Q42.8)</w:t>
            </w:r>
          </w:p>
        </w:tc>
      </w:tr>
    </w:tbl>
    <w:p w14:paraId="715481F9" w14:textId="77777777" w:rsidR="00B320F1" w:rsidRDefault="00D61259">
      <w:pPr>
        <w:spacing w:before="120"/>
        <w:ind w:left="720"/>
        <w:rPr>
          <w:b w:val="0"/>
          <w:sz w:val="16"/>
          <w:szCs w:val="16"/>
        </w:rPr>
      </w:pPr>
      <w:r>
        <w:rPr>
          <w:b w:val="0"/>
          <w:sz w:val="16"/>
          <w:szCs w:val="16"/>
          <w:vertAlign w:val="superscript"/>
        </w:rPr>
        <w:t>1</w:t>
      </w:r>
      <w:r>
        <w:rPr>
          <w:b w:val="0"/>
          <w:sz w:val="16"/>
          <w:szCs w:val="16"/>
        </w:rPr>
        <w:t xml:space="preserve">https://busco.ezlab.org/; </w:t>
      </w:r>
      <w:r>
        <w:rPr>
          <w:b w:val="0"/>
          <w:sz w:val="16"/>
          <w:szCs w:val="16"/>
          <w:vertAlign w:val="superscript"/>
        </w:rPr>
        <w:t>2</w:t>
      </w:r>
      <w:r>
        <w:rPr>
          <w:b w:val="0"/>
          <w:sz w:val="16"/>
          <w:szCs w:val="16"/>
        </w:rPr>
        <w:t xml:space="preserve">Korlach </w:t>
      </w:r>
      <w:r>
        <w:rPr>
          <w:b w:val="0"/>
          <w:i/>
          <w:sz w:val="16"/>
          <w:szCs w:val="16"/>
        </w:rPr>
        <w:t>et al.</w:t>
      </w:r>
      <w:r>
        <w:rPr>
          <w:b w:val="0"/>
          <w:sz w:val="16"/>
          <w:szCs w:val="16"/>
        </w:rPr>
        <w:t xml:space="preserve"> (2017) </w:t>
      </w:r>
      <w:proofErr w:type="spellStart"/>
      <w:r>
        <w:rPr>
          <w:b w:val="0"/>
          <w:sz w:val="16"/>
          <w:szCs w:val="16"/>
        </w:rPr>
        <w:t>Gigascience</w:t>
      </w:r>
      <w:proofErr w:type="spellEnd"/>
      <w:r>
        <w:rPr>
          <w:b w:val="0"/>
          <w:sz w:val="16"/>
          <w:szCs w:val="16"/>
        </w:rPr>
        <w:t xml:space="preserve"> 6: 1-16</w:t>
      </w:r>
    </w:p>
    <w:p w14:paraId="520B3095" w14:textId="77777777" w:rsidR="00B320F1" w:rsidRDefault="00D61259">
      <w:pPr>
        <w:ind w:left="720"/>
        <w:rPr>
          <w:b w:val="0"/>
          <w:sz w:val="16"/>
          <w:szCs w:val="16"/>
        </w:rPr>
      </w:pPr>
      <w:r>
        <w:rPr>
          <w:b w:val="0"/>
          <w:sz w:val="16"/>
          <w:szCs w:val="16"/>
        </w:rPr>
        <w:t xml:space="preserve">The second round of </w:t>
      </w:r>
      <w:proofErr w:type="spellStart"/>
      <w:r>
        <w:rPr>
          <w:b w:val="0"/>
          <w:sz w:val="16"/>
          <w:szCs w:val="16"/>
        </w:rPr>
        <w:t>purge_dups</w:t>
      </w:r>
      <w:proofErr w:type="spellEnd"/>
      <w:r>
        <w:rPr>
          <w:b w:val="0"/>
          <w:sz w:val="16"/>
          <w:szCs w:val="16"/>
        </w:rPr>
        <w:t xml:space="preserve"> purged 56 Mb from the </w:t>
      </w:r>
      <w:proofErr w:type="spellStart"/>
      <w:r>
        <w:rPr>
          <w:b w:val="0"/>
          <w:sz w:val="16"/>
          <w:szCs w:val="16"/>
        </w:rPr>
        <w:t>haplotigs</w:t>
      </w:r>
      <w:proofErr w:type="spellEnd"/>
      <w:r>
        <w:rPr>
          <w:b w:val="0"/>
          <w:sz w:val="16"/>
          <w:szCs w:val="16"/>
        </w:rPr>
        <w:t xml:space="preserve"> file, consisting of repeat sequence </w:t>
      </w:r>
      <w:r>
        <w:rPr>
          <w:b w:val="0"/>
          <w:sz w:val="16"/>
          <w:szCs w:val="16"/>
        </w:rPr>
        <w:br/>
        <w:t>(BUSCO C:0</w:t>
      </w:r>
      <w:proofErr w:type="gramStart"/>
      <w:r>
        <w:rPr>
          <w:b w:val="0"/>
          <w:sz w:val="16"/>
          <w:szCs w:val="16"/>
        </w:rPr>
        <w:t>.1</w:t>
      </w:r>
      <w:proofErr w:type="gramEnd"/>
      <w:r>
        <w:rPr>
          <w:b w:val="0"/>
          <w:sz w:val="16"/>
          <w:szCs w:val="16"/>
        </w:rPr>
        <w:t>%[S:0.1%,D:0.0%],F:0.0%,M:99.9%)</w:t>
      </w:r>
    </w:p>
    <w:p w14:paraId="1253992D" w14:textId="77777777" w:rsidR="00B320F1" w:rsidRDefault="00B320F1">
      <w:pPr>
        <w:rPr>
          <w:b w:val="0"/>
        </w:rPr>
      </w:pPr>
    </w:p>
    <w:p w14:paraId="2C280D0B" w14:textId="77777777" w:rsidR="00B320F1" w:rsidRDefault="00D61259">
      <w:pPr>
        <w:rPr>
          <w:b w:val="0"/>
        </w:rPr>
      </w:pPr>
      <w:r>
        <w:rPr>
          <w:b w:val="0"/>
        </w:rPr>
        <w:t xml:space="preserve">During screening it was determined that three adapters remained in the primary assembly and two in the </w:t>
      </w:r>
      <w:proofErr w:type="spellStart"/>
      <w:r>
        <w:rPr>
          <w:b w:val="0"/>
        </w:rPr>
        <w:t>haplotig</w:t>
      </w:r>
      <w:proofErr w:type="spellEnd"/>
      <w:r>
        <w:rPr>
          <w:b w:val="0"/>
        </w:rPr>
        <w:t xml:space="preserve"> assembly in addition to two runs of Ns in the primary assembly which were introduced by </w:t>
      </w:r>
      <w:proofErr w:type="spellStart"/>
      <w:r>
        <w:rPr>
          <w:b w:val="0"/>
        </w:rPr>
        <w:t>purge_dups</w:t>
      </w:r>
      <w:proofErr w:type="spellEnd"/>
      <w:r>
        <w:rPr>
          <w:b w:val="0"/>
        </w:rPr>
        <w:t xml:space="preserve">. These sequences were removed by splitting the </w:t>
      </w:r>
      <w:proofErr w:type="spellStart"/>
      <w:r>
        <w:rPr>
          <w:b w:val="0"/>
        </w:rPr>
        <w:t>contigs</w:t>
      </w:r>
      <w:proofErr w:type="spellEnd"/>
      <w:r>
        <w:rPr>
          <w:b w:val="0"/>
        </w:rPr>
        <w:t xml:space="preserve">, yielding a final count of 267 </w:t>
      </w:r>
      <w:proofErr w:type="spellStart"/>
      <w:r>
        <w:rPr>
          <w:b w:val="0"/>
        </w:rPr>
        <w:t>contigs</w:t>
      </w:r>
      <w:proofErr w:type="spellEnd"/>
      <w:r>
        <w:rPr>
          <w:b w:val="0"/>
        </w:rPr>
        <w:t xml:space="preserve"> in the primary assembly and 2,525 in the </w:t>
      </w:r>
      <w:proofErr w:type="spellStart"/>
      <w:r>
        <w:rPr>
          <w:b w:val="0"/>
        </w:rPr>
        <w:t>hapolotigs</w:t>
      </w:r>
      <w:proofErr w:type="spellEnd"/>
      <w:r>
        <w:rPr>
          <w:b w:val="0"/>
        </w:rPr>
        <w:t>.</w:t>
      </w:r>
    </w:p>
    <w:p w14:paraId="17893398" w14:textId="77777777" w:rsidR="00B320F1" w:rsidRDefault="00B320F1">
      <w:pPr>
        <w:rPr>
          <w:b w:val="0"/>
        </w:rPr>
      </w:pPr>
    </w:p>
    <w:p w14:paraId="058D0479" w14:textId="77777777" w:rsidR="00B320F1" w:rsidRDefault="00D61259">
      <w:pPr>
        <w:rPr>
          <w:b w:val="0"/>
        </w:rPr>
      </w:pPr>
      <w:r>
        <w:rPr>
          <w:b w:val="0"/>
        </w:rPr>
        <w:t xml:space="preserve">The mitochondrial genome was assembled following a general </w:t>
      </w:r>
      <w:r w:rsidR="00591A84">
        <w:rPr>
          <w:b w:val="0"/>
        </w:rPr>
        <w:t>strategy described previously [6</w:t>
      </w:r>
      <w:r>
        <w:rPr>
          <w:b w:val="0"/>
        </w:rPr>
        <w:t xml:space="preserve">]. Mitochondrial reads were selected by alignment of the full </w:t>
      </w:r>
      <w:proofErr w:type="spellStart"/>
      <w:r>
        <w:rPr>
          <w:b w:val="0"/>
        </w:rPr>
        <w:t>HiFi</w:t>
      </w:r>
      <w:proofErr w:type="spellEnd"/>
      <w:r>
        <w:rPr>
          <w:b w:val="0"/>
        </w:rPr>
        <w:t xml:space="preserve"> read dataset against the </w:t>
      </w:r>
      <w:r>
        <w:rPr>
          <w:b w:val="0"/>
          <w:i/>
        </w:rPr>
        <w:t xml:space="preserve">Vespa </w:t>
      </w:r>
      <w:proofErr w:type="spellStart"/>
      <w:r>
        <w:rPr>
          <w:b w:val="0"/>
          <w:i/>
        </w:rPr>
        <w:t>mandarinia</w:t>
      </w:r>
      <w:proofErr w:type="spellEnd"/>
      <w:r>
        <w:rPr>
          <w:b w:val="0"/>
          <w:i/>
        </w:rPr>
        <w:t xml:space="preserve"> </w:t>
      </w:r>
      <w:proofErr w:type="spellStart"/>
      <w:r>
        <w:rPr>
          <w:b w:val="0"/>
        </w:rPr>
        <w:t>mtgenome</w:t>
      </w:r>
      <w:proofErr w:type="spellEnd"/>
      <w:r>
        <w:rPr>
          <w:b w:val="0"/>
        </w:rPr>
        <w:t xml:space="preserve"> reference (NCBI accession </w:t>
      </w:r>
      <w:hyperlink r:id="rId11">
        <w:r>
          <w:rPr>
            <w:b w:val="0"/>
            <w:color w:val="0000FF"/>
            <w:u w:val="single"/>
          </w:rPr>
          <w:t>NC_027172</w:t>
        </w:r>
      </w:hyperlink>
      <w:r>
        <w:rPr>
          <w:b w:val="0"/>
        </w:rPr>
        <w:t xml:space="preserve">) using </w:t>
      </w:r>
      <w:hyperlink r:id="rId12">
        <w:r>
          <w:rPr>
            <w:b w:val="0"/>
            <w:color w:val="0000FF"/>
            <w:u w:val="single"/>
          </w:rPr>
          <w:t>minimap2</w:t>
        </w:r>
      </w:hyperlink>
      <w:r w:rsidR="00591A84">
        <w:rPr>
          <w:b w:val="0"/>
        </w:rPr>
        <w:t xml:space="preserve"> [7]</w:t>
      </w:r>
      <w:r>
        <w:rPr>
          <w:b w:val="0"/>
        </w:rPr>
        <w:t xml:space="preserve">. IPA was run on the mitochondrial read set, followed by manual end overlap trimming and start-point rotation (to the NCBI reference start point) of the resulting mitochondrial genome </w:t>
      </w:r>
      <w:proofErr w:type="spellStart"/>
      <w:r>
        <w:rPr>
          <w:b w:val="0"/>
        </w:rPr>
        <w:t>contigs</w:t>
      </w:r>
      <w:proofErr w:type="spellEnd"/>
      <w:r>
        <w:rPr>
          <w:b w:val="0"/>
        </w:rPr>
        <w:t xml:space="preserve">. Multiple </w:t>
      </w:r>
      <w:proofErr w:type="spellStart"/>
      <w:r>
        <w:rPr>
          <w:b w:val="0"/>
        </w:rPr>
        <w:t>contigs</w:t>
      </w:r>
      <w:proofErr w:type="spellEnd"/>
      <w:r>
        <w:rPr>
          <w:b w:val="0"/>
        </w:rPr>
        <w:t xml:space="preserve"> were obtained due to the presence of an extended variable number tandem repeat (VNTR) region corresponding to the control region (this </w:t>
      </w:r>
      <w:proofErr w:type="spellStart"/>
      <w:r>
        <w:rPr>
          <w:b w:val="0"/>
        </w:rPr>
        <w:t>mtgenome</w:t>
      </w:r>
      <w:proofErr w:type="spellEnd"/>
      <w:r>
        <w:rPr>
          <w:b w:val="0"/>
        </w:rPr>
        <w:t xml:space="preserve"> portion is absent in the NCBI reference), with different copy numbers (ranging from 5 to 9) of an 823 </w:t>
      </w:r>
      <w:proofErr w:type="spellStart"/>
      <w:r>
        <w:rPr>
          <w:b w:val="0"/>
        </w:rPr>
        <w:t>bp</w:t>
      </w:r>
      <w:proofErr w:type="spellEnd"/>
      <w:r>
        <w:rPr>
          <w:b w:val="0"/>
        </w:rPr>
        <w:t xml:space="preserve"> repeat unit. Remapping of the mitochondrial read set provided estimates of the relative abundance of the </w:t>
      </w:r>
      <w:proofErr w:type="spellStart"/>
      <w:r>
        <w:rPr>
          <w:b w:val="0"/>
        </w:rPr>
        <w:t>mtgenome</w:t>
      </w:r>
      <w:proofErr w:type="spellEnd"/>
      <w:r>
        <w:rPr>
          <w:b w:val="0"/>
        </w:rPr>
        <w:t xml:space="preserve"> VNTR variants in the hornet individual:</w:t>
      </w:r>
    </w:p>
    <w:p w14:paraId="0DF1368E" w14:textId="77777777" w:rsidR="00B320F1" w:rsidRDefault="00B320F1"/>
    <w:p w14:paraId="17D105C1" w14:textId="77777777" w:rsidR="00D61259" w:rsidRDefault="00D61259"/>
    <w:p w14:paraId="48D68DE3" w14:textId="77777777" w:rsidR="00D61259" w:rsidRDefault="00D61259"/>
    <w:p w14:paraId="6A0E0FF5" w14:textId="77777777" w:rsidR="00D61259" w:rsidRDefault="00D61259"/>
    <w:tbl>
      <w:tblPr>
        <w:tblStyle w:val="a1"/>
        <w:tblW w:w="72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0"/>
        <w:gridCol w:w="1810"/>
        <w:gridCol w:w="1810"/>
        <w:gridCol w:w="1811"/>
      </w:tblGrid>
      <w:tr w:rsidR="00B320F1" w14:paraId="39B9023C" w14:textId="77777777" w:rsidTr="00463E6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0" w:type="dxa"/>
            <w:vAlign w:val="center"/>
          </w:tcPr>
          <w:p w14:paraId="79C69995" w14:textId="77777777" w:rsidR="00B320F1" w:rsidRDefault="00D61259">
            <w:pPr>
              <w:jc w:val="center"/>
            </w:pPr>
            <w:proofErr w:type="spellStart"/>
            <w:r>
              <w:lastRenderedPageBreak/>
              <w:t>Mtgenome</w:t>
            </w:r>
            <w:proofErr w:type="spellEnd"/>
            <w:r>
              <w:t xml:space="preserve"> </w:t>
            </w:r>
            <w:r>
              <w:br/>
              <w:t>VNTR variant</w:t>
            </w:r>
          </w:p>
        </w:tc>
        <w:tc>
          <w:tcPr>
            <w:tcW w:w="1810" w:type="dxa"/>
            <w:vAlign w:val="center"/>
          </w:tcPr>
          <w:p w14:paraId="52FEEB94" w14:textId="77777777" w:rsidR="00B320F1" w:rsidRDefault="00D61259">
            <w:pPr>
              <w:jc w:val="center"/>
              <w:cnfStyle w:val="100000000000" w:firstRow="1" w:lastRow="0" w:firstColumn="0" w:lastColumn="0" w:oddVBand="0" w:evenVBand="0" w:oddHBand="0" w:evenHBand="0" w:firstRowFirstColumn="0" w:firstRowLastColumn="0" w:lastRowFirstColumn="0" w:lastRowLastColumn="0"/>
            </w:pPr>
            <w:proofErr w:type="spellStart"/>
            <w:r>
              <w:t>Mtgenome</w:t>
            </w:r>
            <w:proofErr w:type="spellEnd"/>
            <w:r>
              <w:t xml:space="preserve"> length</w:t>
            </w:r>
          </w:p>
        </w:tc>
        <w:tc>
          <w:tcPr>
            <w:tcW w:w="1810" w:type="dxa"/>
            <w:vAlign w:val="center"/>
          </w:tcPr>
          <w:p w14:paraId="18A06FC0" w14:textId="77777777" w:rsidR="00B320F1" w:rsidRDefault="00D61259">
            <w:pPr>
              <w:jc w:val="center"/>
              <w:cnfStyle w:val="100000000000" w:firstRow="1" w:lastRow="0" w:firstColumn="0" w:lastColumn="0" w:oddVBand="0" w:evenVBand="0" w:oddHBand="0" w:evenHBand="0" w:firstRowFirstColumn="0" w:firstRowLastColumn="0" w:lastRowFirstColumn="0" w:lastRowLastColumn="0"/>
            </w:pPr>
            <w:r>
              <w:t>Coverage</w:t>
            </w:r>
          </w:p>
        </w:tc>
        <w:tc>
          <w:tcPr>
            <w:tcW w:w="1811" w:type="dxa"/>
            <w:vAlign w:val="center"/>
          </w:tcPr>
          <w:p w14:paraId="5DEBCA34" w14:textId="77777777" w:rsidR="00B320F1" w:rsidRDefault="00D61259">
            <w:pPr>
              <w:jc w:val="center"/>
              <w:cnfStyle w:val="100000000000" w:firstRow="1" w:lastRow="0" w:firstColumn="0" w:lastColumn="0" w:oddVBand="0" w:evenVBand="0" w:oddHBand="0" w:evenHBand="0" w:firstRowFirstColumn="0" w:firstRowLastColumn="0" w:lastRowFirstColumn="0" w:lastRowLastColumn="0"/>
            </w:pPr>
            <w:r>
              <w:t>Relative abundance</w:t>
            </w:r>
          </w:p>
        </w:tc>
      </w:tr>
      <w:tr w:rsidR="00B320F1" w14:paraId="44BAD5BD" w14:textId="77777777" w:rsidTr="00463E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0" w:type="dxa"/>
            <w:vAlign w:val="center"/>
          </w:tcPr>
          <w:p w14:paraId="09978D5E" w14:textId="77777777" w:rsidR="00B320F1" w:rsidRDefault="00D61259">
            <w:pPr>
              <w:jc w:val="center"/>
            </w:pPr>
            <w:bookmarkStart w:id="1" w:name="_heading=h.gjdgxs" w:colFirst="0" w:colLast="0"/>
            <w:bookmarkEnd w:id="1"/>
            <w:r>
              <w:t>5</w:t>
            </w:r>
          </w:p>
        </w:tc>
        <w:tc>
          <w:tcPr>
            <w:tcW w:w="1810" w:type="dxa"/>
            <w:vAlign w:val="center"/>
          </w:tcPr>
          <w:p w14:paraId="16171343" w14:textId="77777777" w:rsidR="00B320F1" w:rsidRDefault="00D61259">
            <w:pPr>
              <w:jc w:val="center"/>
              <w:cnfStyle w:val="000000100000" w:firstRow="0" w:lastRow="0" w:firstColumn="0" w:lastColumn="0" w:oddVBand="0" w:evenVBand="0" w:oddHBand="1" w:evenHBand="0" w:firstRowFirstColumn="0" w:firstRowLastColumn="0" w:lastRowFirstColumn="0" w:lastRowLastColumn="0"/>
              <w:rPr>
                <w:b w:val="0"/>
              </w:rPr>
            </w:pPr>
            <w:r>
              <w:rPr>
                <w:b w:val="0"/>
              </w:rPr>
              <w:t xml:space="preserve">20,009 </w:t>
            </w:r>
            <w:proofErr w:type="spellStart"/>
            <w:r>
              <w:rPr>
                <w:b w:val="0"/>
              </w:rPr>
              <w:t>bp</w:t>
            </w:r>
            <w:proofErr w:type="spellEnd"/>
          </w:p>
        </w:tc>
        <w:tc>
          <w:tcPr>
            <w:tcW w:w="1810" w:type="dxa"/>
            <w:vAlign w:val="center"/>
          </w:tcPr>
          <w:p w14:paraId="0E4AA917" w14:textId="77777777" w:rsidR="00B320F1" w:rsidRDefault="00D61259">
            <w:pPr>
              <w:jc w:val="center"/>
              <w:cnfStyle w:val="000000100000" w:firstRow="0" w:lastRow="0" w:firstColumn="0" w:lastColumn="0" w:oddVBand="0" w:evenVBand="0" w:oddHBand="1" w:evenHBand="0" w:firstRowFirstColumn="0" w:firstRowLastColumn="0" w:lastRowFirstColumn="0" w:lastRowLastColumn="0"/>
              <w:rPr>
                <w:b w:val="0"/>
              </w:rPr>
            </w:pPr>
            <w:r>
              <w:rPr>
                <w:b w:val="0"/>
              </w:rPr>
              <w:t>160x</w:t>
            </w:r>
          </w:p>
        </w:tc>
        <w:tc>
          <w:tcPr>
            <w:tcW w:w="1811" w:type="dxa"/>
            <w:vAlign w:val="bottom"/>
          </w:tcPr>
          <w:p w14:paraId="61459039" w14:textId="77777777" w:rsidR="00B320F1" w:rsidRDefault="00D61259">
            <w:pPr>
              <w:jc w:val="center"/>
              <w:cnfStyle w:val="000000100000" w:firstRow="0" w:lastRow="0" w:firstColumn="0" w:lastColumn="0" w:oddVBand="0" w:evenVBand="0" w:oddHBand="1" w:evenHBand="0" w:firstRowFirstColumn="0" w:firstRowLastColumn="0" w:lastRowFirstColumn="0" w:lastRowLastColumn="0"/>
              <w:rPr>
                <w:b w:val="0"/>
              </w:rPr>
            </w:pPr>
            <w:r>
              <w:rPr>
                <w:b w:val="0"/>
              </w:rPr>
              <w:t>5%</w:t>
            </w:r>
          </w:p>
        </w:tc>
      </w:tr>
      <w:tr w:rsidR="00B320F1" w14:paraId="26E9B22B" w14:textId="77777777" w:rsidTr="00463E6D">
        <w:trPr>
          <w:jc w:val="center"/>
        </w:trPr>
        <w:tc>
          <w:tcPr>
            <w:cnfStyle w:val="001000000000" w:firstRow="0" w:lastRow="0" w:firstColumn="1" w:lastColumn="0" w:oddVBand="0" w:evenVBand="0" w:oddHBand="0" w:evenHBand="0" w:firstRowFirstColumn="0" w:firstRowLastColumn="0" w:lastRowFirstColumn="0" w:lastRowLastColumn="0"/>
            <w:tcW w:w="1810" w:type="dxa"/>
            <w:vAlign w:val="center"/>
          </w:tcPr>
          <w:p w14:paraId="4EA6973D" w14:textId="77777777" w:rsidR="00B320F1" w:rsidRDefault="00D61259">
            <w:pPr>
              <w:jc w:val="center"/>
            </w:pPr>
            <w:r>
              <w:t>6</w:t>
            </w:r>
          </w:p>
        </w:tc>
        <w:tc>
          <w:tcPr>
            <w:tcW w:w="1810" w:type="dxa"/>
            <w:vAlign w:val="center"/>
          </w:tcPr>
          <w:p w14:paraId="6804E85B" w14:textId="77777777" w:rsidR="00B320F1" w:rsidRDefault="00D61259">
            <w:pPr>
              <w:jc w:val="center"/>
              <w:cnfStyle w:val="000000000000" w:firstRow="0" w:lastRow="0" w:firstColumn="0" w:lastColumn="0" w:oddVBand="0" w:evenVBand="0" w:oddHBand="0" w:evenHBand="0" w:firstRowFirstColumn="0" w:firstRowLastColumn="0" w:lastRowFirstColumn="0" w:lastRowLastColumn="0"/>
              <w:rPr>
                <w:b w:val="0"/>
              </w:rPr>
            </w:pPr>
            <w:r>
              <w:rPr>
                <w:b w:val="0"/>
              </w:rPr>
              <w:t xml:space="preserve">20,831 </w:t>
            </w:r>
            <w:proofErr w:type="spellStart"/>
            <w:r>
              <w:rPr>
                <w:b w:val="0"/>
              </w:rPr>
              <w:t>bp</w:t>
            </w:r>
            <w:proofErr w:type="spellEnd"/>
          </w:p>
        </w:tc>
        <w:tc>
          <w:tcPr>
            <w:tcW w:w="1810" w:type="dxa"/>
            <w:vAlign w:val="center"/>
          </w:tcPr>
          <w:p w14:paraId="1F52EC2A" w14:textId="77777777" w:rsidR="00B320F1" w:rsidRDefault="00D61259">
            <w:pPr>
              <w:jc w:val="center"/>
              <w:cnfStyle w:val="000000000000" w:firstRow="0" w:lastRow="0" w:firstColumn="0" w:lastColumn="0" w:oddVBand="0" w:evenVBand="0" w:oddHBand="0" w:evenHBand="0" w:firstRowFirstColumn="0" w:firstRowLastColumn="0" w:lastRowFirstColumn="0" w:lastRowLastColumn="0"/>
              <w:rPr>
                <w:b w:val="0"/>
              </w:rPr>
            </w:pPr>
            <w:r>
              <w:rPr>
                <w:b w:val="0"/>
              </w:rPr>
              <w:t>1800x</w:t>
            </w:r>
          </w:p>
        </w:tc>
        <w:tc>
          <w:tcPr>
            <w:tcW w:w="1811" w:type="dxa"/>
            <w:vAlign w:val="bottom"/>
          </w:tcPr>
          <w:p w14:paraId="4B3AB976" w14:textId="77777777" w:rsidR="00B320F1" w:rsidRDefault="00D61259">
            <w:pPr>
              <w:jc w:val="center"/>
              <w:cnfStyle w:val="000000000000" w:firstRow="0" w:lastRow="0" w:firstColumn="0" w:lastColumn="0" w:oddVBand="0" w:evenVBand="0" w:oddHBand="0" w:evenHBand="0" w:firstRowFirstColumn="0" w:firstRowLastColumn="0" w:lastRowFirstColumn="0" w:lastRowLastColumn="0"/>
              <w:rPr>
                <w:b w:val="0"/>
              </w:rPr>
            </w:pPr>
            <w:r>
              <w:rPr>
                <w:b w:val="0"/>
              </w:rPr>
              <w:t>54%</w:t>
            </w:r>
          </w:p>
        </w:tc>
      </w:tr>
      <w:tr w:rsidR="00B320F1" w14:paraId="51D9ABDE" w14:textId="77777777" w:rsidTr="00463E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0" w:type="dxa"/>
            <w:vAlign w:val="center"/>
          </w:tcPr>
          <w:p w14:paraId="6E64EE57" w14:textId="77777777" w:rsidR="00B320F1" w:rsidRDefault="00D61259">
            <w:pPr>
              <w:jc w:val="center"/>
            </w:pPr>
            <w:r>
              <w:t>7</w:t>
            </w:r>
          </w:p>
        </w:tc>
        <w:tc>
          <w:tcPr>
            <w:tcW w:w="1810" w:type="dxa"/>
            <w:vAlign w:val="center"/>
          </w:tcPr>
          <w:p w14:paraId="31186DD4" w14:textId="77777777" w:rsidR="00B320F1" w:rsidRDefault="00D61259">
            <w:pPr>
              <w:jc w:val="center"/>
              <w:cnfStyle w:val="000000100000" w:firstRow="0" w:lastRow="0" w:firstColumn="0" w:lastColumn="0" w:oddVBand="0" w:evenVBand="0" w:oddHBand="1" w:evenHBand="0" w:firstRowFirstColumn="0" w:firstRowLastColumn="0" w:lastRowFirstColumn="0" w:lastRowLastColumn="0"/>
              <w:rPr>
                <w:b w:val="0"/>
              </w:rPr>
            </w:pPr>
            <w:r>
              <w:rPr>
                <w:b w:val="0"/>
              </w:rPr>
              <w:t xml:space="preserve">21,654 </w:t>
            </w:r>
            <w:proofErr w:type="spellStart"/>
            <w:r>
              <w:rPr>
                <w:b w:val="0"/>
              </w:rPr>
              <w:t>bp</w:t>
            </w:r>
            <w:proofErr w:type="spellEnd"/>
          </w:p>
        </w:tc>
        <w:tc>
          <w:tcPr>
            <w:tcW w:w="1810" w:type="dxa"/>
            <w:vAlign w:val="center"/>
          </w:tcPr>
          <w:p w14:paraId="113A18FD" w14:textId="77777777" w:rsidR="00B320F1" w:rsidRDefault="00D61259">
            <w:pPr>
              <w:jc w:val="center"/>
              <w:cnfStyle w:val="000000100000" w:firstRow="0" w:lastRow="0" w:firstColumn="0" w:lastColumn="0" w:oddVBand="0" w:evenVBand="0" w:oddHBand="1" w:evenHBand="0" w:firstRowFirstColumn="0" w:firstRowLastColumn="0" w:lastRowFirstColumn="0" w:lastRowLastColumn="0"/>
              <w:rPr>
                <w:b w:val="0"/>
              </w:rPr>
            </w:pPr>
            <w:r>
              <w:rPr>
                <w:b w:val="0"/>
              </w:rPr>
              <w:t>850x</w:t>
            </w:r>
          </w:p>
        </w:tc>
        <w:tc>
          <w:tcPr>
            <w:tcW w:w="1811" w:type="dxa"/>
            <w:vAlign w:val="bottom"/>
          </w:tcPr>
          <w:p w14:paraId="7CDD5382" w14:textId="77777777" w:rsidR="00B320F1" w:rsidRDefault="00D61259">
            <w:pPr>
              <w:jc w:val="center"/>
              <w:cnfStyle w:val="000000100000" w:firstRow="0" w:lastRow="0" w:firstColumn="0" w:lastColumn="0" w:oddVBand="0" w:evenVBand="0" w:oddHBand="1" w:evenHBand="0" w:firstRowFirstColumn="0" w:firstRowLastColumn="0" w:lastRowFirstColumn="0" w:lastRowLastColumn="0"/>
              <w:rPr>
                <w:b w:val="0"/>
              </w:rPr>
            </w:pPr>
            <w:r>
              <w:rPr>
                <w:b w:val="0"/>
              </w:rPr>
              <w:t>25%</w:t>
            </w:r>
          </w:p>
        </w:tc>
      </w:tr>
      <w:tr w:rsidR="00B320F1" w14:paraId="74D9E26B" w14:textId="77777777" w:rsidTr="00463E6D">
        <w:trPr>
          <w:jc w:val="center"/>
        </w:trPr>
        <w:tc>
          <w:tcPr>
            <w:cnfStyle w:val="001000000000" w:firstRow="0" w:lastRow="0" w:firstColumn="1" w:lastColumn="0" w:oddVBand="0" w:evenVBand="0" w:oddHBand="0" w:evenHBand="0" w:firstRowFirstColumn="0" w:firstRowLastColumn="0" w:lastRowFirstColumn="0" w:lastRowLastColumn="0"/>
            <w:tcW w:w="1810" w:type="dxa"/>
            <w:vAlign w:val="center"/>
          </w:tcPr>
          <w:p w14:paraId="26A3576A" w14:textId="77777777" w:rsidR="00B320F1" w:rsidRDefault="00D61259">
            <w:pPr>
              <w:jc w:val="center"/>
            </w:pPr>
            <w:r>
              <w:t>8</w:t>
            </w:r>
          </w:p>
        </w:tc>
        <w:tc>
          <w:tcPr>
            <w:tcW w:w="1810" w:type="dxa"/>
            <w:vAlign w:val="center"/>
          </w:tcPr>
          <w:p w14:paraId="635D4955" w14:textId="77777777" w:rsidR="00B320F1" w:rsidRDefault="00D61259">
            <w:pPr>
              <w:jc w:val="center"/>
              <w:cnfStyle w:val="000000000000" w:firstRow="0" w:lastRow="0" w:firstColumn="0" w:lastColumn="0" w:oddVBand="0" w:evenVBand="0" w:oddHBand="0" w:evenHBand="0" w:firstRowFirstColumn="0" w:firstRowLastColumn="0" w:lastRowFirstColumn="0" w:lastRowLastColumn="0"/>
              <w:rPr>
                <w:b w:val="0"/>
              </w:rPr>
            </w:pPr>
            <w:r>
              <w:rPr>
                <w:b w:val="0"/>
              </w:rPr>
              <w:t xml:space="preserve">22,474 </w:t>
            </w:r>
            <w:proofErr w:type="spellStart"/>
            <w:r>
              <w:rPr>
                <w:b w:val="0"/>
              </w:rPr>
              <w:t>bp</w:t>
            </w:r>
            <w:proofErr w:type="spellEnd"/>
          </w:p>
        </w:tc>
        <w:tc>
          <w:tcPr>
            <w:tcW w:w="1810" w:type="dxa"/>
            <w:vAlign w:val="center"/>
          </w:tcPr>
          <w:p w14:paraId="0CD33B31" w14:textId="77777777" w:rsidR="00B320F1" w:rsidRDefault="00D61259">
            <w:pPr>
              <w:jc w:val="center"/>
              <w:cnfStyle w:val="000000000000" w:firstRow="0" w:lastRow="0" w:firstColumn="0" w:lastColumn="0" w:oddVBand="0" w:evenVBand="0" w:oddHBand="0" w:evenHBand="0" w:firstRowFirstColumn="0" w:firstRowLastColumn="0" w:lastRowFirstColumn="0" w:lastRowLastColumn="0"/>
              <w:rPr>
                <w:b w:val="0"/>
              </w:rPr>
            </w:pPr>
            <w:r>
              <w:rPr>
                <w:b w:val="0"/>
              </w:rPr>
              <w:t>500x</w:t>
            </w:r>
          </w:p>
        </w:tc>
        <w:tc>
          <w:tcPr>
            <w:tcW w:w="1811" w:type="dxa"/>
            <w:vAlign w:val="bottom"/>
          </w:tcPr>
          <w:p w14:paraId="1E927D33" w14:textId="77777777" w:rsidR="00B320F1" w:rsidRDefault="00D61259">
            <w:pPr>
              <w:jc w:val="center"/>
              <w:cnfStyle w:val="000000000000" w:firstRow="0" w:lastRow="0" w:firstColumn="0" w:lastColumn="0" w:oddVBand="0" w:evenVBand="0" w:oddHBand="0" w:evenHBand="0" w:firstRowFirstColumn="0" w:firstRowLastColumn="0" w:lastRowFirstColumn="0" w:lastRowLastColumn="0"/>
              <w:rPr>
                <w:b w:val="0"/>
              </w:rPr>
            </w:pPr>
            <w:r>
              <w:rPr>
                <w:b w:val="0"/>
              </w:rPr>
              <w:t>15%</w:t>
            </w:r>
          </w:p>
        </w:tc>
      </w:tr>
      <w:tr w:rsidR="00B320F1" w14:paraId="068CAEF3" w14:textId="77777777" w:rsidTr="00463E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0" w:type="dxa"/>
            <w:vAlign w:val="center"/>
          </w:tcPr>
          <w:p w14:paraId="65D01B5B" w14:textId="77777777" w:rsidR="00B320F1" w:rsidRDefault="00D61259">
            <w:pPr>
              <w:jc w:val="center"/>
            </w:pPr>
            <w:r>
              <w:t>9</w:t>
            </w:r>
          </w:p>
        </w:tc>
        <w:tc>
          <w:tcPr>
            <w:tcW w:w="1810" w:type="dxa"/>
            <w:vAlign w:val="center"/>
          </w:tcPr>
          <w:p w14:paraId="7BB64EE4" w14:textId="77777777" w:rsidR="00B320F1" w:rsidRDefault="00D61259">
            <w:pPr>
              <w:jc w:val="center"/>
              <w:cnfStyle w:val="000000100000" w:firstRow="0" w:lastRow="0" w:firstColumn="0" w:lastColumn="0" w:oddVBand="0" w:evenVBand="0" w:oddHBand="1" w:evenHBand="0" w:firstRowFirstColumn="0" w:firstRowLastColumn="0" w:lastRowFirstColumn="0" w:lastRowLastColumn="0"/>
              <w:rPr>
                <w:b w:val="0"/>
              </w:rPr>
            </w:pPr>
            <w:r>
              <w:rPr>
                <w:b w:val="0"/>
              </w:rPr>
              <w:t xml:space="preserve">23,300 </w:t>
            </w:r>
            <w:proofErr w:type="spellStart"/>
            <w:r>
              <w:rPr>
                <w:b w:val="0"/>
              </w:rPr>
              <w:t>bp</w:t>
            </w:r>
            <w:proofErr w:type="spellEnd"/>
          </w:p>
        </w:tc>
        <w:tc>
          <w:tcPr>
            <w:tcW w:w="1810" w:type="dxa"/>
            <w:vAlign w:val="center"/>
          </w:tcPr>
          <w:p w14:paraId="1BFD830E" w14:textId="77777777" w:rsidR="00B320F1" w:rsidRDefault="00D61259">
            <w:pPr>
              <w:jc w:val="center"/>
              <w:cnfStyle w:val="000000100000" w:firstRow="0" w:lastRow="0" w:firstColumn="0" w:lastColumn="0" w:oddVBand="0" w:evenVBand="0" w:oddHBand="1" w:evenHBand="0" w:firstRowFirstColumn="0" w:firstRowLastColumn="0" w:lastRowFirstColumn="0" w:lastRowLastColumn="0"/>
              <w:rPr>
                <w:b w:val="0"/>
              </w:rPr>
            </w:pPr>
            <w:r>
              <w:rPr>
                <w:b w:val="0"/>
              </w:rPr>
              <w:t>30x</w:t>
            </w:r>
          </w:p>
        </w:tc>
        <w:tc>
          <w:tcPr>
            <w:tcW w:w="1811" w:type="dxa"/>
            <w:vAlign w:val="bottom"/>
          </w:tcPr>
          <w:p w14:paraId="67997E3C" w14:textId="77777777" w:rsidR="00B320F1" w:rsidRDefault="00D61259">
            <w:pPr>
              <w:jc w:val="center"/>
              <w:cnfStyle w:val="000000100000" w:firstRow="0" w:lastRow="0" w:firstColumn="0" w:lastColumn="0" w:oddVBand="0" w:evenVBand="0" w:oddHBand="1" w:evenHBand="0" w:firstRowFirstColumn="0" w:firstRowLastColumn="0" w:lastRowFirstColumn="0" w:lastRowLastColumn="0"/>
              <w:rPr>
                <w:b w:val="0"/>
              </w:rPr>
            </w:pPr>
            <w:r>
              <w:rPr>
                <w:b w:val="0"/>
              </w:rPr>
              <w:t>1%</w:t>
            </w:r>
          </w:p>
        </w:tc>
      </w:tr>
    </w:tbl>
    <w:p w14:paraId="5E204A03" w14:textId="77777777" w:rsidR="00B320F1" w:rsidRDefault="00B320F1"/>
    <w:p w14:paraId="0D5DF84C" w14:textId="5EA4B963" w:rsidR="00B320F1" w:rsidRPr="00BA2F9D" w:rsidRDefault="00D61259">
      <w:pPr>
        <w:rPr>
          <w:b w:val="0"/>
        </w:rPr>
      </w:pPr>
      <w:r>
        <w:rPr>
          <w:b w:val="0"/>
        </w:rPr>
        <w:t xml:space="preserve">We designated the most abundant </w:t>
      </w:r>
      <w:proofErr w:type="spellStart"/>
      <w:r>
        <w:rPr>
          <w:b w:val="0"/>
        </w:rPr>
        <w:t>mtgenome</w:t>
      </w:r>
      <w:proofErr w:type="spellEnd"/>
      <w:r>
        <w:rPr>
          <w:b w:val="0"/>
        </w:rPr>
        <w:t xml:space="preserve"> variant (6 repeat copies) as the </w:t>
      </w:r>
      <w:proofErr w:type="spellStart"/>
      <w:r>
        <w:rPr>
          <w:b w:val="0"/>
        </w:rPr>
        <w:t>mtgenome</w:t>
      </w:r>
      <w:proofErr w:type="spellEnd"/>
      <w:r>
        <w:rPr>
          <w:b w:val="0"/>
        </w:rPr>
        <w:t xml:space="preserve"> sequence, and also provide the sequences of all five </w:t>
      </w:r>
      <w:proofErr w:type="spellStart"/>
      <w:r>
        <w:rPr>
          <w:b w:val="0"/>
        </w:rPr>
        <w:t>mtgenome</w:t>
      </w:r>
      <w:proofErr w:type="spellEnd"/>
      <w:r>
        <w:rPr>
          <w:b w:val="0"/>
        </w:rPr>
        <w:t xml:space="preserve"> VNTR variants. Remapping revealed additional heterogeneity in the VNTR region, with 15 </w:t>
      </w:r>
      <w:proofErr w:type="spellStart"/>
      <w:r>
        <w:rPr>
          <w:b w:val="0"/>
        </w:rPr>
        <w:t>heteroplasmy</w:t>
      </w:r>
      <w:proofErr w:type="spellEnd"/>
      <w:r>
        <w:rPr>
          <w:b w:val="0"/>
        </w:rPr>
        <w:t xml:space="preserve"> SNP locations and a 92 </w:t>
      </w:r>
      <w:proofErr w:type="spellStart"/>
      <w:r>
        <w:rPr>
          <w:b w:val="0"/>
        </w:rPr>
        <w:t>bp</w:t>
      </w:r>
      <w:proofErr w:type="spellEnd"/>
      <w:r>
        <w:rPr>
          <w:b w:val="0"/>
        </w:rPr>
        <w:t xml:space="preserve"> insertion/deletion structural </w:t>
      </w:r>
      <w:proofErr w:type="spellStart"/>
      <w:r>
        <w:rPr>
          <w:b w:val="0"/>
        </w:rPr>
        <w:t>heteroplasmy</w:t>
      </w:r>
      <w:proofErr w:type="spellEnd"/>
      <w:r>
        <w:rPr>
          <w:b w:val="0"/>
        </w:rPr>
        <w:t>.</w:t>
      </w:r>
    </w:p>
    <w:p w14:paraId="690B40D7" w14:textId="77777777" w:rsidR="00B320F1" w:rsidRDefault="00B320F1"/>
    <w:p w14:paraId="388729AF" w14:textId="77777777" w:rsidR="00D61259" w:rsidRDefault="00D61259"/>
    <w:p w14:paraId="3456E5D5" w14:textId="77777777" w:rsidR="00D61259" w:rsidRDefault="00D61259"/>
    <w:p w14:paraId="6FC37203" w14:textId="77777777" w:rsidR="00B320F1" w:rsidRDefault="00D61259">
      <w:r>
        <w:t>Data availability &amp; File designations:</w:t>
      </w:r>
    </w:p>
    <w:p w14:paraId="37F9CB3C" w14:textId="77777777" w:rsidR="00B320F1" w:rsidRDefault="00B320F1"/>
    <w:p w14:paraId="04F6973D" w14:textId="77777777" w:rsidR="00B320F1" w:rsidRDefault="00D61259">
      <w:pPr>
        <w:rPr>
          <w:b w:val="0"/>
        </w:rPr>
      </w:pPr>
      <w:r>
        <w:t>SRA: SRR12366675</w:t>
      </w:r>
      <w:r>
        <w:br/>
      </w:r>
      <w:r>
        <w:rPr>
          <w:b w:val="0"/>
        </w:rPr>
        <w:t xml:space="preserve">ihVesMand1_HiFi_reads_Cell1.ccs.bam: </w:t>
      </w:r>
      <w:proofErr w:type="spellStart"/>
      <w:r>
        <w:rPr>
          <w:b w:val="0"/>
        </w:rPr>
        <w:t>HiFi</w:t>
      </w:r>
      <w:proofErr w:type="spellEnd"/>
      <w:r>
        <w:rPr>
          <w:b w:val="0"/>
        </w:rPr>
        <w:t xml:space="preserve"> reads from SMRT Cell 1</w:t>
      </w:r>
      <w:r>
        <w:rPr>
          <w:b w:val="0"/>
        </w:rPr>
        <w:br/>
        <w:t xml:space="preserve">ihVesMand1_HiFi_reads_Cell2.ccs.bam: </w:t>
      </w:r>
      <w:proofErr w:type="spellStart"/>
      <w:r>
        <w:rPr>
          <w:b w:val="0"/>
        </w:rPr>
        <w:t>HiFi</w:t>
      </w:r>
      <w:proofErr w:type="spellEnd"/>
      <w:r>
        <w:rPr>
          <w:b w:val="0"/>
        </w:rPr>
        <w:t xml:space="preserve"> reads from SMRT Cell 2</w:t>
      </w:r>
    </w:p>
    <w:p w14:paraId="0314BBDB" w14:textId="77777777" w:rsidR="00B320F1" w:rsidRDefault="00B320F1">
      <w:pPr>
        <w:rPr>
          <w:b w:val="0"/>
        </w:rPr>
      </w:pPr>
    </w:p>
    <w:p w14:paraId="4D7778FB" w14:textId="77777777" w:rsidR="00B320F1" w:rsidRDefault="00D61259">
      <w:proofErr w:type="spellStart"/>
      <w:r>
        <w:t>BioProject</w:t>
      </w:r>
      <w:proofErr w:type="spellEnd"/>
      <w:r>
        <w:t xml:space="preserve">: PRJNA649644, </w:t>
      </w:r>
      <w:proofErr w:type="spellStart"/>
      <w:r>
        <w:t>BioSample</w:t>
      </w:r>
      <w:proofErr w:type="spellEnd"/>
      <w:r>
        <w:t xml:space="preserve">: SAMN15675875, </w:t>
      </w:r>
      <w:proofErr w:type="spellStart"/>
      <w:r>
        <w:t>GenBank</w:t>
      </w:r>
      <w:proofErr w:type="spellEnd"/>
      <w:r>
        <w:t>: JACHAV000000000</w:t>
      </w:r>
    </w:p>
    <w:p w14:paraId="7B690668" w14:textId="77777777" w:rsidR="00B320F1" w:rsidRDefault="00D61259">
      <w:pPr>
        <w:rPr>
          <w:b w:val="0"/>
        </w:rPr>
      </w:pPr>
      <w:proofErr w:type="gramStart"/>
      <w:r>
        <w:rPr>
          <w:b w:val="0"/>
        </w:rPr>
        <w:t>ihVesMand1</w:t>
      </w:r>
      <w:proofErr w:type="gramEnd"/>
      <w:r>
        <w:rPr>
          <w:b w:val="0"/>
        </w:rPr>
        <w:t xml:space="preserve">_IPA_purge_primary.fasta: IPA Primary </w:t>
      </w:r>
      <w:proofErr w:type="spellStart"/>
      <w:r>
        <w:rPr>
          <w:b w:val="0"/>
        </w:rPr>
        <w:t>contig</w:t>
      </w:r>
      <w:proofErr w:type="spellEnd"/>
      <w:r>
        <w:rPr>
          <w:b w:val="0"/>
        </w:rPr>
        <w:t xml:space="preserve"> assembly (after </w:t>
      </w:r>
      <w:proofErr w:type="spellStart"/>
      <w:r>
        <w:rPr>
          <w:b w:val="0"/>
        </w:rPr>
        <w:t>purge_dups</w:t>
      </w:r>
      <w:proofErr w:type="spellEnd"/>
      <w:r>
        <w:rPr>
          <w:b w:val="0"/>
        </w:rPr>
        <w:t>)</w:t>
      </w:r>
    </w:p>
    <w:p w14:paraId="0727B0BB" w14:textId="77777777" w:rsidR="00B320F1" w:rsidRDefault="00D61259">
      <w:pPr>
        <w:rPr>
          <w:b w:val="0"/>
        </w:rPr>
      </w:pPr>
      <w:proofErr w:type="gramStart"/>
      <w:r>
        <w:rPr>
          <w:b w:val="0"/>
        </w:rPr>
        <w:t>ihVesMand1</w:t>
      </w:r>
      <w:proofErr w:type="gramEnd"/>
      <w:r>
        <w:rPr>
          <w:b w:val="0"/>
        </w:rPr>
        <w:t>_mtgenome.fasta: mitochondrial genome (VNTR6)</w:t>
      </w:r>
    </w:p>
    <w:p w14:paraId="18B3AD9C" w14:textId="77777777" w:rsidR="00B320F1" w:rsidRDefault="00B320F1">
      <w:pPr>
        <w:rPr>
          <w:b w:val="0"/>
        </w:rPr>
      </w:pPr>
    </w:p>
    <w:p w14:paraId="4017EB93" w14:textId="77777777" w:rsidR="00B320F1" w:rsidRDefault="00D61259">
      <w:pPr>
        <w:rPr>
          <w:b w:val="0"/>
        </w:rPr>
      </w:pPr>
      <w:proofErr w:type="spellStart"/>
      <w:r>
        <w:t>BioProject</w:t>
      </w:r>
      <w:proofErr w:type="spellEnd"/>
      <w:r>
        <w:t xml:space="preserve">: PRJNA649643, </w:t>
      </w:r>
      <w:proofErr w:type="spellStart"/>
      <w:r>
        <w:t>BioSample</w:t>
      </w:r>
      <w:proofErr w:type="spellEnd"/>
      <w:r>
        <w:t xml:space="preserve">: SAMN15675875, </w:t>
      </w:r>
      <w:proofErr w:type="spellStart"/>
      <w:r>
        <w:t>GenBank</w:t>
      </w:r>
      <w:proofErr w:type="spellEnd"/>
      <w:r>
        <w:t>: JACHAW000000000</w:t>
      </w:r>
      <w:r>
        <w:br/>
      </w:r>
      <w:r>
        <w:rPr>
          <w:b w:val="0"/>
        </w:rPr>
        <w:t xml:space="preserve">ihVesMand1_IPA_purge_htig.fasta: IPA </w:t>
      </w:r>
      <w:proofErr w:type="spellStart"/>
      <w:r>
        <w:rPr>
          <w:b w:val="0"/>
        </w:rPr>
        <w:t>Haplotigs</w:t>
      </w:r>
      <w:proofErr w:type="spellEnd"/>
      <w:r>
        <w:rPr>
          <w:b w:val="0"/>
        </w:rPr>
        <w:t xml:space="preserve"> </w:t>
      </w:r>
      <w:proofErr w:type="spellStart"/>
      <w:r>
        <w:rPr>
          <w:b w:val="0"/>
        </w:rPr>
        <w:t>contig</w:t>
      </w:r>
      <w:proofErr w:type="spellEnd"/>
      <w:r>
        <w:rPr>
          <w:b w:val="0"/>
        </w:rPr>
        <w:t xml:space="preserve"> assembly (after </w:t>
      </w:r>
      <w:proofErr w:type="spellStart"/>
      <w:r>
        <w:rPr>
          <w:b w:val="0"/>
        </w:rPr>
        <w:t>purge_dups</w:t>
      </w:r>
      <w:proofErr w:type="spellEnd"/>
      <w:r>
        <w:rPr>
          <w:b w:val="0"/>
        </w:rPr>
        <w:t>)</w:t>
      </w:r>
    </w:p>
    <w:p w14:paraId="70B53F31" w14:textId="77777777" w:rsidR="00B320F1" w:rsidRDefault="00B320F1">
      <w:pPr>
        <w:rPr>
          <w:b w:val="0"/>
        </w:rPr>
      </w:pPr>
    </w:p>
    <w:p w14:paraId="74461E01" w14:textId="77777777" w:rsidR="00B320F1" w:rsidRDefault="00D61259">
      <w:pPr>
        <w:rPr>
          <w:b w:val="0"/>
        </w:rPr>
      </w:pPr>
      <w:r>
        <w:t>Ag Data Commons</w:t>
      </w:r>
      <w:r>
        <w:rPr>
          <w:b w:val="0"/>
        </w:rPr>
        <w:br/>
        <w:t xml:space="preserve">ihVesMand1_IPA_purged_from_htig.fasta: IPA purged from </w:t>
      </w:r>
      <w:proofErr w:type="spellStart"/>
      <w:r>
        <w:rPr>
          <w:b w:val="0"/>
        </w:rPr>
        <w:t>haplotigs</w:t>
      </w:r>
      <w:proofErr w:type="spellEnd"/>
      <w:r>
        <w:rPr>
          <w:b w:val="0"/>
        </w:rPr>
        <w:t xml:space="preserve"> </w:t>
      </w:r>
      <w:proofErr w:type="spellStart"/>
      <w:r>
        <w:rPr>
          <w:b w:val="0"/>
        </w:rPr>
        <w:t>contig</w:t>
      </w:r>
      <w:proofErr w:type="spellEnd"/>
      <w:r>
        <w:rPr>
          <w:b w:val="0"/>
        </w:rPr>
        <w:t xml:space="preserve"> set</w:t>
      </w:r>
      <w:r>
        <w:rPr>
          <w:b w:val="0"/>
        </w:rPr>
        <w:br/>
        <w:t xml:space="preserve">ihVesMand1_mt_reads.fasta: mitochondrial </w:t>
      </w:r>
      <w:proofErr w:type="spellStart"/>
      <w:r>
        <w:rPr>
          <w:b w:val="0"/>
        </w:rPr>
        <w:t>HiFi</w:t>
      </w:r>
      <w:proofErr w:type="spellEnd"/>
      <w:r>
        <w:rPr>
          <w:b w:val="0"/>
        </w:rPr>
        <w:t xml:space="preserve"> read set</w:t>
      </w:r>
      <w:r>
        <w:rPr>
          <w:b w:val="0"/>
        </w:rPr>
        <w:br/>
        <w:t xml:space="preserve">ihVesMand1_mtgenome_all_VNTR_variants.fasta: all </w:t>
      </w:r>
      <w:proofErr w:type="spellStart"/>
      <w:r>
        <w:rPr>
          <w:b w:val="0"/>
        </w:rPr>
        <w:t>mtgenome</w:t>
      </w:r>
      <w:proofErr w:type="spellEnd"/>
      <w:r>
        <w:rPr>
          <w:b w:val="0"/>
        </w:rPr>
        <w:t xml:space="preserve"> VNTR variants (5-9 repeat copies)</w:t>
      </w:r>
    </w:p>
    <w:p w14:paraId="40F9F916" w14:textId="77777777" w:rsidR="00B320F1" w:rsidRDefault="00B320F1"/>
    <w:p w14:paraId="04BBEC42" w14:textId="77777777" w:rsidR="00D61259" w:rsidRDefault="00D61259"/>
    <w:p w14:paraId="38634537" w14:textId="77777777" w:rsidR="00D61259" w:rsidRDefault="00D61259"/>
    <w:p w14:paraId="50D58A0C" w14:textId="77777777" w:rsidR="00B320F1" w:rsidRDefault="00D61259">
      <w:r>
        <w:t>References:</w:t>
      </w:r>
    </w:p>
    <w:p w14:paraId="2B1DCC05" w14:textId="77777777" w:rsidR="00591A84" w:rsidRPr="00591A84" w:rsidRDefault="00591A84" w:rsidP="00591A84">
      <w:pPr>
        <w:pStyle w:val="ListParagraph"/>
        <w:numPr>
          <w:ilvl w:val="0"/>
          <w:numId w:val="3"/>
        </w:numPr>
        <w:ind w:left="720"/>
        <w:rPr>
          <w:b w:val="0"/>
        </w:rPr>
      </w:pPr>
      <w:proofErr w:type="spellStart"/>
      <w:r w:rsidRPr="00591A84">
        <w:rPr>
          <w:rFonts w:eastAsia="Times New Roman" w:cs="Times New Roman"/>
          <w:b w:val="0"/>
        </w:rPr>
        <w:t>DeAngelis</w:t>
      </w:r>
      <w:proofErr w:type="spellEnd"/>
      <w:r w:rsidRPr="00591A84">
        <w:rPr>
          <w:rFonts w:eastAsia="Times New Roman" w:cs="Times New Roman"/>
          <w:b w:val="0"/>
        </w:rPr>
        <w:t xml:space="preserve"> </w:t>
      </w:r>
      <w:r w:rsidRPr="00591A84">
        <w:rPr>
          <w:rFonts w:eastAsia="Times New Roman" w:cs="Times New Roman"/>
          <w:b w:val="0"/>
          <w:i/>
        </w:rPr>
        <w:t>et al.</w:t>
      </w:r>
      <w:r w:rsidRPr="00591A84">
        <w:rPr>
          <w:rFonts w:eastAsia="Times New Roman" w:cs="Times New Roman"/>
          <w:b w:val="0"/>
        </w:rPr>
        <w:t xml:space="preserve"> </w:t>
      </w:r>
      <w:r>
        <w:rPr>
          <w:rFonts w:eastAsia="Times New Roman" w:cs="Times New Roman"/>
          <w:b w:val="0"/>
        </w:rPr>
        <w:t xml:space="preserve">(1995) </w:t>
      </w:r>
      <w:r w:rsidRPr="00591A84">
        <w:rPr>
          <w:rFonts w:eastAsia="Times New Roman" w:cs="Times New Roman"/>
          <w:b w:val="0"/>
        </w:rPr>
        <w:t>“Solid-phase reversible immobilization fo</w:t>
      </w:r>
      <w:r>
        <w:rPr>
          <w:rFonts w:eastAsia="Times New Roman" w:cs="Times New Roman"/>
          <w:b w:val="0"/>
        </w:rPr>
        <w:t>r the isolation of PCR products</w:t>
      </w:r>
      <w:r w:rsidRPr="00591A84">
        <w:rPr>
          <w:rFonts w:eastAsia="Times New Roman" w:cs="Times New Roman"/>
          <w:b w:val="0"/>
        </w:rPr>
        <w:t>”</w:t>
      </w:r>
      <w:r>
        <w:rPr>
          <w:rFonts w:eastAsia="Times New Roman" w:cs="Times New Roman"/>
          <w:b w:val="0"/>
        </w:rPr>
        <w:t xml:space="preserve">, </w:t>
      </w:r>
      <w:r w:rsidRPr="00591A84">
        <w:rPr>
          <w:rFonts w:eastAsia="Times New Roman" w:cs="Times New Roman"/>
          <w:b w:val="0"/>
          <w:iCs/>
        </w:rPr>
        <w:t>Nucleic acids research</w:t>
      </w:r>
      <w:r w:rsidRPr="00591A84">
        <w:rPr>
          <w:rFonts w:eastAsia="Times New Roman" w:cs="Times New Roman"/>
          <w:b w:val="0"/>
        </w:rPr>
        <w:t xml:space="preserve"> 23(22): 4742–4743</w:t>
      </w:r>
      <w:r>
        <w:rPr>
          <w:rFonts w:eastAsia="Times New Roman" w:cs="Times New Roman"/>
          <w:b w:val="0"/>
        </w:rPr>
        <w:t>.</w:t>
      </w:r>
    </w:p>
    <w:p w14:paraId="3128B79B" w14:textId="77777777" w:rsidR="00B320F1" w:rsidRPr="00591A84" w:rsidRDefault="00D61259" w:rsidP="00591A84">
      <w:pPr>
        <w:numPr>
          <w:ilvl w:val="0"/>
          <w:numId w:val="3"/>
        </w:numPr>
        <w:pBdr>
          <w:top w:val="nil"/>
          <w:left w:val="nil"/>
          <w:bottom w:val="nil"/>
          <w:right w:val="nil"/>
          <w:between w:val="nil"/>
        </w:pBdr>
        <w:ind w:left="720"/>
        <w:rPr>
          <w:b w:val="0"/>
        </w:rPr>
      </w:pPr>
      <w:proofErr w:type="spellStart"/>
      <w:r w:rsidRPr="00591A84">
        <w:rPr>
          <w:b w:val="0"/>
          <w:color w:val="000000"/>
        </w:rPr>
        <w:t>Ranallo</w:t>
      </w:r>
      <w:proofErr w:type="spellEnd"/>
      <w:r w:rsidRPr="00591A84">
        <w:rPr>
          <w:b w:val="0"/>
          <w:color w:val="000000"/>
        </w:rPr>
        <w:t xml:space="preserve">-Benavidez </w:t>
      </w:r>
      <w:r w:rsidRPr="00591A84">
        <w:rPr>
          <w:b w:val="0"/>
          <w:i/>
          <w:color w:val="000000"/>
        </w:rPr>
        <w:t>et al.</w:t>
      </w:r>
      <w:r w:rsidRPr="00591A84">
        <w:rPr>
          <w:b w:val="0"/>
          <w:color w:val="000000"/>
        </w:rPr>
        <w:t xml:space="preserve"> (2020) “</w:t>
      </w:r>
      <w:proofErr w:type="spellStart"/>
      <w:r w:rsidRPr="00591A84">
        <w:rPr>
          <w:b w:val="0"/>
          <w:color w:val="000000"/>
        </w:rPr>
        <w:t>GenomeScope</w:t>
      </w:r>
      <w:proofErr w:type="spellEnd"/>
      <w:r w:rsidRPr="00591A84">
        <w:rPr>
          <w:b w:val="0"/>
          <w:color w:val="000000"/>
        </w:rPr>
        <w:t xml:space="preserve"> 2.0 and </w:t>
      </w:r>
      <w:proofErr w:type="spellStart"/>
      <w:r w:rsidRPr="00591A84">
        <w:rPr>
          <w:b w:val="0"/>
          <w:color w:val="000000"/>
        </w:rPr>
        <w:t>Smudgeplot</w:t>
      </w:r>
      <w:proofErr w:type="spellEnd"/>
      <w:r w:rsidRPr="00591A84">
        <w:rPr>
          <w:b w:val="0"/>
          <w:color w:val="000000"/>
        </w:rPr>
        <w:t xml:space="preserve"> for reference-free profiling of </w:t>
      </w:r>
      <w:proofErr w:type="spellStart"/>
      <w:r w:rsidRPr="00591A84">
        <w:rPr>
          <w:b w:val="0"/>
          <w:color w:val="000000"/>
        </w:rPr>
        <w:t>polyploid</w:t>
      </w:r>
      <w:proofErr w:type="spellEnd"/>
      <w:r w:rsidRPr="00591A84">
        <w:rPr>
          <w:b w:val="0"/>
          <w:color w:val="000000"/>
        </w:rPr>
        <w:t xml:space="preserve"> genomes”, Nature Communications 11: 1432.</w:t>
      </w:r>
    </w:p>
    <w:p w14:paraId="02187C58" w14:textId="77777777" w:rsidR="00B320F1" w:rsidRPr="00591A84" w:rsidRDefault="00D61259" w:rsidP="00591A84">
      <w:pPr>
        <w:numPr>
          <w:ilvl w:val="0"/>
          <w:numId w:val="3"/>
        </w:numPr>
        <w:pBdr>
          <w:top w:val="nil"/>
          <w:left w:val="nil"/>
          <w:bottom w:val="nil"/>
          <w:right w:val="nil"/>
          <w:between w:val="nil"/>
        </w:pBdr>
        <w:ind w:left="720"/>
        <w:rPr>
          <w:b w:val="0"/>
        </w:rPr>
      </w:pPr>
      <w:proofErr w:type="spellStart"/>
      <w:r w:rsidRPr="00591A84">
        <w:rPr>
          <w:b w:val="0"/>
          <w:color w:val="000000"/>
        </w:rPr>
        <w:t>Kronenberg</w:t>
      </w:r>
      <w:proofErr w:type="spellEnd"/>
      <w:r w:rsidRPr="00591A84">
        <w:rPr>
          <w:b w:val="0"/>
          <w:color w:val="000000"/>
        </w:rPr>
        <w:t xml:space="preserve"> (2020) “Direct Phased Genome Assembly Using Nighthawk on </w:t>
      </w:r>
      <w:proofErr w:type="spellStart"/>
      <w:r w:rsidRPr="00591A84">
        <w:rPr>
          <w:b w:val="0"/>
          <w:color w:val="000000"/>
        </w:rPr>
        <w:t>HiFi</w:t>
      </w:r>
      <w:proofErr w:type="spellEnd"/>
      <w:r w:rsidRPr="00591A84">
        <w:rPr>
          <w:b w:val="0"/>
          <w:color w:val="000000"/>
        </w:rPr>
        <w:t xml:space="preserve"> Reads”, </w:t>
      </w:r>
      <w:hyperlink r:id="rId13">
        <w:proofErr w:type="spellStart"/>
        <w:r w:rsidRPr="00591A84">
          <w:rPr>
            <w:b w:val="0"/>
            <w:color w:val="0000FF"/>
            <w:u w:val="single"/>
          </w:rPr>
          <w:t>PacBio</w:t>
        </w:r>
        <w:proofErr w:type="spellEnd"/>
        <w:r w:rsidRPr="00591A84">
          <w:rPr>
            <w:b w:val="0"/>
            <w:color w:val="0000FF"/>
            <w:u w:val="single"/>
          </w:rPr>
          <w:t xml:space="preserve"> blog post</w:t>
        </w:r>
      </w:hyperlink>
      <w:r w:rsidRPr="00591A84">
        <w:rPr>
          <w:b w:val="0"/>
          <w:color w:val="000000"/>
        </w:rPr>
        <w:t>.</w:t>
      </w:r>
    </w:p>
    <w:p w14:paraId="0066F6F1" w14:textId="77777777" w:rsidR="00B320F1" w:rsidRPr="00591A84" w:rsidRDefault="00D61259" w:rsidP="00591A84">
      <w:pPr>
        <w:numPr>
          <w:ilvl w:val="0"/>
          <w:numId w:val="3"/>
        </w:numPr>
        <w:pBdr>
          <w:top w:val="nil"/>
          <w:left w:val="nil"/>
          <w:bottom w:val="nil"/>
          <w:right w:val="nil"/>
          <w:between w:val="nil"/>
        </w:pBdr>
        <w:ind w:left="720"/>
        <w:rPr>
          <w:b w:val="0"/>
        </w:rPr>
      </w:pPr>
      <w:proofErr w:type="spellStart"/>
      <w:r w:rsidRPr="00591A84">
        <w:rPr>
          <w:b w:val="0"/>
          <w:color w:val="000000"/>
        </w:rPr>
        <w:lastRenderedPageBreak/>
        <w:t>Sović</w:t>
      </w:r>
      <w:proofErr w:type="spellEnd"/>
      <w:r w:rsidRPr="00591A84">
        <w:rPr>
          <w:b w:val="0"/>
          <w:color w:val="000000"/>
        </w:rPr>
        <w:t xml:space="preserve"> (2020), “Improved &amp; Phased Assembly using </w:t>
      </w:r>
      <w:proofErr w:type="spellStart"/>
      <w:r w:rsidRPr="00591A84">
        <w:rPr>
          <w:b w:val="0"/>
          <w:color w:val="000000"/>
        </w:rPr>
        <w:t>HiFi</w:t>
      </w:r>
      <w:proofErr w:type="spellEnd"/>
      <w:r w:rsidRPr="00591A84">
        <w:rPr>
          <w:b w:val="0"/>
          <w:color w:val="000000"/>
        </w:rPr>
        <w:t xml:space="preserve"> Data”, </w:t>
      </w:r>
      <w:hyperlink r:id="rId14">
        <w:r w:rsidRPr="00591A84">
          <w:rPr>
            <w:b w:val="0"/>
            <w:color w:val="0000FF"/>
            <w:u w:val="single"/>
          </w:rPr>
          <w:t>SMRT Leiden conference presentation</w:t>
        </w:r>
      </w:hyperlink>
      <w:r w:rsidRPr="00591A84">
        <w:rPr>
          <w:b w:val="0"/>
          <w:color w:val="000000"/>
        </w:rPr>
        <w:t>.</w:t>
      </w:r>
    </w:p>
    <w:p w14:paraId="091C2D29" w14:textId="77777777" w:rsidR="00B320F1" w:rsidRPr="00591A84" w:rsidRDefault="00D61259" w:rsidP="00591A84">
      <w:pPr>
        <w:numPr>
          <w:ilvl w:val="0"/>
          <w:numId w:val="3"/>
        </w:numPr>
        <w:pBdr>
          <w:top w:val="nil"/>
          <w:left w:val="nil"/>
          <w:bottom w:val="nil"/>
          <w:right w:val="nil"/>
          <w:between w:val="nil"/>
        </w:pBdr>
        <w:ind w:left="720"/>
        <w:rPr>
          <w:b w:val="0"/>
        </w:rPr>
      </w:pPr>
      <w:r w:rsidRPr="00591A84">
        <w:rPr>
          <w:b w:val="0"/>
          <w:color w:val="000000"/>
        </w:rPr>
        <w:t xml:space="preserve">Guan </w:t>
      </w:r>
      <w:r w:rsidRPr="00591A84">
        <w:rPr>
          <w:b w:val="0"/>
          <w:i/>
          <w:color w:val="000000"/>
        </w:rPr>
        <w:t xml:space="preserve">et al. </w:t>
      </w:r>
      <w:r w:rsidRPr="00591A84">
        <w:rPr>
          <w:b w:val="0"/>
          <w:color w:val="000000"/>
        </w:rPr>
        <w:t xml:space="preserve">(2020) “Identifying and removing </w:t>
      </w:r>
      <w:proofErr w:type="spellStart"/>
      <w:r w:rsidRPr="00591A84">
        <w:rPr>
          <w:b w:val="0"/>
          <w:color w:val="000000"/>
        </w:rPr>
        <w:t>haplotypic</w:t>
      </w:r>
      <w:proofErr w:type="spellEnd"/>
      <w:r w:rsidRPr="00591A84">
        <w:rPr>
          <w:b w:val="0"/>
          <w:color w:val="000000"/>
        </w:rPr>
        <w:t xml:space="preserve"> duplication in primary genome assemblies”, Bioinformatics 36: 2896.</w:t>
      </w:r>
    </w:p>
    <w:p w14:paraId="18FD2B73" w14:textId="77777777" w:rsidR="00B320F1" w:rsidRPr="00591A84" w:rsidRDefault="00D61259" w:rsidP="00591A84">
      <w:pPr>
        <w:numPr>
          <w:ilvl w:val="0"/>
          <w:numId w:val="3"/>
        </w:numPr>
        <w:pBdr>
          <w:top w:val="nil"/>
          <w:left w:val="nil"/>
          <w:bottom w:val="nil"/>
          <w:right w:val="nil"/>
          <w:between w:val="nil"/>
        </w:pBdr>
        <w:ind w:left="720"/>
        <w:rPr>
          <w:b w:val="0"/>
        </w:rPr>
      </w:pPr>
      <w:proofErr w:type="spellStart"/>
      <w:r w:rsidRPr="00591A84">
        <w:rPr>
          <w:b w:val="0"/>
          <w:color w:val="000000"/>
        </w:rPr>
        <w:t>Soorni</w:t>
      </w:r>
      <w:proofErr w:type="spellEnd"/>
      <w:r w:rsidRPr="00591A84">
        <w:rPr>
          <w:b w:val="0"/>
          <w:color w:val="000000"/>
        </w:rPr>
        <w:t xml:space="preserve"> </w:t>
      </w:r>
      <w:r w:rsidRPr="00591A84">
        <w:rPr>
          <w:b w:val="0"/>
          <w:i/>
          <w:color w:val="000000"/>
        </w:rPr>
        <w:t xml:space="preserve">et al. </w:t>
      </w:r>
      <w:r w:rsidRPr="00591A84">
        <w:rPr>
          <w:b w:val="0"/>
          <w:color w:val="000000"/>
        </w:rPr>
        <w:t>(2017) “</w:t>
      </w:r>
      <w:proofErr w:type="spellStart"/>
      <w:r w:rsidRPr="00591A84">
        <w:rPr>
          <w:b w:val="0"/>
          <w:color w:val="000000"/>
        </w:rPr>
        <w:t>Organelle_PBA</w:t>
      </w:r>
      <w:proofErr w:type="spellEnd"/>
      <w:r w:rsidRPr="00591A84">
        <w:rPr>
          <w:b w:val="0"/>
          <w:color w:val="000000"/>
        </w:rPr>
        <w:t xml:space="preserve">, a pipeline for assembling chloroplast and mitochondrial genomes from </w:t>
      </w:r>
      <w:proofErr w:type="spellStart"/>
      <w:r w:rsidRPr="00591A84">
        <w:rPr>
          <w:b w:val="0"/>
          <w:color w:val="000000"/>
        </w:rPr>
        <w:t>PacBio</w:t>
      </w:r>
      <w:proofErr w:type="spellEnd"/>
      <w:r w:rsidRPr="00591A84">
        <w:rPr>
          <w:b w:val="0"/>
          <w:color w:val="000000"/>
        </w:rPr>
        <w:t xml:space="preserve"> DNA sequencing data”, BMC Genomics 18: 49.</w:t>
      </w:r>
    </w:p>
    <w:p w14:paraId="43788EC9" w14:textId="77777777" w:rsidR="00B320F1" w:rsidRPr="00591A84" w:rsidRDefault="00D61259" w:rsidP="00591A84">
      <w:pPr>
        <w:numPr>
          <w:ilvl w:val="0"/>
          <w:numId w:val="3"/>
        </w:numPr>
        <w:pBdr>
          <w:top w:val="nil"/>
          <w:left w:val="nil"/>
          <w:bottom w:val="nil"/>
          <w:right w:val="nil"/>
          <w:between w:val="nil"/>
        </w:pBdr>
        <w:ind w:left="720"/>
        <w:rPr>
          <w:b w:val="0"/>
        </w:rPr>
      </w:pPr>
      <w:r w:rsidRPr="00591A84">
        <w:rPr>
          <w:b w:val="0"/>
          <w:color w:val="000000"/>
        </w:rPr>
        <w:t>Li (2018) “Minimap2: pairwise alignment for nucleotide sequences”, Bioinformatics 34: 3094.</w:t>
      </w:r>
    </w:p>
    <w:sectPr w:rsidR="00B320F1" w:rsidRPr="00591A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BDF"/>
    <w:multiLevelType w:val="hybridMultilevel"/>
    <w:tmpl w:val="3C866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2D3023"/>
    <w:multiLevelType w:val="hybridMultilevel"/>
    <w:tmpl w:val="B770B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5C3BB0"/>
    <w:multiLevelType w:val="multilevel"/>
    <w:tmpl w:val="4134F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320F1"/>
    <w:rsid w:val="00463E6D"/>
    <w:rsid w:val="004B29A7"/>
    <w:rsid w:val="00591A84"/>
    <w:rsid w:val="00B320F1"/>
    <w:rsid w:val="00BA2F9D"/>
    <w:rsid w:val="00D61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B6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b/>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sz w:val="48"/>
      <w:szCs w:val="48"/>
    </w:rPr>
  </w:style>
  <w:style w:type="paragraph" w:styleId="Heading2">
    <w:name w:val="heading 2"/>
    <w:basedOn w:val="normal0"/>
    <w:next w:val="normal0"/>
    <w:pPr>
      <w:keepNext/>
      <w:keepLines/>
      <w:spacing w:before="360" w:after="80"/>
      <w:outlineLvl w:val="1"/>
    </w:pPr>
    <w:rPr>
      <w:sz w:val="36"/>
      <w:szCs w:val="36"/>
    </w:rPr>
  </w:style>
  <w:style w:type="paragraph" w:styleId="Heading3">
    <w:name w:val="heading 3"/>
    <w:basedOn w:val="normal0"/>
    <w:next w:val="normal0"/>
    <w:pPr>
      <w:keepNext/>
      <w:keepLines/>
      <w:spacing w:before="280" w:after="80"/>
      <w:outlineLvl w:val="2"/>
    </w:pPr>
    <w:rPr>
      <w:sz w:val="28"/>
      <w:szCs w:val="28"/>
    </w:rPr>
  </w:style>
  <w:style w:type="paragraph" w:styleId="Heading4">
    <w:name w:val="heading 4"/>
    <w:basedOn w:val="normal0"/>
    <w:next w:val="normal0"/>
    <w:pPr>
      <w:keepNext/>
      <w:keepLines/>
      <w:spacing w:before="240" w:after="40"/>
      <w:outlineLvl w:val="3"/>
    </w:pPr>
    <w:rPr>
      <w:sz w:val="24"/>
      <w:szCs w:val="24"/>
    </w:rPr>
  </w:style>
  <w:style w:type="paragraph" w:styleId="Heading5">
    <w:name w:val="heading 5"/>
    <w:basedOn w:val="normal0"/>
    <w:next w:val="normal0"/>
    <w:pPr>
      <w:keepNext/>
      <w:keepLines/>
      <w:spacing w:before="220" w:after="40"/>
      <w:outlineLvl w:val="4"/>
    </w:pPr>
  </w:style>
  <w:style w:type="paragraph" w:styleId="Heading6">
    <w:name w:val="heading 6"/>
    <w:basedOn w:val="normal0"/>
    <w:next w:val="normal0"/>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sz w:val="72"/>
      <w:szCs w:val="72"/>
    </w:rPr>
  </w:style>
  <w:style w:type="paragraph" w:styleId="NormalWeb">
    <w:name w:val="Normal (Web)"/>
    <w:basedOn w:val="Normal"/>
    <w:uiPriority w:val="99"/>
    <w:semiHidden/>
    <w:unhideWhenUsed/>
    <w:rsid w:val="005123DC"/>
    <w:pPr>
      <w:spacing w:before="100" w:beforeAutospacing="1" w:after="100" w:afterAutospacing="1"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5123DC"/>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A510CE"/>
    <w:pPr>
      <w:ind w:left="720"/>
      <w:contextualSpacing/>
    </w:pPr>
  </w:style>
  <w:style w:type="character" w:styleId="Hyperlink">
    <w:name w:val="Hyperlink"/>
    <w:basedOn w:val="DefaultParagraphFont"/>
    <w:uiPriority w:val="99"/>
    <w:unhideWhenUsed/>
    <w:rsid w:val="00A510CE"/>
    <w:rPr>
      <w:color w:val="0000FF"/>
      <w:u w:val="single"/>
    </w:rPr>
  </w:style>
  <w:style w:type="table" w:styleId="TableGrid">
    <w:name w:val="Table Grid"/>
    <w:basedOn w:val="TableNormal"/>
    <w:uiPriority w:val="59"/>
    <w:rsid w:val="000611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color w:val="00000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0">
    <w:basedOn w:val="TableNormal"/>
    <w:pPr>
      <w:spacing w:line="240" w:lineRule="auto"/>
    </w:pPr>
    <w:rPr>
      <w:color w:val="00000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1">
    <w:basedOn w:val="TableNormal"/>
    <w:pPr>
      <w:spacing w:line="240" w:lineRule="auto"/>
    </w:pPr>
    <w:rPr>
      <w:color w:val="00000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b/>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sz w:val="48"/>
      <w:szCs w:val="48"/>
    </w:rPr>
  </w:style>
  <w:style w:type="paragraph" w:styleId="Heading2">
    <w:name w:val="heading 2"/>
    <w:basedOn w:val="normal0"/>
    <w:next w:val="normal0"/>
    <w:pPr>
      <w:keepNext/>
      <w:keepLines/>
      <w:spacing w:before="360" w:after="80"/>
      <w:outlineLvl w:val="1"/>
    </w:pPr>
    <w:rPr>
      <w:sz w:val="36"/>
      <w:szCs w:val="36"/>
    </w:rPr>
  </w:style>
  <w:style w:type="paragraph" w:styleId="Heading3">
    <w:name w:val="heading 3"/>
    <w:basedOn w:val="normal0"/>
    <w:next w:val="normal0"/>
    <w:pPr>
      <w:keepNext/>
      <w:keepLines/>
      <w:spacing w:before="280" w:after="80"/>
      <w:outlineLvl w:val="2"/>
    </w:pPr>
    <w:rPr>
      <w:sz w:val="28"/>
      <w:szCs w:val="28"/>
    </w:rPr>
  </w:style>
  <w:style w:type="paragraph" w:styleId="Heading4">
    <w:name w:val="heading 4"/>
    <w:basedOn w:val="normal0"/>
    <w:next w:val="normal0"/>
    <w:pPr>
      <w:keepNext/>
      <w:keepLines/>
      <w:spacing w:before="240" w:after="40"/>
      <w:outlineLvl w:val="3"/>
    </w:pPr>
    <w:rPr>
      <w:sz w:val="24"/>
      <w:szCs w:val="24"/>
    </w:rPr>
  </w:style>
  <w:style w:type="paragraph" w:styleId="Heading5">
    <w:name w:val="heading 5"/>
    <w:basedOn w:val="normal0"/>
    <w:next w:val="normal0"/>
    <w:pPr>
      <w:keepNext/>
      <w:keepLines/>
      <w:spacing w:before="220" w:after="40"/>
      <w:outlineLvl w:val="4"/>
    </w:pPr>
  </w:style>
  <w:style w:type="paragraph" w:styleId="Heading6">
    <w:name w:val="heading 6"/>
    <w:basedOn w:val="normal0"/>
    <w:next w:val="normal0"/>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sz w:val="72"/>
      <w:szCs w:val="72"/>
    </w:rPr>
  </w:style>
  <w:style w:type="paragraph" w:styleId="NormalWeb">
    <w:name w:val="Normal (Web)"/>
    <w:basedOn w:val="Normal"/>
    <w:uiPriority w:val="99"/>
    <w:semiHidden/>
    <w:unhideWhenUsed/>
    <w:rsid w:val="005123DC"/>
    <w:pPr>
      <w:spacing w:before="100" w:beforeAutospacing="1" w:after="100" w:afterAutospacing="1"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5123DC"/>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A510CE"/>
    <w:pPr>
      <w:ind w:left="720"/>
      <w:contextualSpacing/>
    </w:pPr>
  </w:style>
  <w:style w:type="character" w:styleId="Hyperlink">
    <w:name w:val="Hyperlink"/>
    <w:basedOn w:val="DefaultParagraphFont"/>
    <w:uiPriority w:val="99"/>
    <w:unhideWhenUsed/>
    <w:rsid w:val="00A510CE"/>
    <w:rPr>
      <w:color w:val="0000FF"/>
      <w:u w:val="single"/>
    </w:rPr>
  </w:style>
  <w:style w:type="table" w:styleId="TableGrid">
    <w:name w:val="Table Grid"/>
    <w:basedOn w:val="TableNormal"/>
    <w:uiPriority w:val="59"/>
    <w:rsid w:val="000611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color w:val="00000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0">
    <w:basedOn w:val="TableNormal"/>
    <w:pPr>
      <w:spacing w:line="240" w:lineRule="auto"/>
    </w:pPr>
    <w:rPr>
      <w:color w:val="00000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1">
    <w:basedOn w:val="TableNormal"/>
    <w:pPr>
      <w:spacing w:line="240" w:lineRule="auto"/>
    </w:pPr>
    <w:rPr>
      <w:color w:val="00000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nuccore/827045924" TargetMode="External"/><Relationship Id="rId12" Type="http://schemas.openxmlformats.org/officeDocument/2006/relationships/hyperlink" Target="https://github.com/lh3/minimap2" TargetMode="External"/><Relationship Id="rId13" Type="http://schemas.openxmlformats.org/officeDocument/2006/relationships/hyperlink" Target="https://www.pacb.com/blog/direct-phased-genome-assembly-using-nighthawk-on-hifi-reads/" TargetMode="External"/><Relationship Id="rId14" Type="http://schemas.openxmlformats.org/officeDocument/2006/relationships/hyperlink" Target="https://www.gotostage.com/channel/824b0f358f7b437eb3bb2c37ae5d063b/recording/a65c3e6f1f0441aeae07f686fb4e6b90/watch?source=CHANNE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github.com/PacificBiosciences/barcoding" TargetMode="External"/><Relationship Id="rId8" Type="http://schemas.openxmlformats.org/officeDocument/2006/relationships/hyperlink" Target="http://qb.cshl.edu/genomescope/genomescope2.0/" TargetMode="External"/><Relationship Id="rId9" Type="http://schemas.openxmlformats.org/officeDocument/2006/relationships/hyperlink" Target="https://github.com/PacificBiosciences/pbbioconda/wiki/Improved-Phased-Assembler" TargetMode="External"/><Relationship Id="rId10" Type="http://schemas.openxmlformats.org/officeDocument/2006/relationships/hyperlink" Target="https://github.com/dfguan/purge_d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WB9m5Y+eZ4lE184qKnJarMcvuA==">AMUW2mU8ZIQ/5iR56YTqSEGkriWWRIlzX3ZtZuwUo1CIkifFEDDlOdM7dg/NjrsRLfjTla60Xx0DsEp0xoc3TkpiYlDh4CTBQGrLBwqgTF3KUxj9s4n006Les+Nd+qLcYJf23AQWMw5c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3445</Words>
  <Characters>19641</Characters>
  <Application>Microsoft Macintosh Word</Application>
  <DocSecurity>0</DocSecurity>
  <Lines>163</Lines>
  <Paragraphs>46</Paragraphs>
  <ScaleCrop>false</ScaleCrop>
  <Company>USDA</Company>
  <LinksUpToDate>false</LinksUpToDate>
  <CharactersWithSpaces>23040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Korlach</dc:creator>
  <cp:lastModifiedBy>Anna Childers</cp:lastModifiedBy>
  <cp:revision>6</cp:revision>
  <dcterms:created xsi:type="dcterms:W3CDTF">2020-06-29T16:36:00Z</dcterms:created>
  <dcterms:modified xsi:type="dcterms:W3CDTF">2020-08-06T04:52:00Z</dcterms:modified>
</cp:coreProperties>
</file>