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31" w:rsidRDefault="00C22631" w:rsidP="00C22631">
      <w:pPr>
        <w:spacing w:line="360" w:lineRule="auto"/>
        <w:jc w:val="center"/>
        <w:rPr>
          <w:rFonts w:cs="Times New Roman"/>
          <w:b/>
          <w:i/>
          <w:color w:val="000000"/>
          <w:sz w:val="28"/>
          <w:szCs w:val="28"/>
        </w:rPr>
      </w:pPr>
      <w:r>
        <w:rPr>
          <w:rFonts w:cs="Times New Roman"/>
          <w:b/>
          <w:i/>
          <w:color w:val="000000"/>
          <w:sz w:val="28"/>
          <w:szCs w:val="28"/>
        </w:rPr>
        <w:t>Supplemental Materials for:</w:t>
      </w:r>
    </w:p>
    <w:p w:rsidR="00C22631" w:rsidRDefault="00C22631" w:rsidP="00C22631">
      <w:pPr>
        <w:spacing w:line="360" w:lineRule="auto"/>
        <w:jc w:val="center"/>
        <w:rPr>
          <w:rFonts w:cs="Times New Roman"/>
          <w:b/>
          <w:i/>
          <w:color w:val="000000"/>
          <w:sz w:val="28"/>
          <w:szCs w:val="28"/>
        </w:rPr>
      </w:pPr>
    </w:p>
    <w:p w:rsidR="00C22631" w:rsidRPr="00A3300C" w:rsidRDefault="00C22631" w:rsidP="00C22631">
      <w:pPr>
        <w:spacing w:line="360" w:lineRule="auto"/>
        <w:jc w:val="center"/>
        <w:rPr>
          <w:rFonts w:cs="Times New Roman"/>
          <w:b/>
          <w:sz w:val="28"/>
          <w:szCs w:val="28"/>
        </w:rPr>
      </w:pPr>
      <w:r w:rsidRPr="00A16C87">
        <w:rPr>
          <w:rFonts w:cs="Times New Roman"/>
          <w:b/>
          <w:i/>
          <w:color w:val="000000"/>
          <w:sz w:val="28"/>
          <w:szCs w:val="28"/>
        </w:rPr>
        <w:t>In Vitro</w:t>
      </w:r>
      <w:r>
        <w:rPr>
          <w:rFonts w:cs="Times New Roman"/>
          <w:b/>
          <w:color w:val="000000"/>
          <w:sz w:val="28"/>
          <w:szCs w:val="28"/>
        </w:rPr>
        <w:t xml:space="preserve"> Screening of Metal Oxide Nanoparticles for Effects on Neural Function Using Cortical Networks on Microelectrode Arrays</w:t>
      </w:r>
    </w:p>
    <w:p w:rsidR="00C22631" w:rsidRDefault="00C22631" w:rsidP="00C22631">
      <w:pPr>
        <w:suppressLineNumbers/>
        <w:jc w:val="center"/>
        <w:rPr>
          <w:rFonts w:cs="Times New Roman"/>
          <w:b/>
          <w:sz w:val="28"/>
          <w:szCs w:val="28"/>
        </w:rPr>
      </w:pPr>
    </w:p>
    <w:p w:rsidR="00C22631" w:rsidRPr="006F2DF1" w:rsidRDefault="00C22631" w:rsidP="00C22631">
      <w:pPr>
        <w:suppressLineNumbers/>
        <w:jc w:val="center"/>
        <w:rPr>
          <w:rFonts w:cs="Times New Roman"/>
          <w:b/>
          <w:sz w:val="28"/>
          <w:szCs w:val="28"/>
        </w:rPr>
      </w:pPr>
    </w:p>
    <w:p w:rsidR="00C22631" w:rsidRPr="006F2DF1" w:rsidRDefault="00C22631" w:rsidP="00C22631">
      <w:pPr>
        <w:suppressLineNumbers/>
        <w:jc w:val="center"/>
        <w:rPr>
          <w:rFonts w:cs="Times New Roman"/>
          <w:szCs w:val="24"/>
        </w:rPr>
      </w:pPr>
      <w:r>
        <w:rPr>
          <w:rFonts w:cs="Times New Roman"/>
          <w:szCs w:val="24"/>
        </w:rPr>
        <w:t>Jenna D. Strickland</w:t>
      </w:r>
      <w:r w:rsidRPr="006F2DF1">
        <w:rPr>
          <w:rFonts w:cs="Times New Roman"/>
          <w:szCs w:val="24"/>
        </w:rPr>
        <w:t>, William R. LeFew</w:t>
      </w:r>
      <w:r>
        <w:rPr>
          <w:rFonts w:cs="Times New Roman"/>
          <w:szCs w:val="24"/>
        </w:rPr>
        <w:t>, James Crooks, Diana Hall, Jayna NR Ortenzio, Kevin Dreher</w:t>
      </w:r>
      <w:r>
        <w:rPr>
          <w:rFonts w:cs="Times New Roman"/>
          <w:szCs w:val="24"/>
          <w:vertAlign w:val="superscript"/>
        </w:rPr>
        <w:t>#</w:t>
      </w:r>
      <w:r>
        <w:rPr>
          <w:rFonts w:cs="Times New Roman"/>
          <w:szCs w:val="24"/>
        </w:rPr>
        <w:t xml:space="preserve"> and</w:t>
      </w:r>
      <w:r w:rsidRPr="006F2DF1">
        <w:rPr>
          <w:rFonts w:cs="Times New Roman"/>
          <w:szCs w:val="24"/>
        </w:rPr>
        <w:t xml:space="preserve"> Timothy J. Shafer</w:t>
      </w:r>
      <w:r>
        <w:rPr>
          <w:rFonts w:cs="Times New Roman"/>
          <w:szCs w:val="24"/>
          <w:vertAlign w:val="superscript"/>
        </w:rPr>
        <w:t>#</w:t>
      </w:r>
    </w:p>
    <w:p w:rsidR="00C22631" w:rsidRPr="006F2DF1" w:rsidRDefault="00C22631" w:rsidP="00C22631">
      <w:pPr>
        <w:suppressLineNumbers/>
        <w:rPr>
          <w:rFonts w:cs="Times New Roman"/>
          <w:szCs w:val="24"/>
        </w:rPr>
      </w:pPr>
    </w:p>
    <w:p w:rsidR="00C22631" w:rsidRPr="006F2DF1" w:rsidRDefault="00C22631" w:rsidP="00C22631">
      <w:pPr>
        <w:suppressLineNumbers/>
        <w:rPr>
          <w:rFonts w:cs="Times New Roman"/>
          <w:szCs w:val="24"/>
        </w:rPr>
      </w:pPr>
      <w:r>
        <w:rPr>
          <w:rFonts w:cs="Times New Roman"/>
          <w:szCs w:val="24"/>
        </w:rPr>
        <w:t xml:space="preserve">Office of Research and Development, National Health and Environmental Effects Research Laboratory, </w:t>
      </w:r>
      <w:r w:rsidRPr="006F2DF1">
        <w:rPr>
          <w:rFonts w:cs="Times New Roman"/>
          <w:szCs w:val="24"/>
        </w:rPr>
        <w:t>US Environmental Protection Agency, Research Triangle Park, NC</w:t>
      </w:r>
    </w:p>
    <w:p w:rsidR="00C22631" w:rsidRDefault="00C22631">
      <w:pPr>
        <w:spacing w:line="360" w:lineRule="atLeast"/>
        <w:rPr>
          <w:b/>
        </w:rPr>
      </w:pPr>
      <w:r>
        <w:rPr>
          <w:b/>
        </w:rPr>
        <w:br w:type="page"/>
      </w:r>
    </w:p>
    <w:p w:rsidR="006B304C" w:rsidRDefault="006B304C" w:rsidP="006B304C">
      <w:pPr>
        <w:spacing w:line="480" w:lineRule="auto"/>
        <w:contextualSpacing/>
        <w:rPr>
          <w:rFonts w:cs="Times New Roman"/>
          <w:b/>
          <w:szCs w:val="24"/>
        </w:rPr>
      </w:pPr>
      <w:r>
        <w:rPr>
          <w:rFonts w:cs="Times New Roman"/>
          <w:b/>
          <w:szCs w:val="24"/>
        </w:rPr>
        <w:lastRenderedPageBreak/>
        <w:t xml:space="preserve">Physicochemical Characterization of Particles </w:t>
      </w:r>
    </w:p>
    <w:p w:rsidR="006B304C" w:rsidRDefault="006B304C" w:rsidP="009802BA">
      <w:pPr>
        <w:spacing w:line="480" w:lineRule="auto"/>
        <w:contextualSpacing/>
        <w:rPr>
          <w:rFonts w:cs="Times New Roman"/>
          <w:szCs w:val="24"/>
        </w:rPr>
      </w:pPr>
      <w:r>
        <w:rPr>
          <w:rFonts w:cs="Times New Roman"/>
          <w:szCs w:val="24"/>
        </w:rPr>
        <w:t>Complete information on and characterization of the particles used in this study is provided in Supplemental Table 1. For completeness, information in Table 1 from this analysis is provided for all particles, but some of this information has been previously published (Kitchin et al., 2011; Sanders et al 2012). All TiO</w:t>
      </w:r>
      <w:r w:rsidRPr="00BA3096">
        <w:rPr>
          <w:rFonts w:cs="Times New Roman"/>
          <w:szCs w:val="24"/>
          <w:vertAlign w:val="subscript"/>
        </w:rPr>
        <w:t>2</w:t>
      </w:r>
      <w:r>
        <w:rPr>
          <w:rFonts w:cs="Times New Roman"/>
          <w:szCs w:val="24"/>
        </w:rPr>
        <w:t xml:space="preserve"> and CeO</w:t>
      </w:r>
      <w:r w:rsidRPr="00BA3096">
        <w:rPr>
          <w:rFonts w:cs="Times New Roman"/>
          <w:szCs w:val="24"/>
          <w:vertAlign w:val="subscript"/>
        </w:rPr>
        <w:t>2</w:t>
      </w:r>
      <w:r>
        <w:rPr>
          <w:rFonts w:cs="Times New Roman"/>
          <w:szCs w:val="24"/>
        </w:rPr>
        <w:t xml:space="preserve"> NPs and MPs were found to be endotoxin free using an optimized Limulus Amebocyte Lysate (LAL) - Kinetic Turbidimetric Method (detection limit &lt;0.001 EU/ml) under a contract with Associates of Cape Cod, East Falmouth, MA (EPA contract# EP08D000284).</w:t>
      </w:r>
    </w:p>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 w:rsidR="00E50463" w:rsidRDefault="00E50463" w:rsidP="006B304C">
      <w:pPr>
        <w:sectPr w:rsidR="00E50463" w:rsidSect="009802BA">
          <w:footerReference w:type="default" r:id="rId8"/>
          <w:pgSz w:w="12240" w:h="15840"/>
          <w:pgMar w:top="1440" w:right="1440" w:bottom="1440" w:left="1440" w:header="720" w:footer="720" w:gutter="0"/>
          <w:cols w:space="720"/>
          <w:docGrid w:linePitch="360"/>
        </w:sectPr>
      </w:pPr>
    </w:p>
    <w:p w:rsidR="006B304C" w:rsidRDefault="006B304C" w:rsidP="006B304C">
      <w:r w:rsidRPr="00AD131A">
        <w:lastRenderedPageBreak/>
        <w:t xml:space="preserve">Table 1.  </w:t>
      </w:r>
      <w:r>
        <w:t>Commercial Sources and Physicochemical Properties of Metal Oxide NPs and MPs.</w:t>
      </w:r>
    </w:p>
    <w:tbl>
      <w:tblPr>
        <w:tblStyle w:val="LightShading-Accent3"/>
        <w:tblW w:w="11704" w:type="dxa"/>
        <w:tblLook w:val="04A0" w:firstRow="1" w:lastRow="0" w:firstColumn="1" w:lastColumn="0" w:noHBand="0" w:noVBand="1"/>
      </w:tblPr>
      <w:tblGrid>
        <w:gridCol w:w="783"/>
        <w:gridCol w:w="1974"/>
        <w:gridCol w:w="966"/>
        <w:gridCol w:w="1129"/>
        <w:gridCol w:w="1093"/>
        <w:gridCol w:w="1007"/>
        <w:gridCol w:w="1018"/>
        <w:gridCol w:w="789"/>
        <w:gridCol w:w="1315"/>
        <w:gridCol w:w="1630"/>
      </w:tblGrid>
      <w:tr w:rsidR="006B304C" w:rsidRPr="007D09E3" w:rsidTr="00E50463">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noWrap/>
          </w:tcPr>
          <w:p w:rsidR="006B304C" w:rsidRPr="007D09E3" w:rsidRDefault="006B304C" w:rsidP="00C22631">
            <w:pPr>
              <w:jc w:val="center"/>
              <w:rPr>
                <w:rFonts w:ascii="Calibri" w:eastAsia="Times New Roman" w:hAnsi="Calibri" w:cs="Times New Roman"/>
                <w:color w:val="FFFFFF" w:themeColor="background1"/>
              </w:rPr>
            </w:pPr>
          </w:p>
        </w:tc>
        <w:tc>
          <w:tcPr>
            <w:tcW w:w="1974" w:type="dxa"/>
            <w:tcBorders>
              <w:top w:val="nil"/>
              <w:bottom w:val="single" w:sz="8" w:space="0" w:color="auto"/>
            </w:tcBorders>
            <w:noWrap/>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966" w:type="dxa"/>
            <w:tcBorders>
              <w:top w:val="nil"/>
              <w:bottom w:val="single" w:sz="8" w:space="0" w:color="auto"/>
            </w:tcBorders>
            <w:noWrap/>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129"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093"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007"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018"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789"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315"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1630" w:type="dxa"/>
            <w:tcBorders>
              <w:top w:val="nil"/>
              <w:bottom w:val="single" w:sz="8" w:space="0" w:color="auto"/>
            </w:tcBorders>
          </w:tcPr>
          <w:p w:rsidR="006B304C" w:rsidRPr="007D09E3" w:rsidRDefault="006B304C" w:rsidP="00C22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nil"/>
              <w:right w:val="single" w:sz="8" w:space="0" w:color="auto"/>
            </w:tcBorders>
            <w:shd w:val="clear" w:color="auto" w:fill="F2F2F2" w:themeFill="background1" w:themeFillShade="F2"/>
            <w:vAlign w:val="center"/>
          </w:tcPr>
          <w:p w:rsidR="006B304C" w:rsidRPr="00ED4284" w:rsidRDefault="006B304C" w:rsidP="00C22631">
            <w:pPr>
              <w:jc w:val="center"/>
              <w:rPr>
                <w:rFonts w:ascii="Calibri" w:eastAsia="Times New Roman" w:hAnsi="Calibri" w:cs="Times New Roman"/>
                <w:color w:val="auto"/>
                <w:sz w:val="18"/>
                <w:szCs w:val="18"/>
              </w:rPr>
            </w:pPr>
            <w:r w:rsidRPr="00ED4284">
              <w:rPr>
                <w:rFonts w:ascii="Calibri" w:eastAsia="Times New Roman" w:hAnsi="Calibri" w:cs="Times New Roman"/>
                <w:color w:val="auto"/>
                <w:sz w:val="18"/>
                <w:szCs w:val="18"/>
              </w:rPr>
              <w:t>Particle</w:t>
            </w:r>
          </w:p>
        </w:tc>
        <w:tc>
          <w:tcPr>
            <w:tcW w:w="197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18"/>
                <w:szCs w:val="18"/>
              </w:rPr>
            </w:pPr>
            <w:r w:rsidRPr="00ED4284">
              <w:rPr>
                <w:rFonts w:ascii="Calibri" w:eastAsia="Times New Roman" w:hAnsi="Calibri" w:cs="Times New Roman"/>
                <w:b/>
                <w:color w:val="auto"/>
                <w:sz w:val="18"/>
                <w:szCs w:val="18"/>
              </w:rPr>
              <w:t>Source</w:t>
            </w:r>
          </w:p>
        </w:tc>
        <w:tc>
          <w:tcPr>
            <w:tcW w:w="96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18"/>
                <w:szCs w:val="18"/>
              </w:rPr>
            </w:pPr>
            <w:r w:rsidRPr="00ED4284">
              <w:rPr>
                <w:rFonts w:ascii="Calibri" w:eastAsia="Times New Roman" w:hAnsi="Calibri" w:cs="Times New Roman"/>
                <w:b/>
                <w:color w:val="auto"/>
                <w:sz w:val="18"/>
                <w:szCs w:val="18"/>
              </w:rPr>
              <w:t>Catalog Number</w:t>
            </w:r>
          </w:p>
        </w:tc>
        <w:tc>
          <w:tcPr>
            <w:tcW w:w="112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Lot Number</w:t>
            </w:r>
          </w:p>
        </w:tc>
        <w:tc>
          <w:tcPr>
            <w:tcW w:w="1093" w:type="dxa"/>
            <w:tcBorders>
              <w:top w:val="single" w:sz="8" w:space="0" w:color="auto"/>
              <w:left w:val="single" w:sz="8" w:space="0" w:color="auto"/>
              <w:bottom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Primary Particle Size (nm)</w:t>
            </w:r>
          </w:p>
        </w:tc>
        <w:tc>
          <w:tcPr>
            <w:tcW w:w="1007" w:type="dxa"/>
            <w:tcBorders>
              <w:top w:val="single" w:sz="8" w:space="0" w:color="auto"/>
              <w:bottom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Size Range (nm)</w:t>
            </w:r>
          </w:p>
        </w:tc>
        <w:tc>
          <w:tcPr>
            <w:tcW w:w="1018" w:type="dxa"/>
            <w:tcBorders>
              <w:top w:val="single" w:sz="8" w:space="0" w:color="auto"/>
              <w:bottom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Surface Area (m</w:t>
            </w:r>
            <w:r w:rsidRPr="00ED4284">
              <w:rPr>
                <w:rFonts w:ascii="Calibri" w:hAnsi="Calibri"/>
                <w:b/>
                <w:color w:val="auto"/>
                <w:sz w:val="18"/>
                <w:szCs w:val="18"/>
                <w:vertAlign w:val="superscript"/>
              </w:rPr>
              <w:t>2</w:t>
            </w:r>
            <w:r>
              <w:rPr>
                <w:rFonts w:ascii="Calibri" w:hAnsi="Calibri"/>
                <w:b/>
                <w:color w:val="auto"/>
                <w:sz w:val="18"/>
                <w:szCs w:val="18"/>
              </w:rPr>
              <w:t>/g</w:t>
            </w:r>
            <w:r w:rsidRPr="00ED4284">
              <w:rPr>
                <w:rFonts w:ascii="Calibri" w:hAnsi="Calibri"/>
                <w:b/>
                <w:color w:val="auto"/>
                <w:sz w:val="18"/>
                <w:szCs w:val="18"/>
              </w:rPr>
              <w:t>)</w:t>
            </w:r>
          </w:p>
        </w:tc>
        <w:tc>
          <w:tcPr>
            <w:tcW w:w="789" w:type="dxa"/>
            <w:tcBorders>
              <w:top w:val="single" w:sz="8" w:space="0" w:color="auto"/>
              <w:bottom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 Purity</w:t>
            </w:r>
          </w:p>
        </w:tc>
        <w:tc>
          <w:tcPr>
            <w:tcW w:w="1315" w:type="dxa"/>
            <w:tcBorders>
              <w:top w:val="single" w:sz="8" w:space="0" w:color="auto"/>
              <w:bottom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Crystal Form</w:t>
            </w:r>
          </w:p>
        </w:tc>
        <w:tc>
          <w:tcPr>
            <w:tcW w:w="1630" w:type="dxa"/>
            <w:tcBorders>
              <w:top w:val="single" w:sz="8" w:space="0" w:color="auto"/>
              <w:bottom w:val="single" w:sz="8" w:space="0" w:color="auto"/>
              <w:right w:val="single" w:sz="8" w:space="0" w:color="auto"/>
            </w:tcBorders>
            <w:shd w:val="clear" w:color="auto" w:fill="F2F2F2" w:themeFill="background1" w:themeFillShade="F2"/>
            <w:vAlign w:val="center"/>
          </w:tcPr>
          <w:p w:rsidR="006B304C" w:rsidRPr="00ED4284"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18"/>
                <w:szCs w:val="18"/>
              </w:rPr>
            </w:pPr>
            <w:r w:rsidRPr="00ED4284">
              <w:rPr>
                <w:rFonts w:ascii="Calibri" w:hAnsi="Calibri"/>
                <w:b/>
                <w:color w:val="auto"/>
                <w:sz w:val="18"/>
                <w:szCs w:val="18"/>
              </w:rPr>
              <w:t>Analytic Source</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left w:val="single" w:sz="8" w:space="0" w:color="auto"/>
              <w:bottom w:val="nil"/>
              <w:right w:val="single" w:sz="8" w:space="0" w:color="auto"/>
            </w:tcBorders>
            <w:shd w:val="clear" w:color="auto" w:fill="F2F2F2" w:themeFill="background1" w:themeFillShade="F2"/>
            <w:noWrap/>
            <w:vAlign w:val="center"/>
          </w:tcPr>
          <w:p w:rsidR="006B304C" w:rsidRPr="007D09E3" w:rsidRDefault="006B304C" w:rsidP="00C22631">
            <w:pPr>
              <w:jc w:val="center"/>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CeO</w:t>
            </w:r>
            <w:r w:rsidRPr="00220407">
              <w:rPr>
                <w:rFonts w:ascii="Calibri" w:eastAsia="Times New Roman" w:hAnsi="Calibri" w:cs="Times New Roman"/>
                <w:color w:val="000000"/>
                <w:sz w:val="18"/>
                <w:szCs w:val="18"/>
                <w:vertAlign w:val="subscript"/>
              </w:rPr>
              <w:t>2</w:t>
            </w: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Nanostructured &amp; Amorphous Materials, Inc.</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1406RE</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1406-111607</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r w:rsidRPr="00B321DF">
              <w:rPr>
                <w:rFonts w:ascii="Calibri" w:hAnsi="Calibri"/>
                <w:color w:val="000000"/>
                <w:sz w:val="18"/>
                <w:szCs w:val="18"/>
                <w:vertAlign w:val="superscript"/>
              </w:rPr>
              <w:t>a</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15-30</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30-50</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r>
              <w:rPr>
                <w:rFonts w:ascii="Calibri" w:hAnsi="Calibri"/>
                <w:color w:val="000000"/>
                <w:sz w:val="18"/>
                <w:szCs w:val="18"/>
                <w:vertAlign w:val="superscript"/>
              </w:rPr>
              <w:t>b</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noWrap/>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8</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5-13</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73.2</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cerianite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B321DF"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vertAlign w:val="superscript"/>
              </w:rPr>
            </w:pPr>
            <w:r w:rsidRPr="007D09E3">
              <w:rPr>
                <w:rFonts w:ascii="Calibri" w:hAnsi="Calibri"/>
                <w:color w:val="000000"/>
                <w:sz w:val="18"/>
                <w:szCs w:val="18"/>
              </w:rPr>
              <w:t>University of Kentucky</w:t>
            </w:r>
            <w:r>
              <w:rPr>
                <w:rFonts w:ascii="Calibri" w:hAnsi="Calibri"/>
                <w:color w:val="000000"/>
                <w:sz w:val="18"/>
                <w:szCs w:val="18"/>
                <w:vertAlign w:val="superscript"/>
              </w:rPr>
              <w:t>c</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NanoScale Corp.</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AC106-1000</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06-0115</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5.5</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≥50</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orbel" w:hAnsi="Corbel"/>
                <w:color w:val="000000"/>
                <w:sz w:val="18"/>
                <w:szCs w:val="18"/>
              </w:rPr>
              <w:t>&gt;</w:t>
            </w:r>
            <w:r w:rsidRPr="007D09E3">
              <w:rPr>
                <w:rFonts w:ascii="Calibri" w:hAnsi="Calibri"/>
                <w:color w:val="000000"/>
                <w:sz w:val="18"/>
                <w:szCs w:val="18"/>
              </w:rPr>
              <w:t>99.7</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7D09E3">
              <w:rPr>
                <w:rFonts w:ascii="Calibri" w:hAnsi="Calibri"/>
                <w:color w:val="000000"/>
                <w:sz w:val="18"/>
                <w:szCs w:val="18"/>
              </w:rPr>
              <w:t>cerianite</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4-6</w:t>
            </w:r>
          </w:p>
        </w:tc>
        <w:tc>
          <w:tcPr>
            <w:tcW w:w="1018" w:type="dxa"/>
            <w:tcBorders>
              <w:top w:val="nil"/>
              <w:bottom w:val="single" w:sz="8" w:space="0" w:color="auto"/>
            </w:tcBorders>
            <w:shd w:val="clear" w:color="auto" w:fill="BFBFBF" w:themeFill="background1" w:themeFillShade="BF"/>
            <w:vAlign w:val="center"/>
          </w:tcPr>
          <w:p w:rsidR="006B304C" w:rsidRPr="00B321DF"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vertAlign w:val="superscript"/>
              </w:rPr>
            </w:pPr>
            <w:r w:rsidRPr="007D09E3">
              <w:rPr>
                <w:rFonts w:ascii="Calibri" w:hAnsi="Calibri"/>
                <w:color w:val="000000"/>
                <w:sz w:val="18"/>
                <w:szCs w:val="18"/>
              </w:rPr>
              <w:t>ND</w:t>
            </w:r>
            <w:r>
              <w:rPr>
                <w:rFonts w:ascii="Calibri" w:hAnsi="Calibri"/>
                <w:color w:val="000000"/>
                <w:sz w:val="18"/>
                <w:szCs w:val="18"/>
                <w:vertAlign w:val="superscript"/>
              </w:rPr>
              <w:t>d</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96.13</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7D09E3">
              <w:rPr>
                <w:rFonts w:ascii="Calibri" w:hAnsi="Calibri"/>
                <w:color w:val="000000"/>
                <w:sz w:val="18"/>
                <w:szCs w:val="18"/>
              </w:rPr>
              <w:t>cerianite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nil"/>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Aldrich-Chemistry</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544841</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I19S022</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&lt;25</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6-80</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ND</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cerianite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nil"/>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Alfa Aesar</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44758</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F07R024</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70-105</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8-12</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69</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37-111</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7.35</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cerianite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nil"/>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nil"/>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Inframat Advance Materials</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58R-0803</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IMC271C03</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1000</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99.95</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uto"/>
              <w:bottom w:val="single" w:sz="8" w:space="0" w:color="auto"/>
              <w:right w:val="single" w:sz="8" w:space="0" w:color="auto"/>
            </w:tcBorders>
            <w:shd w:val="clear" w:color="auto" w:fill="F2F2F2" w:themeFill="background1" w:themeFillShade="F2"/>
            <w:vAlign w:val="center"/>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1288</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432-2753</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ND</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cerianite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6B304C" w:rsidRPr="007D09E3" w:rsidRDefault="006B304C" w:rsidP="00C22631">
            <w:pPr>
              <w:jc w:val="center"/>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TiO</w:t>
            </w:r>
            <w:r w:rsidRPr="00220407">
              <w:rPr>
                <w:rFonts w:ascii="Calibri" w:eastAsia="Times New Roman" w:hAnsi="Calibri" w:cs="Times New Roman"/>
                <w:color w:val="000000"/>
                <w:sz w:val="18"/>
                <w:szCs w:val="18"/>
                <w:vertAlign w:val="subscript"/>
              </w:rPr>
              <w:t>2</w:t>
            </w: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Alfa Aesar</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44690</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D20S003</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10</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100-130</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6</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5-8</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273</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97.4</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Alfa Aesar</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44690</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D22T034</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10</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100-130</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25</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6-60</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118</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98.8</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Degussa</w:t>
            </w:r>
          </w:p>
        </w:tc>
        <w:tc>
          <w:tcPr>
            <w:tcW w:w="966"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AEROXIDE TiO2 P25</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4165012298</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27.5</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14-64</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49</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95.1</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86% anatase</w:t>
            </w:r>
          </w:p>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14 % rutile</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31</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12-88</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52.9</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86% anatase</w:t>
            </w:r>
          </w:p>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14 % rutile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r w:rsidR="006B304C" w:rsidRPr="007D09E3" w:rsidTr="00E50463">
        <w:trPr>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Acros Organics</w:t>
            </w:r>
          </w:p>
        </w:tc>
        <w:tc>
          <w:tcPr>
            <w:tcW w:w="966" w:type="dxa"/>
            <w:vMerge w:val="restart"/>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7D09E3">
              <w:rPr>
                <w:rFonts w:ascii="Calibri" w:eastAsia="Times New Roman" w:hAnsi="Calibri" w:cs="Times New Roman"/>
                <w:color w:val="000000"/>
                <w:sz w:val="18"/>
                <w:szCs w:val="18"/>
              </w:rPr>
              <w:t>21358</w:t>
            </w:r>
          </w:p>
        </w:tc>
        <w:tc>
          <w:tcPr>
            <w:tcW w:w="1129" w:type="dxa"/>
            <w:vMerge w:val="restart"/>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A0075656</w:t>
            </w:r>
          </w:p>
        </w:tc>
        <w:tc>
          <w:tcPr>
            <w:tcW w:w="1093" w:type="dxa"/>
            <w:tcBorders>
              <w:top w:val="single" w:sz="8" w:space="0" w:color="auto"/>
              <w:left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200</w:t>
            </w:r>
          </w:p>
        </w:tc>
        <w:tc>
          <w:tcPr>
            <w:tcW w:w="1007"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018"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789"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1315" w:type="dxa"/>
            <w:tcBorders>
              <w:top w:val="single" w:sz="8" w:space="0" w:color="auto"/>
              <w:bottom w:val="nil"/>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single" w:sz="8" w:space="0" w:color="auto"/>
              <w:bottom w:val="nil"/>
              <w:right w:val="single" w:sz="8" w:space="0" w:color="auto"/>
            </w:tcBorders>
            <w:vAlign w:val="center"/>
          </w:tcPr>
          <w:p w:rsidR="006B304C" w:rsidRPr="007D09E3" w:rsidRDefault="006B304C" w:rsidP="00C2263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Vendor</w:t>
            </w:r>
          </w:p>
        </w:tc>
      </w:tr>
      <w:tr w:rsidR="00E50463" w:rsidRPr="007D09E3" w:rsidTr="00E504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uto"/>
              <w:bottom w:val="single" w:sz="8" w:space="0" w:color="auto"/>
              <w:right w:val="single" w:sz="8" w:space="0" w:color="auto"/>
            </w:tcBorders>
            <w:shd w:val="clear" w:color="auto" w:fill="F2F2F2" w:themeFill="background1" w:themeFillShade="F2"/>
          </w:tcPr>
          <w:p w:rsidR="006B304C" w:rsidRPr="007D09E3" w:rsidRDefault="006B304C" w:rsidP="00C22631">
            <w:pPr>
              <w:jc w:val="center"/>
              <w:rPr>
                <w:rFonts w:ascii="Calibri" w:eastAsia="Times New Roman" w:hAnsi="Calibri" w:cs="Times New Roman"/>
                <w:color w:val="000000"/>
                <w:sz w:val="18"/>
                <w:szCs w:val="18"/>
              </w:rPr>
            </w:pPr>
          </w:p>
        </w:tc>
        <w:tc>
          <w:tcPr>
            <w:tcW w:w="1974"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966" w:type="dxa"/>
            <w:vMerge/>
            <w:tcBorders>
              <w:top w:val="single" w:sz="8" w:space="0" w:color="auto"/>
              <w:left w:val="single" w:sz="8" w:space="0" w:color="auto"/>
              <w:bottom w:val="single" w:sz="8" w:space="0" w:color="auto"/>
              <w:right w:val="single" w:sz="8" w:space="0" w:color="auto"/>
            </w:tcBorders>
            <w:noWrap/>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1129" w:type="dxa"/>
            <w:vMerge/>
            <w:tcBorders>
              <w:top w:val="single" w:sz="8" w:space="0" w:color="auto"/>
              <w:left w:val="single" w:sz="8" w:space="0" w:color="auto"/>
              <w:bottom w:val="single" w:sz="8" w:space="0" w:color="auto"/>
              <w:right w:val="single" w:sz="8" w:space="0" w:color="auto"/>
            </w:tcBorders>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1093" w:type="dxa"/>
            <w:tcBorders>
              <w:top w:val="nil"/>
              <w:left w:val="single" w:sz="8" w:space="0" w:color="auto"/>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142</w:t>
            </w:r>
          </w:p>
        </w:tc>
        <w:tc>
          <w:tcPr>
            <w:tcW w:w="1007"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67-322</w:t>
            </w:r>
          </w:p>
        </w:tc>
        <w:tc>
          <w:tcPr>
            <w:tcW w:w="1018"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6.99</w:t>
            </w:r>
          </w:p>
        </w:tc>
        <w:tc>
          <w:tcPr>
            <w:tcW w:w="789"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99.9</w:t>
            </w:r>
          </w:p>
        </w:tc>
        <w:tc>
          <w:tcPr>
            <w:tcW w:w="1315" w:type="dxa"/>
            <w:tcBorders>
              <w:top w:val="nil"/>
              <w:bottom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anatase</w:t>
            </w:r>
          </w:p>
        </w:tc>
        <w:tc>
          <w:tcPr>
            <w:tcW w:w="1630" w:type="dxa"/>
            <w:tcBorders>
              <w:top w:val="nil"/>
              <w:bottom w:val="single" w:sz="8" w:space="0" w:color="auto"/>
              <w:right w:val="single" w:sz="8" w:space="0" w:color="auto"/>
            </w:tcBorders>
            <w:shd w:val="clear" w:color="auto" w:fill="BFBFBF" w:themeFill="background1" w:themeFillShade="BF"/>
            <w:vAlign w:val="center"/>
          </w:tcPr>
          <w:p w:rsidR="006B304C" w:rsidRPr="007D09E3" w:rsidRDefault="006B304C" w:rsidP="00C2263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7D09E3">
              <w:rPr>
                <w:rFonts w:ascii="Calibri" w:hAnsi="Calibri"/>
                <w:color w:val="000000"/>
                <w:sz w:val="18"/>
                <w:szCs w:val="18"/>
              </w:rPr>
              <w:t>University of Kentucky</w:t>
            </w:r>
          </w:p>
        </w:tc>
      </w:tr>
    </w:tbl>
    <w:p w:rsidR="006B304C" w:rsidRDefault="006B304C" w:rsidP="006B304C">
      <w:pPr>
        <w:spacing w:line="240" w:lineRule="auto"/>
        <w:rPr>
          <w:sz w:val="20"/>
          <w:szCs w:val="20"/>
        </w:rPr>
      </w:pPr>
    </w:p>
    <w:p w:rsidR="00E50463" w:rsidRDefault="00E50463" w:rsidP="006B304C">
      <w:pPr>
        <w:spacing w:line="240" w:lineRule="auto"/>
        <w:contextualSpacing/>
        <w:rPr>
          <w:sz w:val="20"/>
          <w:szCs w:val="20"/>
          <w:vertAlign w:val="superscript"/>
        </w:rPr>
        <w:sectPr w:rsidR="00E50463" w:rsidSect="00E50463">
          <w:pgSz w:w="15840" w:h="12240" w:orient="landscape"/>
          <w:pgMar w:top="1440" w:right="1440" w:bottom="1440" w:left="1440" w:header="720" w:footer="720" w:gutter="0"/>
          <w:cols w:space="720"/>
          <w:docGrid w:linePitch="360"/>
        </w:sect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E50463" w:rsidRDefault="00E50463" w:rsidP="006B304C">
      <w:pPr>
        <w:spacing w:line="240" w:lineRule="auto"/>
        <w:contextualSpacing/>
        <w:rPr>
          <w:sz w:val="20"/>
          <w:szCs w:val="20"/>
          <w:vertAlign w:val="superscript"/>
        </w:rPr>
      </w:pPr>
    </w:p>
    <w:p w:rsidR="006B304C" w:rsidRPr="005B20A9" w:rsidRDefault="006B304C" w:rsidP="006B304C">
      <w:pPr>
        <w:spacing w:line="240" w:lineRule="auto"/>
        <w:contextualSpacing/>
        <w:rPr>
          <w:sz w:val="20"/>
          <w:szCs w:val="20"/>
        </w:rPr>
      </w:pPr>
      <w:r w:rsidRPr="00B321DF">
        <w:rPr>
          <w:sz w:val="20"/>
          <w:szCs w:val="20"/>
          <w:vertAlign w:val="superscript"/>
        </w:rPr>
        <w:t>a</w:t>
      </w:r>
      <w:r>
        <w:rPr>
          <w:sz w:val="20"/>
          <w:szCs w:val="20"/>
        </w:rPr>
        <w:t xml:space="preserve">- </w:t>
      </w:r>
      <w:r w:rsidRPr="005B20A9">
        <w:rPr>
          <w:sz w:val="20"/>
          <w:szCs w:val="20"/>
        </w:rPr>
        <w:t>=</w:t>
      </w:r>
      <w:r>
        <w:rPr>
          <w:sz w:val="20"/>
          <w:szCs w:val="20"/>
        </w:rPr>
        <w:t xml:space="preserve"> </w:t>
      </w:r>
      <w:r w:rsidRPr="005B20A9">
        <w:rPr>
          <w:sz w:val="20"/>
          <w:szCs w:val="20"/>
        </w:rPr>
        <w:t>Not Provided by Vendor</w:t>
      </w:r>
    </w:p>
    <w:p w:rsidR="006B304C" w:rsidRDefault="006B304C" w:rsidP="006B304C">
      <w:pPr>
        <w:spacing w:line="240" w:lineRule="auto"/>
        <w:contextualSpacing/>
        <w:rPr>
          <w:sz w:val="20"/>
          <w:szCs w:val="20"/>
        </w:rPr>
      </w:pPr>
      <w:r w:rsidRPr="00B321DF">
        <w:rPr>
          <w:sz w:val="20"/>
          <w:szCs w:val="20"/>
          <w:vertAlign w:val="superscript"/>
        </w:rPr>
        <w:t>b</w:t>
      </w:r>
      <w:r>
        <w:rPr>
          <w:sz w:val="20"/>
          <w:szCs w:val="20"/>
        </w:rPr>
        <w:t>physicochemical properties provided by specific vendor</w:t>
      </w:r>
    </w:p>
    <w:p w:rsidR="006B304C" w:rsidRPr="00B321DF" w:rsidRDefault="006B304C" w:rsidP="006B304C">
      <w:pPr>
        <w:spacing w:line="240" w:lineRule="auto"/>
        <w:contextualSpacing/>
        <w:rPr>
          <w:sz w:val="20"/>
          <w:szCs w:val="20"/>
        </w:rPr>
      </w:pPr>
      <w:r>
        <w:rPr>
          <w:sz w:val="20"/>
          <w:szCs w:val="20"/>
          <w:vertAlign w:val="superscript"/>
        </w:rPr>
        <w:t>c</w:t>
      </w:r>
      <w:r>
        <w:rPr>
          <w:sz w:val="20"/>
          <w:szCs w:val="20"/>
        </w:rPr>
        <w:t>physiochemical properties determined by an independent analysis performed by the University of Kentucky</w:t>
      </w:r>
      <w:r w:rsidR="00717AF0">
        <w:rPr>
          <w:sz w:val="20"/>
          <w:szCs w:val="20"/>
        </w:rPr>
        <w:t xml:space="preserve"> </w:t>
      </w:r>
      <w:r w:rsidR="00717AF0" w:rsidRPr="00717AF0">
        <w:rPr>
          <w:sz w:val="20"/>
          <w:szCs w:val="20"/>
        </w:rPr>
        <w:t>(EPA contract# EPD08074)</w:t>
      </w:r>
    </w:p>
    <w:p w:rsidR="006B304C" w:rsidRDefault="006B304C" w:rsidP="006B304C">
      <w:pPr>
        <w:spacing w:line="240" w:lineRule="auto"/>
        <w:contextualSpacing/>
        <w:rPr>
          <w:sz w:val="20"/>
          <w:szCs w:val="20"/>
        </w:rPr>
      </w:pPr>
      <w:r>
        <w:rPr>
          <w:sz w:val="20"/>
          <w:szCs w:val="20"/>
          <w:vertAlign w:val="superscript"/>
        </w:rPr>
        <w:t>d</w:t>
      </w:r>
      <w:r>
        <w:rPr>
          <w:sz w:val="20"/>
          <w:szCs w:val="20"/>
        </w:rPr>
        <w:t>ND = Not Determined</w:t>
      </w:r>
    </w:p>
    <w:p w:rsidR="006B304C" w:rsidRDefault="006B304C" w:rsidP="009802BA">
      <w:pPr>
        <w:spacing w:line="480" w:lineRule="auto"/>
        <w:contextualSpacing/>
        <w:rPr>
          <w:b/>
        </w:rPr>
      </w:pPr>
    </w:p>
    <w:p w:rsidR="009802BA" w:rsidRPr="00DD56FB" w:rsidRDefault="00161461" w:rsidP="009802BA">
      <w:pPr>
        <w:spacing w:line="480" w:lineRule="auto"/>
        <w:contextualSpacing/>
        <w:rPr>
          <w:b/>
        </w:rPr>
      </w:pPr>
      <w:r>
        <w:rPr>
          <w:b/>
        </w:rPr>
        <w:t>Supplemental Methods and Information Related to the Dispersion Protocol</w:t>
      </w:r>
    </w:p>
    <w:p w:rsidR="00AF7CE7" w:rsidRDefault="00F84188" w:rsidP="009802BA">
      <w:pPr>
        <w:spacing w:line="480" w:lineRule="auto"/>
        <w:ind w:firstLine="720"/>
        <w:contextualSpacing/>
      </w:pPr>
      <w:r>
        <w:t>Prior to beginning experiments, th</w:t>
      </w:r>
      <w:r w:rsidR="00067118">
        <w:t>e optimal method for dispersing metal oxide</w:t>
      </w:r>
      <w:r w:rsidR="00F37097">
        <w:t xml:space="preserve"> nanoparticles</w:t>
      </w:r>
      <w:r w:rsidR="00067118">
        <w:t xml:space="preserve"> </w:t>
      </w:r>
      <w:r w:rsidR="00F37097">
        <w:t>(</w:t>
      </w:r>
      <w:r>
        <w:t>NPs</w:t>
      </w:r>
      <w:r w:rsidR="00F37097">
        <w:t>)</w:t>
      </w:r>
      <w:r>
        <w:t xml:space="preserve"> and </w:t>
      </w:r>
      <w:r w:rsidR="00F37097">
        <w:t>microparticles (</w:t>
      </w:r>
      <w:r>
        <w:t>MPs</w:t>
      </w:r>
      <w:r w:rsidR="00F37097">
        <w:t>)</w:t>
      </w:r>
      <w:r>
        <w:t xml:space="preserve"> </w:t>
      </w:r>
      <w:r w:rsidR="00067118">
        <w:t>in Ne</w:t>
      </w:r>
      <w:r w:rsidR="00961CEF">
        <w:t>u</w:t>
      </w:r>
      <w:r w:rsidR="00067118">
        <w:t>robasal A medium using</w:t>
      </w:r>
      <w:r>
        <w:t xml:space="preserve"> probe sonication was determined</w:t>
      </w:r>
      <w:r w:rsidR="00B463AD">
        <w:t xml:space="preserve">.  </w:t>
      </w:r>
      <w:r w:rsidR="00D86F70">
        <w:t>D</w:t>
      </w:r>
      <w:r w:rsidR="008656EF">
        <w:t>ispersion sonication</w:t>
      </w:r>
      <w:r w:rsidR="00622DC3" w:rsidRPr="001009C3">
        <w:t xml:space="preserve"> parameters often need to be adapted for different particle types, media typ</w:t>
      </w:r>
      <w:r w:rsidR="00067118">
        <w:t>es, and endpoints of interest</w:t>
      </w:r>
      <w:r w:rsidR="00D86F70">
        <w:t xml:space="preserve">; therefore, a standardized procedure for dispersing all types of NPs does not currently exist. </w:t>
      </w:r>
      <w:r w:rsidR="00B463AD" w:rsidRPr="00D86F70">
        <w:t>However</w:t>
      </w:r>
      <w:r w:rsidR="00AF7CE7">
        <w:t xml:space="preserve">, several </w:t>
      </w:r>
      <w:r w:rsidR="00D86F70" w:rsidRPr="00D86F70">
        <w:t>studies have</w:t>
      </w:r>
      <w:r w:rsidR="00DD56FB">
        <w:t xml:space="preserve"> been conducted to determine various dispersion parameters (method of sonication, sonication times and output, use of biological surfactants, ect.) that that may be altered to achieve the optimal dispersion of </w:t>
      </w:r>
      <w:r w:rsidR="00D86F70" w:rsidRPr="00D86F70">
        <w:t>metal oxide NPs for toxicological studies</w:t>
      </w:r>
      <w:r w:rsidR="00D86F70">
        <w:t xml:space="preserve">, and </w:t>
      </w:r>
      <w:r w:rsidR="00AF7CE7">
        <w:t>the results of those studies</w:t>
      </w:r>
      <w:r w:rsidR="00F37097" w:rsidRPr="00F37097">
        <w:t xml:space="preserve"> </w:t>
      </w:r>
      <w:r w:rsidR="00F37097">
        <w:t>(</w:t>
      </w:r>
      <w:r w:rsidR="00F37097" w:rsidRPr="00D86F70">
        <w:t xml:space="preserve">Jiang et al., 2009; Meibner et al., 2014; Wu et </w:t>
      </w:r>
      <w:r w:rsidR="00F37097">
        <w:t>al., 2014; Dickson et al., 2012;</w:t>
      </w:r>
      <w:r w:rsidR="00F37097" w:rsidRPr="00D86F70">
        <w:t xml:space="preserve"> Nanommune</w:t>
      </w:r>
      <w:r w:rsidR="00F37097">
        <w:t>,</w:t>
      </w:r>
      <w:r w:rsidR="00F37097" w:rsidRPr="00D86F70">
        <w:t xml:space="preserve"> 2011)</w:t>
      </w:r>
      <w:r w:rsidR="00AF7CE7">
        <w:t xml:space="preserve"> were used as a guide in the development and selection of our optimal protocol</w:t>
      </w:r>
      <w:r w:rsidR="00D86F70" w:rsidRPr="00D86F70">
        <w:t xml:space="preserve">. </w:t>
      </w:r>
      <w:r w:rsidR="003E780E">
        <w:t>We shou</w:t>
      </w:r>
      <w:r w:rsidR="000250AC">
        <w:t>l</w:t>
      </w:r>
      <w:r w:rsidR="003E780E">
        <w:t>d note that, since our experiments were conducted, newer dispersion protocols have been published (Cohen et al., 2014; Pal et al., 2014) that generate better monodisperse and more stable dispersions over the methods used here.</w:t>
      </w:r>
    </w:p>
    <w:p w:rsidR="00906379" w:rsidRDefault="00AF7CE7" w:rsidP="009802BA">
      <w:pPr>
        <w:spacing w:line="480" w:lineRule="auto"/>
        <w:ind w:firstLine="720"/>
        <w:contextualSpacing/>
        <w:rPr>
          <w:szCs w:val="24"/>
        </w:rPr>
      </w:pPr>
      <w:r>
        <w:lastRenderedPageBreak/>
        <w:t>H</w:t>
      </w:r>
      <w:r w:rsidR="0033295D">
        <w:t xml:space="preserve">ow </w:t>
      </w:r>
      <w:r w:rsidR="000832D1" w:rsidRPr="001009C3">
        <w:rPr>
          <w:szCs w:val="24"/>
        </w:rPr>
        <w:t>the particles</w:t>
      </w:r>
      <w:r w:rsidR="0033295D">
        <w:rPr>
          <w:szCs w:val="24"/>
        </w:rPr>
        <w:t xml:space="preserve"> were </w:t>
      </w:r>
      <w:r w:rsidR="0033295D" w:rsidRPr="001009C3">
        <w:rPr>
          <w:szCs w:val="24"/>
        </w:rPr>
        <w:t>dispersed</w:t>
      </w:r>
      <w:r w:rsidR="000832D1" w:rsidRPr="001009C3">
        <w:rPr>
          <w:szCs w:val="24"/>
        </w:rPr>
        <w:t xml:space="preserve"> </w:t>
      </w:r>
      <w:r w:rsidR="00067118">
        <w:rPr>
          <w:szCs w:val="24"/>
        </w:rPr>
        <w:t>was particul</w:t>
      </w:r>
      <w:r>
        <w:rPr>
          <w:szCs w:val="24"/>
        </w:rPr>
        <w:t>arly important in this study, b</w:t>
      </w:r>
      <w:r w:rsidR="000832D1" w:rsidRPr="001009C3">
        <w:rPr>
          <w:szCs w:val="24"/>
        </w:rPr>
        <w:t>ecause we are primarily interested in the development of an assay based on neuronal function</w:t>
      </w:r>
      <w:r>
        <w:rPr>
          <w:szCs w:val="24"/>
        </w:rPr>
        <w:t>.  Thus, when</w:t>
      </w:r>
      <w:r w:rsidR="00067118">
        <w:rPr>
          <w:szCs w:val="24"/>
        </w:rPr>
        <w:t xml:space="preserve"> </w:t>
      </w:r>
      <w:r>
        <w:rPr>
          <w:szCs w:val="24"/>
        </w:rPr>
        <w:t>optimizing</w:t>
      </w:r>
      <w:r w:rsidR="000832D1" w:rsidRPr="001009C3">
        <w:rPr>
          <w:szCs w:val="24"/>
        </w:rPr>
        <w:t xml:space="preserve"> our protocol</w:t>
      </w:r>
      <w:r>
        <w:rPr>
          <w:szCs w:val="24"/>
        </w:rPr>
        <w:t>, not only</w:t>
      </w:r>
      <w:r w:rsidR="0033295D">
        <w:rPr>
          <w:szCs w:val="24"/>
        </w:rPr>
        <w:t xml:space="preserve"> did we have to</w:t>
      </w:r>
      <w:r w:rsidR="000832D1" w:rsidRPr="001009C3">
        <w:rPr>
          <w:szCs w:val="24"/>
        </w:rPr>
        <w:t xml:space="preserve"> ensure we had “nanosized” p</w:t>
      </w:r>
      <w:r w:rsidR="001C6232">
        <w:rPr>
          <w:szCs w:val="24"/>
        </w:rPr>
        <w:t>articles in our dispersions,</w:t>
      </w:r>
      <w:r w:rsidR="000832D1" w:rsidRPr="001009C3">
        <w:rPr>
          <w:szCs w:val="24"/>
        </w:rPr>
        <w:t xml:space="preserve"> we also had to be mindful no</w:t>
      </w:r>
      <w:r w:rsidR="00622DC3" w:rsidRPr="001009C3">
        <w:rPr>
          <w:szCs w:val="24"/>
        </w:rPr>
        <w:t>t to include anything in our</w:t>
      </w:r>
      <w:r w:rsidR="000832D1" w:rsidRPr="001009C3">
        <w:rPr>
          <w:szCs w:val="24"/>
        </w:rPr>
        <w:t xml:space="preserve"> </w:t>
      </w:r>
      <w:r w:rsidR="00961CEF">
        <w:rPr>
          <w:szCs w:val="24"/>
        </w:rPr>
        <w:t>dispersion media (</w:t>
      </w:r>
      <w:r w:rsidR="000832D1" w:rsidRPr="001009C3">
        <w:rPr>
          <w:szCs w:val="24"/>
        </w:rPr>
        <w:t>DM</w:t>
      </w:r>
      <w:r w:rsidR="00961CEF">
        <w:rPr>
          <w:szCs w:val="24"/>
        </w:rPr>
        <w:t>)</w:t>
      </w:r>
      <w:r w:rsidR="000832D1" w:rsidRPr="001009C3">
        <w:rPr>
          <w:szCs w:val="24"/>
        </w:rPr>
        <w:t xml:space="preserve"> that would cause a significant positive or negative effect on neuronal network function.  </w:t>
      </w:r>
      <w:r w:rsidR="00961CEF">
        <w:rPr>
          <w:szCs w:val="24"/>
        </w:rPr>
        <w:t>The paragraphs below provide a summary of the most important issues considered during the</w:t>
      </w:r>
      <w:r w:rsidR="000832D1" w:rsidRPr="001009C3">
        <w:rPr>
          <w:szCs w:val="24"/>
        </w:rPr>
        <w:t xml:space="preserve"> optimization of our </w:t>
      </w:r>
      <w:r w:rsidR="000B547E">
        <w:rPr>
          <w:szCs w:val="24"/>
        </w:rPr>
        <w:t>particle</w:t>
      </w:r>
      <w:r w:rsidR="000832D1" w:rsidRPr="001009C3">
        <w:rPr>
          <w:szCs w:val="24"/>
        </w:rPr>
        <w:t xml:space="preserve"> dispersion protocol prior to beginning experiments.  </w:t>
      </w:r>
    </w:p>
    <w:p w:rsidR="008438DD" w:rsidRPr="001009C3" w:rsidRDefault="008438DD" w:rsidP="009802BA">
      <w:pPr>
        <w:spacing w:line="480" w:lineRule="auto"/>
        <w:ind w:firstLine="720"/>
        <w:contextualSpacing/>
        <w:rPr>
          <w:szCs w:val="24"/>
        </w:rPr>
      </w:pPr>
      <w:r>
        <w:rPr>
          <w:szCs w:val="24"/>
        </w:rPr>
        <w:t>Specific e</w:t>
      </w:r>
      <w:r w:rsidRPr="001009C3">
        <w:rPr>
          <w:szCs w:val="24"/>
        </w:rPr>
        <w:t xml:space="preserve">xamples of the types of modifications made to the DM are detailed in Supplementary Table </w:t>
      </w:r>
      <w:r w:rsidR="006B304C">
        <w:rPr>
          <w:szCs w:val="24"/>
        </w:rPr>
        <w:t>2</w:t>
      </w:r>
      <w:r w:rsidRPr="001009C3">
        <w:rPr>
          <w:szCs w:val="24"/>
        </w:rPr>
        <w:t xml:space="preserve"> for 8 nm CeO</w:t>
      </w:r>
      <w:r w:rsidRPr="001009C3">
        <w:rPr>
          <w:szCs w:val="24"/>
          <w:vertAlign w:val="subscript"/>
        </w:rPr>
        <w:t>2</w:t>
      </w:r>
      <w:r w:rsidRPr="001009C3">
        <w:rPr>
          <w:szCs w:val="24"/>
        </w:rPr>
        <w:t xml:space="preserve"> with the optimal protocol in red</w:t>
      </w:r>
      <w:r w:rsidR="0002013C">
        <w:rPr>
          <w:szCs w:val="24"/>
        </w:rPr>
        <w:t xml:space="preserve"> (line 2)</w:t>
      </w:r>
      <w:r w:rsidRPr="001009C3">
        <w:rPr>
          <w:szCs w:val="24"/>
        </w:rPr>
        <w:t xml:space="preserve">.  </w:t>
      </w:r>
      <w:r>
        <w:rPr>
          <w:szCs w:val="24"/>
        </w:rPr>
        <w:t xml:space="preserve">While data </w:t>
      </w:r>
      <w:r w:rsidR="00961CEF">
        <w:rPr>
          <w:szCs w:val="24"/>
        </w:rPr>
        <w:t>are</w:t>
      </w:r>
      <w:r>
        <w:rPr>
          <w:szCs w:val="24"/>
        </w:rPr>
        <w:t xml:space="preserve"> not provided for all particles used in this study, the different approaches and variations</w:t>
      </w:r>
      <w:r w:rsidR="00906379">
        <w:rPr>
          <w:szCs w:val="24"/>
        </w:rPr>
        <w:t xml:space="preserve"> specified in Supplementary Table 1</w:t>
      </w:r>
      <w:r>
        <w:rPr>
          <w:szCs w:val="24"/>
        </w:rPr>
        <w:t xml:space="preserve"> were attempted for all nine particles.  </w:t>
      </w:r>
      <w:r w:rsidRPr="001009C3">
        <w:rPr>
          <w:szCs w:val="24"/>
        </w:rPr>
        <w:t xml:space="preserve">In the paragraphs that follow, </w:t>
      </w:r>
      <w:r w:rsidR="00573EB3">
        <w:rPr>
          <w:szCs w:val="24"/>
        </w:rPr>
        <w:t xml:space="preserve">a few examples </w:t>
      </w:r>
      <w:r w:rsidRPr="001009C3">
        <w:rPr>
          <w:szCs w:val="24"/>
        </w:rPr>
        <w:t>of</w:t>
      </w:r>
      <w:r w:rsidR="00573EB3">
        <w:rPr>
          <w:szCs w:val="24"/>
        </w:rPr>
        <w:t xml:space="preserve"> the </w:t>
      </w:r>
      <w:r w:rsidRPr="001009C3">
        <w:rPr>
          <w:szCs w:val="24"/>
        </w:rPr>
        <w:t>different dispers</w:t>
      </w:r>
      <w:r w:rsidR="00906379">
        <w:rPr>
          <w:szCs w:val="24"/>
        </w:rPr>
        <w:t>ion approaches and variations that were</w:t>
      </w:r>
      <w:r w:rsidRPr="001009C3">
        <w:rPr>
          <w:szCs w:val="24"/>
        </w:rPr>
        <w:t xml:space="preserve"> attempted</w:t>
      </w:r>
      <w:r w:rsidR="00573EB3">
        <w:rPr>
          <w:szCs w:val="24"/>
        </w:rPr>
        <w:t xml:space="preserve"> will be outlined</w:t>
      </w:r>
      <w:r w:rsidRPr="001009C3">
        <w:rPr>
          <w:szCs w:val="24"/>
        </w:rPr>
        <w:t>.</w:t>
      </w:r>
      <w:r>
        <w:rPr>
          <w:szCs w:val="24"/>
        </w:rPr>
        <w:t xml:space="preserve">  </w:t>
      </w:r>
    </w:p>
    <w:p w:rsidR="00E86E63" w:rsidRDefault="00DD56FB" w:rsidP="009802BA">
      <w:pPr>
        <w:spacing w:line="480" w:lineRule="auto"/>
        <w:ind w:firstLine="720"/>
        <w:contextualSpacing/>
        <w:rPr>
          <w:szCs w:val="24"/>
        </w:rPr>
      </w:pPr>
      <w:r>
        <w:rPr>
          <w:szCs w:val="24"/>
        </w:rPr>
        <w:t>Commonly, b</w:t>
      </w:r>
      <w:r w:rsidR="000832D1" w:rsidRPr="001009C3">
        <w:rPr>
          <w:szCs w:val="24"/>
        </w:rPr>
        <w:t>iological surfa</w:t>
      </w:r>
      <w:r>
        <w:rPr>
          <w:szCs w:val="24"/>
        </w:rPr>
        <w:t>ctants are</w:t>
      </w:r>
      <w:r w:rsidR="000832D1" w:rsidRPr="001009C3">
        <w:rPr>
          <w:szCs w:val="24"/>
        </w:rPr>
        <w:t xml:space="preserve"> included in DM (Sharma, 2011; Ige et al., 2013; Wu et al., 2014; Sager et a</w:t>
      </w:r>
      <w:r w:rsidR="000B547E">
        <w:rPr>
          <w:szCs w:val="24"/>
        </w:rPr>
        <w:t xml:space="preserve">l., </w:t>
      </w:r>
      <w:r w:rsidR="00CC4B0C">
        <w:rPr>
          <w:szCs w:val="24"/>
        </w:rPr>
        <w:t>2007; Porter et al., 2008) and</w:t>
      </w:r>
      <w:r w:rsidR="000B547E">
        <w:rPr>
          <w:szCs w:val="24"/>
        </w:rPr>
        <w:t xml:space="preserve"> p</w:t>
      </w:r>
      <w:r w:rsidR="000832D1" w:rsidRPr="001009C3">
        <w:rPr>
          <w:szCs w:val="24"/>
        </w:rPr>
        <w:t xml:space="preserve">reliminary </w:t>
      </w:r>
      <w:r w:rsidR="00F37097">
        <w:rPr>
          <w:szCs w:val="24"/>
        </w:rPr>
        <w:t xml:space="preserve">dispersion </w:t>
      </w:r>
      <w:r w:rsidR="000832D1" w:rsidRPr="001009C3">
        <w:rPr>
          <w:szCs w:val="24"/>
        </w:rPr>
        <w:t xml:space="preserve">protocols included a commonly used </w:t>
      </w:r>
      <w:r w:rsidR="000832D1" w:rsidRPr="001009C3">
        <w:rPr>
          <w:rFonts w:cs="Times New Roman"/>
          <w:szCs w:val="24"/>
        </w:rPr>
        <w:t xml:space="preserve">surfactant, </w:t>
      </w:r>
      <w:r w:rsidR="000832D1" w:rsidRPr="001009C3">
        <w:rPr>
          <w:rFonts w:cs="Times New Roman"/>
          <w:bCs/>
          <w:szCs w:val="24"/>
          <w:shd w:val="clear" w:color="auto" w:fill="FFFFFF"/>
        </w:rPr>
        <w:t>dipalmitoylphosphatidylcholine</w:t>
      </w:r>
      <w:r w:rsidR="000832D1" w:rsidRPr="001009C3">
        <w:rPr>
          <w:rStyle w:val="apple-converted-space"/>
          <w:rFonts w:cs="Times New Roman"/>
          <w:sz w:val="21"/>
          <w:szCs w:val="21"/>
          <w:shd w:val="clear" w:color="auto" w:fill="FFFFFF"/>
        </w:rPr>
        <w:t> (</w:t>
      </w:r>
      <w:r w:rsidR="000B547E">
        <w:rPr>
          <w:rFonts w:cs="Times New Roman"/>
          <w:szCs w:val="24"/>
        </w:rPr>
        <w:t>DPPC). However, DPPC</w:t>
      </w:r>
      <w:r w:rsidR="000832D1" w:rsidRPr="001009C3">
        <w:rPr>
          <w:szCs w:val="24"/>
        </w:rPr>
        <w:t xml:space="preserve"> caused increases in neuronal firing (data not shown)</w:t>
      </w:r>
      <w:r w:rsidR="000B547E">
        <w:rPr>
          <w:szCs w:val="24"/>
        </w:rPr>
        <w:t xml:space="preserve"> on its own.</w:t>
      </w:r>
      <w:r w:rsidR="000832D1" w:rsidRPr="001009C3">
        <w:rPr>
          <w:szCs w:val="24"/>
        </w:rPr>
        <w:t xml:space="preserve"> </w:t>
      </w:r>
      <w:r w:rsidR="000B547E">
        <w:rPr>
          <w:szCs w:val="24"/>
        </w:rPr>
        <w:t>T</w:t>
      </w:r>
      <w:r w:rsidR="000832D1" w:rsidRPr="001009C3">
        <w:rPr>
          <w:szCs w:val="24"/>
        </w:rPr>
        <w:t xml:space="preserve">hus, </w:t>
      </w:r>
      <w:r w:rsidR="000250AC">
        <w:rPr>
          <w:szCs w:val="24"/>
        </w:rPr>
        <w:t>because it interfered with network function,</w:t>
      </w:r>
      <w:r w:rsidR="000250AC" w:rsidRPr="001009C3">
        <w:rPr>
          <w:szCs w:val="24"/>
        </w:rPr>
        <w:t xml:space="preserve"> </w:t>
      </w:r>
      <w:r w:rsidR="000832D1" w:rsidRPr="001009C3">
        <w:rPr>
          <w:szCs w:val="24"/>
        </w:rPr>
        <w:t>DPPC was not included in the final DM protocol even though its inclusion gave better dispersions tha</w:t>
      </w:r>
      <w:r w:rsidR="00961CEF">
        <w:rPr>
          <w:szCs w:val="24"/>
        </w:rPr>
        <w:t>n</w:t>
      </w:r>
      <w:r w:rsidR="000832D1" w:rsidRPr="001009C3">
        <w:rPr>
          <w:szCs w:val="24"/>
        </w:rPr>
        <w:t xml:space="preserve"> FBS alone.  After removing DPPC from the DM protocol, several different iterations of dispersion media (i</w:t>
      </w:r>
      <w:r w:rsidR="001C6232">
        <w:rPr>
          <w:szCs w:val="24"/>
        </w:rPr>
        <w:t>.</w:t>
      </w:r>
      <w:r w:rsidR="000832D1" w:rsidRPr="001009C3">
        <w:rPr>
          <w:szCs w:val="24"/>
        </w:rPr>
        <w:t>e. changes in sonication time, concentration of heat inactivated serum, stock concentration of particle, temperature, e</w:t>
      </w:r>
      <w:r w:rsidR="00961CEF">
        <w:rPr>
          <w:szCs w:val="24"/>
        </w:rPr>
        <w:t>t</w:t>
      </w:r>
      <w:r w:rsidR="000832D1" w:rsidRPr="001009C3">
        <w:rPr>
          <w:szCs w:val="24"/>
        </w:rPr>
        <w:t>c.) w</w:t>
      </w:r>
      <w:r w:rsidR="00F84188">
        <w:rPr>
          <w:szCs w:val="24"/>
        </w:rPr>
        <w:t>ere attempted before determining</w:t>
      </w:r>
      <w:r w:rsidR="000832D1" w:rsidRPr="001009C3">
        <w:rPr>
          <w:szCs w:val="24"/>
        </w:rPr>
        <w:t xml:space="preserve"> the </w:t>
      </w:r>
      <w:r w:rsidR="000832D1" w:rsidRPr="00F84188">
        <w:rPr>
          <w:szCs w:val="24"/>
        </w:rPr>
        <w:t>protocol that was optimal for our experimental design</w:t>
      </w:r>
      <w:r w:rsidR="00F84188">
        <w:rPr>
          <w:szCs w:val="24"/>
        </w:rPr>
        <w:t>.</w:t>
      </w:r>
      <w:r w:rsidR="0033295D">
        <w:rPr>
          <w:szCs w:val="24"/>
        </w:rPr>
        <w:t xml:space="preserve">  </w:t>
      </w:r>
    </w:p>
    <w:p w:rsidR="00AF3000" w:rsidRDefault="00573EB3" w:rsidP="009802BA">
      <w:pPr>
        <w:spacing w:line="480" w:lineRule="auto"/>
        <w:ind w:firstLine="720"/>
        <w:contextualSpacing/>
      </w:pPr>
      <w:r>
        <w:rPr>
          <w:szCs w:val="24"/>
        </w:rPr>
        <w:lastRenderedPageBreak/>
        <w:t>R</w:t>
      </w:r>
      <w:r w:rsidR="00AF3000">
        <w:rPr>
          <w:szCs w:val="24"/>
        </w:rPr>
        <w:t xml:space="preserve">egarding temperature and output variations, </w:t>
      </w:r>
      <w:r w:rsidR="0033295D">
        <w:rPr>
          <w:szCs w:val="24"/>
        </w:rPr>
        <w:t xml:space="preserve">because it is known that </w:t>
      </w:r>
      <w:r w:rsidR="008656EF">
        <w:t>high sonication</w:t>
      </w:r>
      <w:r w:rsidR="0033295D" w:rsidRPr="0033295D">
        <w:t xml:space="preserve"> output levels (i</w:t>
      </w:r>
      <w:r w:rsidR="007F6807">
        <w:t>n conjunction with time) used during</w:t>
      </w:r>
      <w:r w:rsidR="0033295D" w:rsidRPr="0033295D">
        <w:t xml:space="preserve"> probe sonication cause an increase in temperature, prior to selecting the optimal dispersion method, changes in temperature</w:t>
      </w:r>
      <w:r w:rsidR="0033295D">
        <w:t xml:space="preserve"> at different levels of output were assessed</w:t>
      </w:r>
      <w:r w:rsidR="0033295D" w:rsidRPr="0033295D">
        <w:t xml:space="preserve"> using </w:t>
      </w:r>
      <w:r w:rsidR="0033295D">
        <w:t xml:space="preserve">a thermometer.  As </w:t>
      </w:r>
      <w:r w:rsidR="00AE631E">
        <w:t xml:space="preserve">shown in Supplementary Table </w:t>
      </w:r>
      <w:r w:rsidR="006B304C">
        <w:t>2</w:t>
      </w:r>
      <w:r w:rsidR="00AE631E">
        <w:t>, sonicat</w:t>
      </w:r>
      <w:r w:rsidR="00961CEF">
        <w:t>i</w:t>
      </w:r>
      <w:r w:rsidR="00AE631E">
        <w:t>ons were pe</w:t>
      </w:r>
      <w:r w:rsidR="00961CEF">
        <w:t>r</w:t>
      </w:r>
      <w:r w:rsidR="00AE631E">
        <w:t>formed on ice (7</w:t>
      </w:r>
      <w:r w:rsidR="00AE631E">
        <w:rPr>
          <w:rFonts w:cs="Times New Roman"/>
        </w:rPr>
        <w:t>°</w:t>
      </w:r>
      <w:r w:rsidR="00AE631E">
        <w:t>C), in an ice/water bath mix (16</w:t>
      </w:r>
      <w:r w:rsidR="00AE631E">
        <w:rPr>
          <w:rFonts w:cs="Times New Roman"/>
        </w:rPr>
        <w:t>°</w:t>
      </w:r>
      <w:r w:rsidR="00AE631E">
        <w:t>C) and at room temperature (22-26</w:t>
      </w:r>
      <w:r w:rsidR="00AE631E">
        <w:rPr>
          <w:rFonts w:cs="Times New Roman"/>
        </w:rPr>
        <w:t>°</w:t>
      </w:r>
      <w:r w:rsidR="00AE631E">
        <w:t>C).  Based on the DLS results, the sonications pe</w:t>
      </w:r>
      <w:r w:rsidR="00961CEF">
        <w:t>r</w:t>
      </w:r>
      <w:r w:rsidR="00AE631E">
        <w:t>formed at room</w:t>
      </w:r>
      <w:r w:rsidR="00E86E63">
        <w:t xml:space="preserve"> temperature yielded</w:t>
      </w:r>
      <w:r w:rsidR="00AE631E">
        <w:t xml:space="preserve"> a larger </w:t>
      </w:r>
      <w:r w:rsidR="00961CEF">
        <w:t>percentage (</w:t>
      </w:r>
      <w:r w:rsidR="00AE631E">
        <w:t>by number</w:t>
      </w:r>
      <w:r w:rsidR="00961CEF">
        <w:t>;</w:t>
      </w:r>
      <w:r w:rsidR="00AE631E">
        <w:t xml:space="preserve"> 94.5 %; </w:t>
      </w:r>
      <w:r w:rsidR="001253DD">
        <w:t>~2X more than sonic</w:t>
      </w:r>
      <w:r w:rsidR="00E86E63">
        <w:t>ations pe</w:t>
      </w:r>
      <w:r w:rsidR="00961CEF">
        <w:t>r</w:t>
      </w:r>
      <w:r w:rsidR="00E86E63">
        <w:t>formed on ice) of 8 nm CeO</w:t>
      </w:r>
      <w:r w:rsidR="00E86E63" w:rsidRPr="00E86E63">
        <w:rPr>
          <w:vertAlign w:val="subscript"/>
        </w:rPr>
        <w:t>2</w:t>
      </w:r>
      <w:r w:rsidR="00E86E63">
        <w:t xml:space="preserve"> particles that were </w:t>
      </w:r>
      <w:r w:rsidR="00E86E63">
        <w:rPr>
          <w:rFonts w:ascii="Corbel" w:hAnsi="Corbel"/>
        </w:rPr>
        <w:t>&lt;</w:t>
      </w:r>
      <w:r w:rsidR="00E86E63">
        <w:t>100 nm in size</w:t>
      </w:r>
      <w:r w:rsidR="00AF3000">
        <w:t>, or “nano-sized”</w:t>
      </w:r>
      <w:r w:rsidR="00E86E63">
        <w:t xml:space="preserve">.  Thus, this start temperature was selected for use in this study.  </w:t>
      </w:r>
      <w:r w:rsidR="00AF3000">
        <w:t>Different probe s</w:t>
      </w:r>
      <w:r w:rsidR="00E86E63">
        <w:t>onication times of 2x1</w:t>
      </w:r>
      <w:r w:rsidR="00D940FF">
        <w:t xml:space="preserve"> min</w:t>
      </w:r>
      <w:r w:rsidR="00E86E63">
        <w:t xml:space="preserve"> and 2x2</w:t>
      </w:r>
      <w:r w:rsidR="00D940FF">
        <w:t xml:space="preserve"> min</w:t>
      </w:r>
      <w:r w:rsidR="00E86E63">
        <w:t xml:space="preserve"> were also compared at the same output</w:t>
      </w:r>
      <w:r w:rsidR="00AF3000">
        <w:t xml:space="preserve"> level</w:t>
      </w:r>
      <w:r w:rsidR="00E86E63">
        <w:t xml:space="preserve"> and start temperatures.  As shown in Supplementary Table 1, for 8 nm CeO</w:t>
      </w:r>
      <w:r w:rsidR="00E86E63" w:rsidRPr="00E86E63">
        <w:rPr>
          <w:vertAlign w:val="subscript"/>
        </w:rPr>
        <w:t>2</w:t>
      </w:r>
      <w:r w:rsidR="00E86E63">
        <w:t>, the 2x2</w:t>
      </w:r>
      <w:r w:rsidR="003B6438">
        <w:t xml:space="preserve"> min</w:t>
      </w:r>
      <w:r w:rsidR="00E86E63">
        <w:t xml:space="preserve"> dispersion variation gave a much better dispersion than 2x1</w:t>
      </w:r>
      <w:r w:rsidR="00D940FF">
        <w:t xml:space="preserve"> min</w:t>
      </w:r>
      <w:r w:rsidR="00E86E63">
        <w:t xml:space="preserve"> at ~6-8 output watts</w:t>
      </w:r>
      <w:r w:rsidR="000B547E">
        <w:t>, and the temperature remained below 60</w:t>
      </w:r>
      <w:r w:rsidR="000B547E">
        <w:rPr>
          <w:rFonts w:cs="Times New Roman"/>
        </w:rPr>
        <w:t>º</w:t>
      </w:r>
      <w:r w:rsidR="000B547E">
        <w:t>C</w:t>
      </w:r>
      <w:r w:rsidR="00E86E63">
        <w:t xml:space="preserve">. </w:t>
      </w:r>
      <w:r w:rsidR="00AF3000">
        <w:t xml:space="preserve"> </w:t>
      </w:r>
    </w:p>
    <w:p w:rsidR="00AF3000" w:rsidRDefault="00B35E77" w:rsidP="009802BA">
      <w:pPr>
        <w:spacing w:line="480" w:lineRule="auto"/>
        <w:ind w:firstLine="720"/>
        <w:contextualSpacing/>
        <w:rPr>
          <w:rFonts w:cs="Times New Roman"/>
          <w:szCs w:val="24"/>
        </w:rPr>
      </w:pPr>
      <w:r>
        <w:t>After comparing DLS data for all the various sonication methods for all 9 particles,</w:t>
      </w:r>
      <w:r w:rsidR="00EA5481">
        <w:t xml:space="preserve"> the optimal</w:t>
      </w:r>
      <w:r w:rsidR="00CC5DDD">
        <w:t xml:space="preserve"> dispersion</w:t>
      </w:r>
      <w:r w:rsidR="00EA5481">
        <w:t xml:space="preserve"> method was selected</w:t>
      </w:r>
      <w:r w:rsidR="00CC5DDD">
        <w:t xml:space="preserve"> and t</w:t>
      </w:r>
      <w:r w:rsidR="00EA5481">
        <w:t>he results of the DLS assay for the optimal method were verified using SEM.  Th</w:t>
      </w:r>
      <w:r w:rsidR="00961CEF">
        <w:t>us, th</w:t>
      </w:r>
      <w:r w:rsidR="00EA5481">
        <w:t>e optimal</w:t>
      </w:r>
      <w:r w:rsidR="00CC5DDD">
        <w:t xml:space="preserve"> probe</w:t>
      </w:r>
      <w:r w:rsidR="00EA5481">
        <w:t xml:space="preserve"> sonication method </w:t>
      </w:r>
      <w:r w:rsidR="00961CEF">
        <w:t>that is described in the Methods section of the paper was utilized.</w:t>
      </w: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D10413" w:rsidRDefault="00D10413" w:rsidP="009802BA">
      <w:pPr>
        <w:spacing w:line="480" w:lineRule="auto"/>
        <w:contextualSpacing/>
        <w:rPr>
          <w:b/>
          <w:szCs w:val="24"/>
        </w:rPr>
      </w:pPr>
    </w:p>
    <w:p w:rsidR="001009C3" w:rsidRPr="009802BA" w:rsidRDefault="001009C3" w:rsidP="009802BA">
      <w:pPr>
        <w:spacing w:line="480" w:lineRule="auto"/>
        <w:contextualSpacing/>
        <w:rPr>
          <w:b/>
          <w:szCs w:val="24"/>
        </w:rPr>
      </w:pPr>
      <w:bookmarkStart w:id="0" w:name="_GoBack"/>
      <w:bookmarkEnd w:id="0"/>
      <w:r w:rsidRPr="009802BA">
        <w:rPr>
          <w:b/>
          <w:szCs w:val="24"/>
        </w:rPr>
        <w:lastRenderedPageBreak/>
        <w:t xml:space="preserve">Supplementary Table </w:t>
      </w:r>
      <w:r w:rsidR="006B304C">
        <w:rPr>
          <w:b/>
          <w:szCs w:val="24"/>
        </w:rPr>
        <w:t>2</w:t>
      </w:r>
    </w:p>
    <w:tbl>
      <w:tblPr>
        <w:tblW w:w="11623" w:type="dxa"/>
        <w:tblInd w:w="-1118" w:type="dxa"/>
        <w:tblLook w:val="04A0" w:firstRow="1" w:lastRow="0" w:firstColumn="1" w:lastColumn="0" w:noHBand="0" w:noVBand="1"/>
      </w:tblPr>
      <w:tblGrid>
        <w:gridCol w:w="919"/>
        <w:gridCol w:w="1164"/>
        <w:gridCol w:w="1164"/>
        <w:gridCol w:w="916"/>
        <w:gridCol w:w="916"/>
        <w:gridCol w:w="761"/>
        <w:gridCol w:w="761"/>
        <w:gridCol w:w="761"/>
        <w:gridCol w:w="1073"/>
        <w:gridCol w:w="581"/>
        <w:gridCol w:w="1087"/>
        <w:gridCol w:w="1087"/>
        <w:gridCol w:w="473"/>
      </w:tblGrid>
      <w:tr w:rsidR="001009C3" w:rsidRPr="00D670DD" w:rsidTr="001009C3">
        <w:trPr>
          <w:trHeight w:val="317"/>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Dispersion Optimization of 8 nm CeO</w:t>
            </w:r>
            <w:r w:rsidRPr="00D670DD">
              <w:rPr>
                <w:rFonts w:ascii="Calibri" w:eastAsia="Times New Roman" w:hAnsi="Calibri" w:cs="Calibri"/>
                <w:b/>
                <w:bCs/>
                <w:color w:val="000000"/>
                <w:sz w:val="14"/>
                <w:szCs w:val="16"/>
              </w:rPr>
              <w:t>2</w:t>
            </w:r>
            <w:r w:rsidRPr="00D670DD">
              <w:rPr>
                <w:rFonts w:ascii="Calibri" w:eastAsia="Times New Roman" w:hAnsi="Calibri" w:cs="Calibri"/>
                <w:b/>
                <w:bCs/>
                <w:color w:val="000000"/>
                <w:sz w:val="16"/>
                <w:szCs w:val="16"/>
              </w:rPr>
              <w:t xml:space="preserve"> in Neurobasal A Medium</w:t>
            </w:r>
          </w:p>
        </w:tc>
      </w:tr>
      <w:tr w:rsidR="001009C3" w:rsidRPr="00D670DD" w:rsidTr="001009C3">
        <w:trPr>
          <w:trHeight w:val="1207"/>
        </w:trPr>
        <w:tc>
          <w:tcPr>
            <w:tcW w:w="0" w:type="auto"/>
            <w:tcBorders>
              <w:top w:val="nil"/>
              <w:left w:val="single" w:sz="8" w:space="0" w:color="auto"/>
              <w:bottom w:val="nil"/>
              <w:right w:val="single" w:sz="8"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Dispersion Protocol Number</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Stock Particle Concentration (mgs/ml)</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FBS Concentration (%)</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Sonication Time (minutes)</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Sonication Output (Watts)</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 By Number &lt;100 nm</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 By Number 100-500 nm</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 By Number &gt;500 nm</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Agglomerate Z-average</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PDI</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Start Temperature (  ̊C)</w:t>
            </w:r>
          </w:p>
        </w:tc>
        <w:tc>
          <w:tcPr>
            <w:tcW w:w="0" w:type="auto"/>
            <w:tcBorders>
              <w:top w:val="nil"/>
              <w:left w:val="nil"/>
              <w:bottom w:val="single" w:sz="4" w:space="0" w:color="auto"/>
              <w:right w:val="single" w:sz="4"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Stop Temperature (  ̊C)</w:t>
            </w:r>
          </w:p>
        </w:tc>
        <w:tc>
          <w:tcPr>
            <w:tcW w:w="0" w:type="auto"/>
            <w:tcBorders>
              <w:top w:val="nil"/>
              <w:left w:val="nil"/>
              <w:bottom w:val="single" w:sz="4" w:space="0" w:color="auto"/>
              <w:right w:val="single" w:sz="8" w:space="0" w:color="auto"/>
            </w:tcBorders>
            <w:shd w:val="clear" w:color="auto" w:fill="auto"/>
            <w:vAlign w:val="center"/>
            <w:hideMark/>
          </w:tcPr>
          <w:p w:rsidR="001009C3" w:rsidRPr="00D670DD" w:rsidRDefault="001009C3" w:rsidP="009802BA">
            <w:pPr>
              <w:spacing w:after="0" w:line="480" w:lineRule="auto"/>
              <w:contextualSpacing/>
              <w:jc w:val="center"/>
              <w:rPr>
                <w:rFonts w:ascii="Calibri" w:eastAsia="Times New Roman" w:hAnsi="Calibri" w:cs="Calibri"/>
                <w:b/>
                <w:bCs/>
                <w:color w:val="000000"/>
                <w:sz w:val="16"/>
                <w:szCs w:val="16"/>
              </w:rPr>
            </w:pPr>
            <w:r w:rsidRPr="00D670DD">
              <w:rPr>
                <w:rFonts w:ascii="Calibri" w:eastAsia="Times New Roman" w:hAnsi="Calibri" w:cs="Calibri"/>
                <w:b/>
                <w:bCs/>
                <w:color w:val="000000"/>
                <w:sz w:val="16"/>
                <w:szCs w:val="16"/>
              </w:rPr>
              <w:t>Δ (  ̊C)</w:t>
            </w:r>
          </w:p>
        </w:tc>
      </w:tr>
      <w:tr w:rsidR="001009C3" w:rsidRPr="00D670DD" w:rsidTr="001009C3">
        <w:trPr>
          <w:trHeight w:val="302"/>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93.</w:t>
            </w:r>
            <w:r w:rsidR="00377F63">
              <w:rPr>
                <w:rFonts w:ascii="Calibri" w:eastAsia="Times New Roman"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536.6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0.319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55</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29</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2x2'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94.5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5.</w:t>
            </w:r>
            <w:r w:rsidR="00377F63">
              <w:rPr>
                <w:rFonts w:ascii="Calibri" w:eastAsia="Times New Roman" w:hAnsi="Calibri" w:cs="Calibri"/>
                <w:color w:val="FF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523.6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0.369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57</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FF0000"/>
                <w:sz w:val="16"/>
                <w:szCs w:val="16"/>
              </w:rPr>
            </w:pPr>
            <w:r w:rsidRPr="00D670DD">
              <w:rPr>
                <w:rFonts w:ascii="Calibri" w:eastAsia="Times New Roman" w:hAnsi="Calibri" w:cs="Calibri"/>
                <w:color w:val="FF0000"/>
                <w:sz w:val="16"/>
                <w:szCs w:val="16"/>
              </w:rPr>
              <w:t>35</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2x1'</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96.9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651.3</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0.442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52</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27</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92.6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708.76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0.385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51</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26</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97.7</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578.6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0.449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30</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14</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47.8</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51.7</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570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0.384</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17</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10</w:t>
            </w:r>
          </w:p>
        </w:tc>
      </w:tr>
      <w:tr w:rsidR="001009C3" w:rsidRPr="00D670DD" w:rsidTr="001009C3">
        <w:trPr>
          <w:trHeight w:val="30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79.1</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701.52</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0.439</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50</w:t>
            </w:r>
          </w:p>
        </w:tc>
        <w:tc>
          <w:tcPr>
            <w:tcW w:w="0" w:type="auto"/>
            <w:tcBorders>
              <w:top w:val="nil"/>
              <w:left w:val="nil"/>
              <w:bottom w:val="single" w:sz="4"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26</w:t>
            </w:r>
          </w:p>
        </w:tc>
      </w:tr>
      <w:tr w:rsidR="001009C3" w:rsidRPr="00D670DD" w:rsidTr="001009C3">
        <w:trPr>
          <w:trHeight w:val="317"/>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8</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4</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20</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2x2'</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~6-8</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50.6</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49.4</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554</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0.304</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22</w:t>
            </w:r>
          </w:p>
        </w:tc>
        <w:tc>
          <w:tcPr>
            <w:tcW w:w="0" w:type="auto"/>
            <w:tcBorders>
              <w:top w:val="nil"/>
              <w:left w:val="nil"/>
              <w:bottom w:val="single" w:sz="8" w:space="0" w:color="auto"/>
              <w:right w:val="single" w:sz="4"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56</w:t>
            </w:r>
          </w:p>
        </w:tc>
        <w:tc>
          <w:tcPr>
            <w:tcW w:w="0" w:type="auto"/>
            <w:tcBorders>
              <w:top w:val="nil"/>
              <w:left w:val="nil"/>
              <w:bottom w:val="single" w:sz="8" w:space="0" w:color="auto"/>
              <w:right w:val="single" w:sz="8" w:space="0" w:color="auto"/>
            </w:tcBorders>
            <w:shd w:val="clear" w:color="auto" w:fill="auto"/>
            <w:noWrap/>
            <w:vAlign w:val="bottom"/>
            <w:hideMark/>
          </w:tcPr>
          <w:p w:rsidR="001009C3" w:rsidRPr="00D670DD" w:rsidRDefault="001009C3" w:rsidP="009802BA">
            <w:pPr>
              <w:spacing w:after="0" w:line="480" w:lineRule="auto"/>
              <w:contextualSpacing/>
              <w:jc w:val="center"/>
              <w:rPr>
                <w:rFonts w:ascii="Calibri" w:eastAsia="Times New Roman" w:hAnsi="Calibri" w:cs="Calibri"/>
                <w:color w:val="000000"/>
                <w:sz w:val="16"/>
                <w:szCs w:val="16"/>
              </w:rPr>
            </w:pPr>
            <w:r w:rsidRPr="00D670DD">
              <w:rPr>
                <w:rFonts w:ascii="Calibri" w:eastAsia="Times New Roman" w:hAnsi="Calibri" w:cs="Calibri"/>
                <w:color w:val="000000"/>
                <w:sz w:val="16"/>
                <w:szCs w:val="16"/>
              </w:rPr>
              <w:t>34</w:t>
            </w:r>
          </w:p>
        </w:tc>
      </w:tr>
    </w:tbl>
    <w:p w:rsidR="00C34CE8" w:rsidRDefault="00C34CE8" w:rsidP="009802BA">
      <w:pPr>
        <w:spacing w:line="480" w:lineRule="auto"/>
        <w:contextualSpacing/>
        <w:rPr>
          <w:color w:val="FF0000"/>
        </w:rPr>
      </w:pPr>
    </w:p>
    <w:p w:rsidR="00CB4E8E" w:rsidRDefault="00CB4E8E" w:rsidP="009802BA">
      <w:pPr>
        <w:spacing w:line="480" w:lineRule="auto"/>
        <w:ind w:left="720" w:hanging="720"/>
        <w:contextualSpacing/>
      </w:pPr>
    </w:p>
    <w:p w:rsidR="00CB4E8E" w:rsidRDefault="00CB4E8E" w:rsidP="009802BA">
      <w:pPr>
        <w:spacing w:line="480" w:lineRule="auto"/>
        <w:ind w:left="720" w:hanging="720"/>
        <w:contextualSpacing/>
        <w:rPr>
          <w:b/>
        </w:rPr>
      </w:pPr>
      <w:r>
        <w:rPr>
          <w:b/>
        </w:rPr>
        <w:t>Supplemental Methods related to the culture protocol.</w:t>
      </w:r>
    </w:p>
    <w:p w:rsidR="00CB4E8E" w:rsidRDefault="00CB4E8E" w:rsidP="009802BA">
      <w:pPr>
        <w:spacing w:line="480" w:lineRule="auto"/>
        <w:ind w:firstLine="720"/>
        <w:contextualSpacing/>
        <w:rPr>
          <w:rFonts w:cs="Times New Roman"/>
          <w:szCs w:val="24"/>
        </w:rPr>
      </w:pPr>
      <w:r>
        <w:rPr>
          <w:rFonts w:cs="Times New Roman"/>
          <w:szCs w:val="24"/>
        </w:rPr>
        <w:t>Brains were immediately removed from PND 0-1 pups following decapitation</w:t>
      </w:r>
      <w:r w:rsidRPr="004D6CC4">
        <w:rPr>
          <w:rFonts w:cs="Times New Roman"/>
          <w:szCs w:val="24"/>
        </w:rPr>
        <w:t xml:space="preserve"> and the cortex was gently removed from the brain in a 60 mm dish containing 3-5 ml of cold cortical buffer (137 mM NaCl</w:t>
      </w:r>
      <w:r>
        <w:rPr>
          <w:rFonts w:cs="Times New Roman"/>
          <w:szCs w:val="24"/>
        </w:rPr>
        <w:t xml:space="preserve"> (Sigma, Cat. # S5886)</w:t>
      </w:r>
      <w:r w:rsidRPr="004D6CC4">
        <w:rPr>
          <w:rFonts w:cs="Times New Roman"/>
          <w:szCs w:val="24"/>
        </w:rPr>
        <w:t>, 5 mM KCl</w:t>
      </w:r>
      <w:r>
        <w:rPr>
          <w:rFonts w:cs="Times New Roman"/>
          <w:szCs w:val="24"/>
        </w:rPr>
        <w:t xml:space="preserve"> (Sigma, Cat. # P5405)</w:t>
      </w:r>
      <w:r w:rsidRPr="004D6CC4">
        <w:rPr>
          <w:rFonts w:cs="Times New Roman"/>
          <w:szCs w:val="24"/>
        </w:rPr>
        <w:t xml:space="preserve">, 170 </w:t>
      </w:r>
      <w:r>
        <w:rPr>
          <w:rFonts w:ascii="Corbel" w:hAnsi="Corbel" w:cs="Times New Roman"/>
          <w:szCs w:val="24"/>
        </w:rPr>
        <w:t>μ</w:t>
      </w:r>
      <w:r w:rsidRPr="004D6CC4">
        <w:rPr>
          <w:rFonts w:cs="Times New Roman"/>
          <w:szCs w:val="24"/>
        </w:rPr>
        <w:t>M Na</w:t>
      </w:r>
      <w:r w:rsidRPr="004D6CC4">
        <w:rPr>
          <w:rFonts w:cs="Times New Roman"/>
          <w:szCs w:val="24"/>
          <w:vertAlign w:val="subscript"/>
        </w:rPr>
        <w:t>2</w:t>
      </w:r>
      <w:r w:rsidRPr="004D6CC4">
        <w:rPr>
          <w:rFonts w:cs="Times New Roman"/>
          <w:szCs w:val="24"/>
        </w:rPr>
        <w:t>HPO</w:t>
      </w:r>
      <w:r w:rsidRPr="004D6CC4">
        <w:rPr>
          <w:rFonts w:cs="Times New Roman"/>
          <w:szCs w:val="24"/>
          <w:vertAlign w:val="subscript"/>
        </w:rPr>
        <w:t>4</w:t>
      </w:r>
      <w:r>
        <w:rPr>
          <w:rFonts w:cs="Times New Roman"/>
          <w:szCs w:val="24"/>
        </w:rPr>
        <w:t xml:space="preserve"> (Sigma, Cat. # S5136)</w:t>
      </w:r>
      <w:r w:rsidRPr="004D6CC4">
        <w:rPr>
          <w:rFonts w:cs="Times New Roman"/>
          <w:szCs w:val="24"/>
        </w:rPr>
        <w:t xml:space="preserve">, </w:t>
      </w:r>
      <w:r>
        <w:rPr>
          <w:rFonts w:cs="Times New Roman"/>
          <w:szCs w:val="24"/>
        </w:rPr>
        <w:t xml:space="preserve">205 </w:t>
      </w:r>
      <w:r>
        <w:rPr>
          <w:rFonts w:ascii="Corbel" w:hAnsi="Corbel" w:cs="Times New Roman"/>
          <w:szCs w:val="24"/>
        </w:rPr>
        <w:t>μ</w:t>
      </w:r>
      <w:r w:rsidRPr="004D6CC4">
        <w:rPr>
          <w:rFonts w:cs="Times New Roman"/>
          <w:szCs w:val="24"/>
        </w:rPr>
        <w:t>M KH</w:t>
      </w:r>
      <w:r w:rsidRPr="004D6CC4">
        <w:rPr>
          <w:rFonts w:cs="Times New Roman"/>
          <w:szCs w:val="24"/>
          <w:vertAlign w:val="subscript"/>
        </w:rPr>
        <w:t>2</w:t>
      </w:r>
      <w:r w:rsidRPr="004D6CC4">
        <w:rPr>
          <w:rFonts w:cs="Times New Roman"/>
          <w:szCs w:val="24"/>
        </w:rPr>
        <w:t>PO</w:t>
      </w:r>
      <w:r w:rsidRPr="004D6CC4">
        <w:rPr>
          <w:rFonts w:cs="Times New Roman"/>
          <w:szCs w:val="24"/>
          <w:vertAlign w:val="subscript"/>
        </w:rPr>
        <w:t>4</w:t>
      </w:r>
      <w:r>
        <w:rPr>
          <w:rFonts w:cs="Times New Roman"/>
          <w:szCs w:val="24"/>
        </w:rPr>
        <w:t xml:space="preserve"> (Sigma, Cat. # P5655)</w:t>
      </w:r>
      <w:r w:rsidRPr="004D6CC4">
        <w:rPr>
          <w:rFonts w:cs="Times New Roman"/>
          <w:szCs w:val="24"/>
        </w:rPr>
        <w:t>, 5 mM glucose</w:t>
      </w:r>
      <w:r>
        <w:rPr>
          <w:rFonts w:cs="Times New Roman"/>
          <w:szCs w:val="24"/>
        </w:rPr>
        <w:t xml:space="preserve"> (Sigma, Cat. # G7032)</w:t>
      </w:r>
      <w:r w:rsidRPr="004D6CC4">
        <w:rPr>
          <w:rFonts w:cs="Times New Roman"/>
          <w:szCs w:val="24"/>
        </w:rPr>
        <w:t>, 59 mM sucrose</w:t>
      </w:r>
      <w:r>
        <w:rPr>
          <w:rFonts w:cs="Times New Roman"/>
          <w:szCs w:val="24"/>
        </w:rPr>
        <w:t xml:space="preserve"> (Sigma, Cat. # S1888)</w:t>
      </w:r>
      <w:r w:rsidRPr="004D6CC4">
        <w:rPr>
          <w:rFonts w:cs="Times New Roman"/>
          <w:szCs w:val="24"/>
        </w:rPr>
        <w:t>, and 100 U/ml; 0.1 mg/ml penicillin/streptomycin</w:t>
      </w:r>
      <w:r>
        <w:rPr>
          <w:rFonts w:cs="Times New Roman"/>
          <w:szCs w:val="24"/>
        </w:rPr>
        <w:t xml:space="preserve"> (Gibco, Cat. # 15140-122)</w:t>
      </w:r>
      <w:r w:rsidRPr="004D6CC4">
        <w:rPr>
          <w:rFonts w:cs="Times New Roman"/>
          <w:szCs w:val="24"/>
        </w:rPr>
        <w:t>).  The cortex was chopped into 1-2 mm</w:t>
      </w:r>
      <w:r w:rsidRPr="004D6CC4">
        <w:rPr>
          <w:rFonts w:cs="Times New Roman"/>
          <w:szCs w:val="24"/>
          <w:vertAlign w:val="superscript"/>
        </w:rPr>
        <w:t>2</w:t>
      </w:r>
      <w:r w:rsidRPr="004D6CC4">
        <w:rPr>
          <w:rFonts w:cs="Times New Roman"/>
          <w:szCs w:val="24"/>
        </w:rPr>
        <w:t xml:space="preserve"> pieces and transferred into a 25 cm</w:t>
      </w:r>
      <w:r w:rsidRPr="004D6CC4">
        <w:rPr>
          <w:rFonts w:cs="Times New Roman"/>
          <w:szCs w:val="24"/>
          <w:vertAlign w:val="superscript"/>
        </w:rPr>
        <w:t>2</w:t>
      </w:r>
      <w:r w:rsidRPr="004D6CC4">
        <w:rPr>
          <w:rFonts w:cs="Times New Roman"/>
          <w:szCs w:val="24"/>
        </w:rPr>
        <w:t xml:space="preserve"> flask.  Tryp</w:t>
      </w:r>
      <w:r>
        <w:rPr>
          <w:rFonts w:cs="Times New Roman"/>
          <w:szCs w:val="24"/>
        </w:rPr>
        <w:t>si</w:t>
      </w:r>
      <w:r w:rsidRPr="004D6CC4">
        <w:rPr>
          <w:rFonts w:cs="Times New Roman"/>
          <w:szCs w:val="24"/>
        </w:rPr>
        <w:t>n (Sigma</w:t>
      </w:r>
      <w:r>
        <w:rPr>
          <w:rFonts w:cs="Times New Roman"/>
          <w:szCs w:val="24"/>
        </w:rPr>
        <w:t>, Cat. # T4665</w:t>
      </w:r>
      <w:r w:rsidRPr="004D6CC4">
        <w:rPr>
          <w:rFonts w:cs="Times New Roman"/>
          <w:szCs w:val="24"/>
        </w:rPr>
        <w:t>) was added (1 ml/</w:t>
      </w:r>
      <w:r>
        <w:rPr>
          <w:rFonts w:cs="Times New Roman"/>
          <w:szCs w:val="24"/>
        </w:rPr>
        <w:t>cortex</w:t>
      </w:r>
      <w:r w:rsidRPr="004D6CC4">
        <w:rPr>
          <w:rFonts w:cs="Times New Roman"/>
          <w:szCs w:val="24"/>
        </w:rPr>
        <w:t xml:space="preserve"> used) to the flask and cells were placed in a water bath set at 30 rpm and 37°C for 4 min 45 secs.  Following</w:t>
      </w:r>
      <w:r>
        <w:rPr>
          <w:rFonts w:cs="Times New Roman"/>
          <w:szCs w:val="24"/>
        </w:rPr>
        <w:t xml:space="preserve"> this</w:t>
      </w:r>
      <w:r w:rsidRPr="004D6CC4">
        <w:rPr>
          <w:rFonts w:cs="Times New Roman"/>
          <w:szCs w:val="24"/>
        </w:rPr>
        <w:t xml:space="preserve"> first incubation, 2 ml of DNAase </w:t>
      </w:r>
      <w:r>
        <w:rPr>
          <w:rFonts w:cs="Times New Roman"/>
          <w:szCs w:val="24"/>
        </w:rPr>
        <w:t xml:space="preserve">(Sigma, Cat. # D4527) </w:t>
      </w:r>
      <w:r w:rsidRPr="004D6CC4">
        <w:rPr>
          <w:rFonts w:cs="Times New Roman"/>
          <w:szCs w:val="24"/>
        </w:rPr>
        <w:t xml:space="preserve">was added to the flask and cells were incubated for another 4 min 45 sec.  Warmed cortical medium </w:t>
      </w:r>
      <w:r w:rsidRPr="004D6CC4">
        <w:rPr>
          <w:rFonts w:cs="Times New Roman"/>
          <w:szCs w:val="24"/>
        </w:rPr>
        <w:lastRenderedPageBreak/>
        <w:t xml:space="preserve">(DMEM </w:t>
      </w:r>
      <w:r>
        <w:rPr>
          <w:rFonts w:cs="Times New Roman"/>
          <w:szCs w:val="24"/>
        </w:rPr>
        <w:t>containing</w:t>
      </w:r>
      <w:r w:rsidRPr="004D6CC4">
        <w:rPr>
          <w:rFonts w:cs="Times New Roman"/>
          <w:szCs w:val="24"/>
        </w:rPr>
        <w:t xml:space="preserve"> GlutaMax</w:t>
      </w:r>
      <w:r>
        <w:rPr>
          <w:rFonts w:cs="Times New Roman"/>
          <w:szCs w:val="24"/>
        </w:rPr>
        <w:t xml:space="preserve"> (Gibco, Cat. # 10569-010)</w:t>
      </w:r>
      <w:r w:rsidRPr="004D6CC4">
        <w:rPr>
          <w:rFonts w:cs="Times New Roman"/>
          <w:szCs w:val="24"/>
        </w:rPr>
        <w:t xml:space="preserve">, </w:t>
      </w:r>
      <w:r>
        <w:rPr>
          <w:rFonts w:cs="Times New Roman"/>
          <w:szCs w:val="24"/>
        </w:rPr>
        <w:t xml:space="preserve">10% </w:t>
      </w:r>
      <w:r w:rsidRPr="004D6CC4">
        <w:rPr>
          <w:rFonts w:cs="Times New Roman"/>
          <w:szCs w:val="24"/>
        </w:rPr>
        <w:t>FBS</w:t>
      </w:r>
      <w:r>
        <w:rPr>
          <w:rFonts w:cs="Times New Roman"/>
          <w:szCs w:val="24"/>
        </w:rPr>
        <w:t xml:space="preserve"> (Gibco, Cat. # 26050-088)</w:t>
      </w:r>
      <w:r w:rsidRPr="004D6CC4">
        <w:rPr>
          <w:rFonts w:cs="Times New Roman"/>
          <w:szCs w:val="24"/>
        </w:rPr>
        <w:t>, 10 mM HEPES</w:t>
      </w:r>
      <w:r>
        <w:rPr>
          <w:rFonts w:cs="Times New Roman"/>
          <w:szCs w:val="24"/>
        </w:rPr>
        <w:t xml:space="preserve"> (Gibco, Cat. # 15630-080)</w:t>
      </w:r>
      <w:r w:rsidRPr="004D6CC4">
        <w:rPr>
          <w:rFonts w:cs="Times New Roman"/>
          <w:szCs w:val="24"/>
        </w:rPr>
        <w:t>, 100 U/ml; 0.1 mg/ml penicillin/streptomycin</w:t>
      </w:r>
      <w:r>
        <w:rPr>
          <w:rFonts w:cs="Times New Roman"/>
          <w:szCs w:val="24"/>
        </w:rPr>
        <w:t xml:space="preserve"> </w:t>
      </w:r>
      <w:r w:rsidRPr="004D6CC4">
        <w:rPr>
          <w:rFonts w:cs="Times New Roman"/>
          <w:szCs w:val="24"/>
        </w:rPr>
        <w:t xml:space="preserve">was added to the flask, and the resulting cell suspension was then divided evenly into two 50 ml conical </w:t>
      </w:r>
      <w:r>
        <w:rPr>
          <w:rFonts w:cs="Times New Roman"/>
          <w:szCs w:val="24"/>
        </w:rPr>
        <w:t>tubes</w:t>
      </w:r>
      <w:r w:rsidRPr="004D6CC4">
        <w:rPr>
          <w:rFonts w:cs="Times New Roman"/>
          <w:szCs w:val="24"/>
        </w:rPr>
        <w:t xml:space="preserve">. </w:t>
      </w:r>
      <w:r>
        <w:rPr>
          <w:rFonts w:cs="Times New Roman"/>
          <w:szCs w:val="24"/>
        </w:rPr>
        <w:t>The two tubes</w:t>
      </w:r>
      <w:r w:rsidRPr="004D6CC4">
        <w:rPr>
          <w:rFonts w:cs="Times New Roman"/>
          <w:szCs w:val="24"/>
        </w:rPr>
        <w:t xml:space="preserve"> were centrifuged at 300xg (1800 rpm in the Beckman Allegra 6R) for 5 minutes at room temperature.  After aspirating off the supernatant, the pellet was re-suspended in 10 ml cortical media.  Cells were centrifuged for 5 minutes at 300xg, re-suspend</w:t>
      </w:r>
      <w:r>
        <w:rPr>
          <w:rFonts w:cs="Times New Roman"/>
          <w:szCs w:val="24"/>
        </w:rPr>
        <w:t>ed</w:t>
      </w:r>
      <w:r w:rsidRPr="004D6CC4">
        <w:rPr>
          <w:rFonts w:cs="Times New Roman"/>
          <w:szCs w:val="24"/>
        </w:rPr>
        <w:t xml:space="preserve"> (10 ml cortical </w:t>
      </w:r>
      <w:r>
        <w:rPr>
          <w:rFonts w:cs="Times New Roman"/>
          <w:szCs w:val="24"/>
        </w:rPr>
        <w:t>media</w:t>
      </w:r>
      <w:r w:rsidRPr="004D6CC4">
        <w:rPr>
          <w:rFonts w:cs="Times New Roman"/>
          <w:szCs w:val="24"/>
        </w:rPr>
        <w:t>) and filtered</w:t>
      </w:r>
      <w:r>
        <w:rPr>
          <w:rFonts w:cs="Times New Roman"/>
          <w:szCs w:val="24"/>
        </w:rPr>
        <w:t xml:space="preserve"> through a 100 </w:t>
      </w:r>
      <w:r>
        <w:rPr>
          <w:rFonts w:ascii="Corbel" w:hAnsi="Corbel" w:cs="Times New Roman"/>
          <w:szCs w:val="24"/>
        </w:rPr>
        <w:t>μ</w:t>
      </w:r>
      <w:r w:rsidRPr="004D6CC4">
        <w:rPr>
          <w:rFonts w:cs="Times New Roman"/>
          <w:szCs w:val="24"/>
        </w:rPr>
        <w:t xml:space="preserve">m pore Nitex </w:t>
      </w:r>
      <w:r>
        <w:rPr>
          <w:rFonts w:cs="Times New Roman"/>
          <w:szCs w:val="24"/>
        </w:rPr>
        <w:t xml:space="preserve">screen </w:t>
      </w:r>
      <w:r w:rsidRPr="004D6CC4">
        <w:rPr>
          <w:rFonts w:cs="Times New Roman"/>
          <w:szCs w:val="24"/>
        </w:rPr>
        <w:t>into a sterile beaker to remove meninges and debris. Cells were transfered into a sterile conical vial and seeded at 150K cells/well</w:t>
      </w:r>
      <w:r>
        <w:rPr>
          <w:rFonts w:cs="Times New Roman"/>
          <w:szCs w:val="24"/>
        </w:rPr>
        <w:t xml:space="preserve"> for mw</w:t>
      </w:r>
      <w:r w:rsidRPr="004D6CC4">
        <w:rPr>
          <w:rFonts w:cs="Times New Roman"/>
          <w:szCs w:val="24"/>
        </w:rPr>
        <w:t>MEA’s and 40K cells/well</w:t>
      </w:r>
      <w:r>
        <w:rPr>
          <w:rFonts w:cs="Times New Roman"/>
          <w:szCs w:val="24"/>
        </w:rPr>
        <w:t xml:space="preserve"> (in 200 µl)</w:t>
      </w:r>
      <w:r w:rsidRPr="004D6CC4">
        <w:rPr>
          <w:rFonts w:cs="Times New Roman"/>
          <w:szCs w:val="24"/>
        </w:rPr>
        <w:t xml:space="preserve"> </w:t>
      </w:r>
      <w:r>
        <w:rPr>
          <w:rFonts w:cs="Times New Roman"/>
          <w:szCs w:val="24"/>
        </w:rPr>
        <w:t>in</w:t>
      </w:r>
      <w:r w:rsidRPr="004D6CC4">
        <w:rPr>
          <w:rFonts w:cs="Times New Roman"/>
          <w:szCs w:val="24"/>
        </w:rPr>
        <w:t xml:space="preserve"> 96 well </w:t>
      </w:r>
      <w:r>
        <w:rPr>
          <w:rFonts w:cs="Times New Roman"/>
          <w:szCs w:val="24"/>
        </w:rPr>
        <w:t xml:space="preserve">flat bottomed tissue culture treated </w:t>
      </w:r>
      <w:r w:rsidRPr="004D6CC4">
        <w:rPr>
          <w:rFonts w:cs="Times New Roman"/>
          <w:szCs w:val="24"/>
        </w:rPr>
        <w:t>plates</w:t>
      </w:r>
      <w:r>
        <w:rPr>
          <w:rFonts w:cs="Times New Roman"/>
          <w:szCs w:val="24"/>
        </w:rPr>
        <w:t xml:space="preserve"> (Costar) for cell viability assays. </w:t>
      </w:r>
      <w:r w:rsidR="00576E88">
        <w:rPr>
          <w:rFonts w:cs="Times New Roman"/>
          <w:szCs w:val="24"/>
        </w:rPr>
        <w:t>After seeding cells in mwMEA plates, they were allowed to adhere for 60 min in the</w:t>
      </w:r>
      <w:r w:rsidR="00576E88" w:rsidRPr="004D6CC4">
        <w:rPr>
          <w:rFonts w:cs="Times New Roman"/>
          <w:szCs w:val="24"/>
        </w:rPr>
        <w:t xml:space="preserve"> incubator</w:t>
      </w:r>
      <w:r w:rsidR="00576E88">
        <w:rPr>
          <w:rFonts w:cs="Times New Roman"/>
          <w:szCs w:val="24"/>
        </w:rPr>
        <w:t>, after which 1.5 ml of cortical media was added to each well and the plate was returned to the incubator for 2 h. After 2 h</w:t>
      </w:r>
      <w:r w:rsidR="00576E88" w:rsidRPr="004D6CC4">
        <w:rPr>
          <w:rFonts w:cs="Times New Roman"/>
          <w:szCs w:val="24"/>
        </w:rPr>
        <w:t>, media was replaced (1.5 ml) with Neurobasal A/B27 Medium, 50X B-27 Supplement</w:t>
      </w:r>
      <w:r w:rsidR="00576E88">
        <w:rPr>
          <w:rFonts w:cs="Times New Roman"/>
          <w:szCs w:val="24"/>
        </w:rPr>
        <w:t xml:space="preserve"> (Gibco)</w:t>
      </w:r>
      <w:r w:rsidR="00576E88" w:rsidRPr="004D6CC4">
        <w:rPr>
          <w:rFonts w:cs="Times New Roman"/>
          <w:szCs w:val="24"/>
        </w:rPr>
        <w:t>, 100X GlutaMax</w:t>
      </w:r>
      <w:r w:rsidR="00576E88">
        <w:rPr>
          <w:rFonts w:cs="Times New Roman"/>
          <w:szCs w:val="24"/>
        </w:rPr>
        <w:t xml:space="preserve"> (Gibco)</w:t>
      </w:r>
      <w:r w:rsidR="00576E88" w:rsidRPr="004D6CC4">
        <w:rPr>
          <w:rFonts w:cs="Times New Roman"/>
          <w:szCs w:val="24"/>
        </w:rPr>
        <w:t>, and 100 U/ml; 0.1 mg/ml penicillin/streptomycin</w:t>
      </w:r>
      <w:r w:rsidR="00576E88">
        <w:rPr>
          <w:rFonts w:cs="Times New Roman"/>
          <w:szCs w:val="24"/>
        </w:rPr>
        <w:t xml:space="preserve"> (Lonza).  Cytosine Arabinoside (5 </w:t>
      </w:r>
      <w:r w:rsidR="00576E88">
        <w:rPr>
          <w:rFonts w:ascii="Corbel" w:hAnsi="Corbel" w:cs="Times New Roman"/>
          <w:szCs w:val="24"/>
        </w:rPr>
        <w:t>μ</w:t>
      </w:r>
      <w:r w:rsidR="00576E88" w:rsidRPr="004D6CC4">
        <w:rPr>
          <w:rFonts w:cs="Times New Roman"/>
          <w:szCs w:val="24"/>
        </w:rPr>
        <w:t>M,</w:t>
      </w:r>
      <w:r w:rsidR="00576E88">
        <w:rPr>
          <w:rFonts w:cs="Times New Roman"/>
          <w:szCs w:val="24"/>
        </w:rPr>
        <w:t xml:space="preserve"> Sigma, Cat. #C6645</w:t>
      </w:r>
      <w:r w:rsidR="00576E88" w:rsidRPr="004D6CC4">
        <w:rPr>
          <w:rFonts w:cs="Times New Roman"/>
          <w:szCs w:val="24"/>
        </w:rPr>
        <w:t>) was added five da</w:t>
      </w:r>
      <w:r w:rsidR="00576E88">
        <w:rPr>
          <w:rFonts w:cs="Times New Roman"/>
          <w:szCs w:val="24"/>
        </w:rPr>
        <w:t xml:space="preserve">ys later. </w:t>
      </w:r>
      <w:r w:rsidR="009802BA">
        <w:rPr>
          <w:rFonts w:cs="Times New Roman"/>
          <w:szCs w:val="24"/>
        </w:rPr>
        <w:t>C</w:t>
      </w:r>
      <w:r w:rsidRPr="004D6CC4">
        <w:rPr>
          <w:rFonts w:cs="Times New Roman"/>
          <w:szCs w:val="24"/>
        </w:rPr>
        <w:t xml:space="preserve">ells were placed in </w:t>
      </w:r>
      <w:r>
        <w:rPr>
          <w:rFonts w:cs="Times New Roman"/>
          <w:szCs w:val="24"/>
        </w:rPr>
        <w:t>a humidified</w:t>
      </w:r>
      <w:r w:rsidRPr="004D6CC4">
        <w:rPr>
          <w:rFonts w:cs="Times New Roman"/>
          <w:szCs w:val="24"/>
        </w:rPr>
        <w:t xml:space="preserve"> 5 % CO</w:t>
      </w:r>
      <w:r w:rsidRPr="00AE48AB">
        <w:rPr>
          <w:rFonts w:cs="Times New Roman"/>
          <w:szCs w:val="24"/>
          <w:vertAlign w:val="subscript"/>
        </w:rPr>
        <w:t>2</w:t>
      </w:r>
      <w:r>
        <w:rPr>
          <w:rFonts w:cs="Times New Roman"/>
          <w:szCs w:val="24"/>
        </w:rPr>
        <w:t xml:space="preserve"> incubator at 37°C </w:t>
      </w:r>
      <w:r w:rsidR="009802BA">
        <w:rPr>
          <w:rFonts w:cs="Times New Roman"/>
          <w:szCs w:val="24"/>
        </w:rPr>
        <w:t>until use</w:t>
      </w:r>
      <w:r w:rsidRPr="004D6CC4">
        <w:rPr>
          <w:rFonts w:cs="Times New Roman"/>
          <w:szCs w:val="24"/>
        </w:rPr>
        <w:t>.</w:t>
      </w:r>
    </w:p>
    <w:p w:rsidR="00063772" w:rsidRDefault="00063772" w:rsidP="009802BA">
      <w:pPr>
        <w:spacing w:line="480" w:lineRule="auto"/>
        <w:contextualSpacing/>
        <w:rPr>
          <w:rFonts w:cs="Times New Roman"/>
          <w:b/>
          <w:szCs w:val="24"/>
        </w:rPr>
      </w:pPr>
      <w:r>
        <w:rPr>
          <w:rFonts w:cs="Times New Roman"/>
          <w:b/>
          <w:szCs w:val="24"/>
        </w:rPr>
        <w:t>Cell Viability</w:t>
      </w:r>
      <w:r w:rsidRPr="004D6CC4">
        <w:rPr>
          <w:rFonts w:cs="Times New Roman"/>
          <w:b/>
          <w:szCs w:val="24"/>
        </w:rPr>
        <w:tab/>
      </w:r>
    </w:p>
    <w:p w:rsidR="00063772" w:rsidRPr="00EA4826" w:rsidRDefault="00063772" w:rsidP="009802BA">
      <w:pPr>
        <w:autoSpaceDE w:val="0"/>
        <w:autoSpaceDN w:val="0"/>
        <w:adjustRightInd w:val="0"/>
        <w:spacing w:after="0" w:line="480" w:lineRule="auto"/>
        <w:ind w:firstLine="720"/>
        <w:contextualSpacing/>
        <w:rPr>
          <w:rFonts w:cs="Times New Roman"/>
          <w:szCs w:val="24"/>
        </w:rPr>
      </w:pPr>
      <w:r>
        <w:rPr>
          <w:rFonts w:cs="Times New Roman"/>
          <w:szCs w:val="24"/>
        </w:rPr>
        <w:t>The effect of metal oxide NP and MP on cell viability was determined by measuring l</w:t>
      </w:r>
      <w:r w:rsidRPr="003C7913">
        <w:rPr>
          <w:rFonts w:cs="Times New Roman"/>
          <w:szCs w:val="24"/>
        </w:rPr>
        <w:t xml:space="preserve">actate </w:t>
      </w:r>
      <w:r>
        <w:rPr>
          <w:rFonts w:cs="Times New Roman"/>
          <w:szCs w:val="24"/>
        </w:rPr>
        <w:t>d</w:t>
      </w:r>
      <w:r w:rsidRPr="003C7913">
        <w:rPr>
          <w:rFonts w:cs="Times New Roman"/>
          <w:szCs w:val="24"/>
        </w:rPr>
        <w:t xml:space="preserve">ehydrogenase </w:t>
      </w:r>
      <w:r w:rsidRPr="004D6CC4">
        <w:rPr>
          <w:rFonts w:cs="Times New Roman"/>
          <w:szCs w:val="24"/>
        </w:rPr>
        <w:t>(LDH)</w:t>
      </w:r>
      <w:r>
        <w:rPr>
          <w:rFonts w:cs="Times New Roman"/>
          <w:szCs w:val="24"/>
        </w:rPr>
        <w:t xml:space="preserve"> r</w:t>
      </w:r>
      <w:r w:rsidRPr="003C7913">
        <w:rPr>
          <w:rFonts w:cs="Times New Roman"/>
          <w:szCs w:val="24"/>
        </w:rPr>
        <w:t>elease</w:t>
      </w:r>
      <w:r>
        <w:rPr>
          <w:rFonts w:cs="Times New Roman"/>
          <w:szCs w:val="24"/>
        </w:rPr>
        <w:t xml:space="preserve"> using t</w:t>
      </w:r>
      <w:r w:rsidRPr="004D6CC4">
        <w:rPr>
          <w:rFonts w:cs="Times New Roman"/>
          <w:szCs w:val="24"/>
        </w:rPr>
        <w:t xml:space="preserve">he CytoTox 96® Non-Radioactive Cytotoxicity Assay (Promega Corporation, Madison, WI). </w:t>
      </w:r>
      <w:r>
        <w:rPr>
          <w:rFonts w:cs="Times New Roman"/>
          <w:szCs w:val="24"/>
        </w:rPr>
        <w:t xml:space="preserve">The kit instructions were followed with the modifications described below. </w:t>
      </w:r>
      <w:r w:rsidRPr="004D6CC4">
        <w:rPr>
          <w:rFonts w:cs="Times New Roman"/>
          <w:szCs w:val="24"/>
        </w:rPr>
        <w:t>Between DIV 12 and 14, cortical cells were exposed to</w:t>
      </w:r>
      <w:r>
        <w:rPr>
          <w:rFonts w:cs="Times New Roman"/>
          <w:szCs w:val="24"/>
        </w:rPr>
        <w:t xml:space="preserve"> various concentrations of dispersed TiO</w:t>
      </w:r>
      <w:r w:rsidRPr="007F3556">
        <w:rPr>
          <w:rFonts w:cs="Times New Roman"/>
          <w:szCs w:val="24"/>
          <w:vertAlign w:val="subscript"/>
        </w:rPr>
        <w:t>2</w:t>
      </w:r>
      <w:r>
        <w:rPr>
          <w:rFonts w:cs="Times New Roman"/>
          <w:szCs w:val="24"/>
        </w:rPr>
        <w:t xml:space="preserve"> or CeO</w:t>
      </w:r>
      <w:r w:rsidRPr="007F3556">
        <w:rPr>
          <w:rFonts w:cs="Times New Roman"/>
          <w:szCs w:val="24"/>
          <w:vertAlign w:val="subscript"/>
        </w:rPr>
        <w:t>2</w:t>
      </w:r>
      <w:r>
        <w:rPr>
          <w:rFonts w:cs="Times New Roman"/>
          <w:szCs w:val="24"/>
        </w:rPr>
        <w:t xml:space="preserve"> NPs or MPs and placed in a 37°C humidified incubator for 48 h</w:t>
      </w:r>
      <w:r w:rsidRPr="004D6CC4">
        <w:rPr>
          <w:rFonts w:cs="Times New Roman"/>
          <w:szCs w:val="24"/>
        </w:rPr>
        <w:t xml:space="preserve">.  </w:t>
      </w:r>
      <w:r>
        <w:rPr>
          <w:rFonts w:cs="Times New Roman"/>
          <w:szCs w:val="24"/>
        </w:rPr>
        <w:t>Afterwards</w:t>
      </w:r>
      <w:r w:rsidRPr="004D6CC4">
        <w:rPr>
          <w:rFonts w:cs="Times New Roman"/>
          <w:szCs w:val="24"/>
        </w:rPr>
        <w:t xml:space="preserve">, </w:t>
      </w:r>
      <w:r>
        <w:rPr>
          <w:rFonts w:cs="Times New Roman"/>
          <w:szCs w:val="24"/>
        </w:rPr>
        <w:t>96 well plates</w:t>
      </w:r>
      <w:r w:rsidRPr="004D6CC4">
        <w:rPr>
          <w:rFonts w:cs="Times New Roman"/>
          <w:szCs w:val="24"/>
        </w:rPr>
        <w:t xml:space="preserve"> were </w:t>
      </w:r>
      <w:r>
        <w:rPr>
          <w:rFonts w:cs="Times New Roman"/>
          <w:szCs w:val="24"/>
        </w:rPr>
        <w:t>centrifuged</w:t>
      </w:r>
      <w:r w:rsidRPr="004D6CC4">
        <w:rPr>
          <w:rFonts w:cs="Times New Roman"/>
          <w:szCs w:val="24"/>
        </w:rPr>
        <w:t xml:space="preserve"> for 5-6 min at 800 rpm.  To measure </w:t>
      </w:r>
      <w:r w:rsidRPr="004D6CC4">
        <w:rPr>
          <w:rFonts w:cs="Times New Roman"/>
          <w:szCs w:val="24"/>
        </w:rPr>
        <w:lastRenderedPageBreak/>
        <w:t>released LDH, 50 μl of supernatant was removed from each well and transferred to a new</w:t>
      </w:r>
      <w:r>
        <w:rPr>
          <w:rFonts w:cs="Times New Roman"/>
          <w:szCs w:val="24"/>
        </w:rPr>
        <w:t>,</w:t>
      </w:r>
      <w:r w:rsidRPr="004D6CC4">
        <w:rPr>
          <w:rFonts w:cs="Times New Roman"/>
          <w:szCs w:val="24"/>
        </w:rPr>
        <w:t xml:space="preserve"> non-treated, sterile 96-well assay plate (Costar).  The remaining media was removed from each well and cells were washed 2X with pre-warmed Neurobasal A Media (200 μl/well).  Following the removal of the second media wash, 75 μl of the lysis buffer was added to each well and the plat</w:t>
      </w:r>
      <w:r>
        <w:rPr>
          <w:rFonts w:cs="Times New Roman"/>
          <w:szCs w:val="24"/>
        </w:rPr>
        <w:t>e was returned to the incubator for 1 h.  After 1 h</w:t>
      </w:r>
      <w:r w:rsidRPr="004D6CC4">
        <w:rPr>
          <w:rFonts w:cs="Times New Roman"/>
          <w:szCs w:val="24"/>
        </w:rPr>
        <w:t xml:space="preserve">, plates were </w:t>
      </w:r>
      <w:r>
        <w:rPr>
          <w:rFonts w:cs="Times New Roman"/>
          <w:szCs w:val="24"/>
        </w:rPr>
        <w:t>removed from the incubator and centrifuged</w:t>
      </w:r>
      <w:r w:rsidRPr="004D6CC4">
        <w:rPr>
          <w:rFonts w:cs="Times New Roman"/>
          <w:szCs w:val="24"/>
        </w:rPr>
        <w:t xml:space="preserve"> for 10 min</w:t>
      </w:r>
      <w:r>
        <w:rPr>
          <w:rFonts w:cs="Times New Roman"/>
          <w:szCs w:val="24"/>
        </w:rPr>
        <w:t>utes</w:t>
      </w:r>
      <w:r w:rsidRPr="004D6CC4">
        <w:rPr>
          <w:rFonts w:cs="Times New Roman"/>
          <w:szCs w:val="24"/>
        </w:rPr>
        <w:t xml:space="preserve"> at 1000 rpm</w:t>
      </w:r>
      <w:r>
        <w:rPr>
          <w:rFonts w:cs="Times New Roman"/>
          <w:szCs w:val="24"/>
        </w:rPr>
        <w:t xml:space="preserve">, and 50 </w:t>
      </w:r>
      <w:r w:rsidRPr="004D6CC4">
        <w:rPr>
          <w:rFonts w:cs="Times New Roman"/>
          <w:szCs w:val="24"/>
        </w:rPr>
        <w:t>μl</w:t>
      </w:r>
      <w:r>
        <w:rPr>
          <w:rFonts w:cs="Times New Roman"/>
          <w:szCs w:val="24"/>
        </w:rPr>
        <w:t xml:space="preserve"> of buffer was removed to determine total</w:t>
      </w:r>
      <w:r w:rsidRPr="004D6CC4">
        <w:rPr>
          <w:rFonts w:cs="Times New Roman"/>
          <w:szCs w:val="24"/>
        </w:rPr>
        <w:t xml:space="preserve"> LDH</w:t>
      </w:r>
      <w:r>
        <w:rPr>
          <w:rFonts w:cs="Times New Roman"/>
          <w:szCs w:val="24"/>
        </w:rPr>
        <w:t xml:space="preserve"> release. </w:t>
      </w:r>
      <w:r w:rsidRPr="004D6CC4">
        <w:rPr>
          <w:rFonts w:cs="Times New Roman"/>
          <w:szCs w:val="24"/>
        </w:rPr>
        <w:t>Released LDH was determined using the following formula:  % LDH Release</w:t>
      </w:r>
      <w:r>
        <w:rPr>
          <w:rFonts w:cs="Times New Roman"/>
          <w:szCs w:val="24"/>
        </w:rPr>
        <w:t xml:space="preserve"> </w:t>
      </w:r>
      <w:r w:rsidRPr="004D6CC4">
        <w:rPr>
          <w:rFonts w:cs="Times New Roman"/>
          <w:szCs w:val="24"/>
        </w:rPr>
        <w:t>=</w:t>
      </w:r>
      <w:r>
        <w:rPr>
          <w:rFonts w:cs="Times New Roman"/>
          <w:szCs w:val="24"/>
        </w:rPr>
        <w:t xml:space="preserve"> </w:t>
      </w:r>
      <w:r w:rsidRPr="004D6CC4">
        <w:rPr>
          <w:rFonts w:cs="Times New Roman"/>
          <w:szCs w:val="24"/>
        </w:rPr>
        <w:t>100*(Released LDH OD)/(Cellular LDH OD + Released LDH OD).</w:t>
      </w:r>
      <w:r w:rsidRPr="007F6704">
        <w:rPr>
          <w:rFonts w:cs="Times New Roman"/>
          <w:szCs w:val="24"/>
        </w:rPr>
        <w:t xml:space="preserve"> </w:t>
      </w:r>
      <w:r>
        <w:rPr>
          <w:rFonts w:cs="Times New Roman"/>
          <w:szCs w:val="24"/>
        </w:rPr>
        <w:t xml:space="preserve"> The % LDH Release for each NP and MP and at each concentration was determined in three wells each from three separate cultures (n=9) and expressed as a Mean % Control ± SEM.  Triton X-100 (positive control) was included in two wells of each plate (n=24) to determine the maximal LDH response.</w:t>
      </w:r>
      <w:r>
        <w:rPr>
          <w:rFonts w:cs="Times New Roman"/>
          <w:b/>
          <w:szCs w:val="24"/>
        </w:rPr>
        <w:t xml:space="preserve">  </w:t>
      </w:r>
    </w:p>
    <w:p w:rsidR="009802BA" w:rsidRDefault="009802BA" w:rsidP="009802BA">
      <w:pPr>
        <w:spacing w:line="480" w:lineRule="auto"/>
        <w:contextualSpacing/>
        <w:rPr>
          <w:b/>
        </w:rPr>
      </w:pPr>
    </w:p>
    <w:p w:rsidR="00161461" w:rsidRPr="00161461" w:rsidRDefault="00161461" w:rsidP="009802BA">
      <w:pPr>
        <w:spacing w:line="480" w:lineRule="auto"/>
        <w:contextualSpacing/>
        <w:rPr>
          <w:b/>
        </w:rPr>
      </w:pPr>
      <w:r>
        <w:rPr>
          <w:b/>
        </w:rPr>
        <w:t>Supplemental Methods and Information Regarding the Analysis.</w:t>
      </w:r>
    </w:p>
    <w:p w:rsidR="00161461" w:rsidRPr="00F22FDE" w:rsidRDefault="00161461" w:rsidP="009802BA">
      <w:pPr>
        <w:spacing w:line="480" w:lineRule="auto"/>
        <w:contextualSpacing/>
        <w:rPr>
          <w:i/>
        </w:rPr>
      </w:pPr>
      <w:r w:rsidRPr="00F22FDE">
        <w:rPr>
          <w:i/>
        </w:rPr>
        <w:t xml:space="preserve">Section 1: </w:t>
      </w:r>
      <w:r w:rsidR="00717E42" w:rsidRPr="00F22FDE">
        <w:rPr>
          <w:i/>
        </w:rPr>
        <w:t>Overall Experimental Design</w:t>
      </w:r>
      <w:r w:rsidRPr="00F22FDE">
        <w:rPr>
          <w:i/>
        </w:rPr>
        <w:t xml:space="preserve"> </w:t>
      </w:r>
    </w:p>
    <w:p w:rsidR="009802BA" w:rsidRDefault="00161461" w:rsidP="009802BA">
      <w:pPr>
        <w:spacing w:line="480" w:lineRule="auto"/>
        <w:ind w:firstLine="720"/>
        <w:contextualSpacing/>
      </w:pPr>
      <w:r>
        <w:t xml:space="preserve">We examined two types of data derived from each MEA plate: the total number of active </w:t>
      </w:r>
      <w:r w:rsidR="001F6CEF">
        <w:t xml:space="preserve">(#AE) </w:t>
      </w:r>
      <w:r>
        <w:t>electrodes per well, and the total number of spikes</w:t>
      </w:r>
      <w:r w:rsidR="001F6CEF">
        <w:t xml:space="preserve"> (TS)</w:t>
      </w:r>
      <w:r>
        <w:t xml:space="preserve"> on those active electrodes.  </w:t>
      </w:r>
      <w:r w:rsidR="000B547E">
        <w:t>Since two different concentrations of dispersion media were used (see Section 2), w</w:t>
      </w:r>
      <w:r>
        <w:t xml:space="preserve">e first investigated whether the dispersion media </w:t>
      </w:r>
      <w:r w:rsidR="00CA0669">
        <w:t>concentration</w:t>
      </w:r>
      <w:r>
        <w:t xml:space="preserve"> affected the number of active electrodes or the number of spikes in neurons in the absence of particle (nanoparticle or microparticle) exposure. Then, after finding that it did not, we tested for overall effects of particle size and </w:t>
      </w:r>
      <w:r w:rsidR="00F22FDE">
        <w:t>composition (CeO</w:t>
      </w:r>
      <w:r w:rsidR="00F22FDE">
        <w:rPr>
          <w:vertAlign w:val="subscript"/>
        </w:rPr>
        <w:t>2</w:t>
      </w:r>
      <w:r w:rsidR="00F22FDE">
        <w:t xml:space="preserve"> vs TiO</w:t>
      </w:r>
      <w:r w:rsidR="00F22FDE">
        <w:rPr>
          <w:vertAlign w:val="subscript"/>
        </w:rPr>
        <w:t>2</w:t>
      </w:r>
      <w:r w:rsidR="00F22FDE">
        <w:t>)</w:t>
      </w:r>
      <w:r>
        <w:t xml:space="preserve">.  Finally, after finding evidence for differential responses between particle </w:t>
      </w:r>
      <w:r w:rsidR="00F22FDE">
        <w:t>composition</w:t>
      </w:r>
      <w:r>
        <w:t xml:space="preserve"> and sizes, we performed separate analyses of each particle </w:t>
      </w:r>
      <w:r w:rsidR="009870FD">
        <w:t>composition</w:t>
      </w:r>
      <w:r>
        <w:t xml:space="preserve"> and size group.  Specifically, we </w:t>
      </w:r>
      <w:r w:rsidR="000B547E">
        <w:t>tested</w:t>
      </w:r>
      <w:r>
        <w:t xml:space="preserve"> for </w:t>
      </w:r>
      <w:r w:rsidR="001F6CEF">
        <w:t>the presence of a concentration-response relationship at each</w:t>
      </w:r>
      <w:r>
        <w:t xml:space="preserve"> </w:t>
      </w:r>
      <w:r>
        <w:lastRenderedPageBreak/>
        <w:t xml:space="preserve">time post-exposure, and </w:t>
      </w:r>
      <w:r w:rsidR="001F6CEF">
        <w:t>for a concentration-response relationship on the</w:t>
      </w:r>
      <w:r>
        <w:t xml:space="preserve"> bicuculline response.  Because the dispersion media </w:t>
      </w:r>
      <w:r w:rsidR="00CA0669">
        <w:t>concentration</w:t>
      </w:r>
      <w:r>
        <w:t xml:space="preserve"> did not appear to impact either the number of active electrodes or the number of spikes we combined the dispersion media </w:t>
      </w:r>
      <w:r w:rsidR="00CA0669">
        <w:t>concentration</w:t>
      </w:r>
      <w:r>
        <w:t xml:space="preserve">s into a single group which we used to represent the zero </w:t>
      </w:r>
      <w:r w:rsidR="00CA0669">
        <w:t>concentration</w:t>
      </w:r>
      <w:r>
        <w:t xml:space="preserve"> for the nanoparticle exposure.  </w:t>
      </w:r>
    </w:p>
    <w:p w:rsidR="00161461" w:rsidRDefault="00161461" w:rsidP="009802BA">
      <w:pPr>
        <w:spacing w:line="480" w:lineRule="auto"/>
        <w:ind w:firstLine="720"/>
        <w:contextualSpacing/>
      </w:pPr>
      <w:r>
        <w:t>To analyze the number of active electrodes we used an over-dispersed binomial mixed-effects regression model. There were 64 total electrodes on each plate, though during any given observation interval not all 64 may have been in use due to technical issues. Our analysis was based on the number of electrodes that were active (defined as electrodes with ≥5 spikes/minute) during an observation interval given the number of electrodes actually in use during that interval.  Electrodes could be in use but not active according to this definition</w:t>
      </w:r>
      <w:r w:rsidR="00CC766D">
        <w:t xml:space="preserve"> (e.g. not grounded due to noise but also recording &lt;5 spikes/min</w:t>
      </w:r>
      <w:r w:rsidR="000B547E">
        <w:t>)</w:t>
      </w:r>
      <w:r>
        <w:t>.</w:t>
      </w:r>
    </w:p>
    <w:p w:rsidR="00161461" w:rsidRDefault="00161461" w:rsidP="009802BA">
      <w:pPr>
        <w:spacing w:line="480" w:lineRule="auto"/>
        <w:ind w:firstLine="720"/>
        <w:contextualSpacing/>
      </w:pPr>
      <w:r>
        <w:t xml:space="preserve">The model used to analyze the total number of spikes was an over-dispersed Poisson mixed-effects regression model with a constant offset given by the natural logarithm of the product of the total time of the observation interval with the number of electrodes active during that interval. The models were run in R (version 2.15.0, see reference) using the lmer function in the lme4 package (version 0.999999-0, </w:t>
      </w:r>
      <w:r w:rsidR="0042256F">
        <w:t>Bates et. al., 2012</w:t>
      </w:r>
      <w:r>
        <w:t xml:space="preserve">), and cross-checked for consistency with the glmmPQL function in the MASS package (version 7.3-23, </w:t>
      </w:r>
      <w:r w:rsidR="0042256F">
        <w:t xml:space="preserve">Venables </w:t>
      </w:r>
      <w:r w:rsidR="0038435C">
        <w:t xml:space="preserve">and </w:t>
      </w:r>
      <w:r w:rsidR="0042256F">
        <w:t>Ripley, 2002</w:t>
      </w:r>
      <w:r>
        <w:t xml:space="preserve">).  Results are reported for lmer.  </w:t>
      </w:r>
    </w:p>
    <w:p w:rsidR="00161461" w:rsidRDefault="00161461" w:rsidP="009802BA">
      <w:pPr>
        <w:spacing w:line="480" w:lineRule="auto"/>
        <w:ind w:firstLine="720"/>
        <w:contextualSpacing/>
      </w:pPr>
      <w:r>
        <w:t>Due to many factors including</w:t>
      </w:r>
      <w:r w:rsidR="00D10C07">
        <w:t xml:space="preserve"> (for example)</w:t>
      </w:r>
      <w:r>
        <w:t xml:space="preserve"> </w:t>
      </w:r>
      <w:r w:rsidR="00D10C07">
        <w:t>random</w:t>
      </w:r>
      <w:r>
        <w:t xml:space="preserve"> differences in cell </w:t>
      </w:r>
      <w:r w:rsidR="00D10C07">
        <w:t>locations during seeding</w:t>
      </w:r>
      <w:r w:rsidR="00D10C07" w:rsidRPr="00D10C07">
        <w:t xml:space="preserve"> </w:t>
      </w:r>
      <w:r w:rsidR="00D10C07">
        <w:t>and other aspects of biological variability</w:t>
      </w:r>
      <w:r>
        <w:t>, neuronal cultures are different across wells within a</w:t>
      </w:r>
      <w:r w:rsidR="00D10C07" w:rsidRPr="00D10C07">
        <w:t xml:space="preserve"> </w:t>
      </w:r>
      <w:r w:rsidR="00D10C07">
        <w:t>plate</w:t>
      </w:r>
      <w:r w:rsidR="000B547E">
        <w:t>, and across plates from different cultures</w:t>
      </w:r>
      <w:r>
        <w:t>.  A mixed-effect model, a classic model used to account for such systematic differences, was used in to account for portion of variation between wells attributable to random biological diffe</w:t>
      </w:r>
      <w:r w:rsidR="00203321">
        <w:t xml:space="preserve">rences (McCullah </w:t>
      </w:r>
      <w:r w:rsidR="004D53BA">
        <w:t>and</w:t>
      </w:r>
      <w:r w:rsidR="00203321">
        <w:t xml:space="preserve"> Nelder, 1989</w:t>
      </w:r>
      <w:r>
        <w:t>).</w:t>
      </w:r>
      <w:r w:rsidR="00F7761B">
        <w:t xml:space="preserve"> The </w:t>
      </w:r>
      <w:r w:rsidR="00F7761B">
        <w:lastRenderedPageBreak/>
        <w:t>random effect terms absorb any ‘systematic differences’ thereby allowing the fixed effect terms to better capture the effects of nanoparticles.</w:t>
      </w:r>
      <w:r>
        <w:t xml:space="preserve">  The random effects part of the model included a separate intercept for each unique combination of </w:t>
      </w:r>
      <w:r w:rsidR="00CA0669">
        <w:t>concentration</w:t>
      </w:r>
      <w:r>
        <w:t xml:space="preserve">, MEA plate ID, and experiment date in order to account for systematic differences between wells. The </w:t>
      </w:r>
      <w:r w:rsidR="001F6CEF">
        <w:t>P</w:t>
      </w:r>
      <w:r>
        <w:t>oisson distribution was chosen due to the discrete nature of spikes as well as because of its widespread use to model neuronal spike trains (Kass and Ventura, 2001; Dayan and Abbott, 2005; Kaufman et al., 2005; Kass et al., 2005; Rieke et al., 1997).  Over-dispersion was accounted for in lmer by a separate random intercept for each observation and in glmmPQL by using the “quasipoisson” likelihood family.  The default link functions were used (logit for the binomial model, log for the Poisson model).</w:t>
      </w:r>
    </w:p>
    <w:p w:rsidR="00161461" w:rsidRPr="00F22FDE" w:rsidRDefault="00161461" w:rsidP="009802BA">
      <w:pPr>
        <w:spacing w:line="480" w:lineRule="auto"/>
        <w:contextualSpacing/>
        <w:rPr>
          <w:i/>
        </w:rPr>
      </w:pPr>
      <w:r w:rsidRPr="00F22FDE">
        <w:rPr>
          <w:i/>
        </w:rPr>
        <w:t>Section 2: Dispersion Media</w:t>
      </w:r>
    </w:p>
    <w:p w:rsidR="00161461" w:rsidRDefault="00F22FDE" w:rsidP="009802BA">
      <w:pPr>
        <w:spacing w:line="480" w:lineRule="auto"/>
        <w:ind w:firstLine="720"/>
        <w:contextualSpacing/>
      </w:pPr>
      <w:r>
        <w:t>As controls, wells were treated with dispersion media only that contained the highes</w:t>
      </w:r>
      <w:r w:rsidR="009F6EC6">
        <w:t>t</w:t>
      </w:r>
      <w:r>
        <w:t xml:space="preserve"> two concentrations of FBS (0.05 and 0.2%). </w:t>
      </w:r>
      <w:r w:rsidR="00D10C07">
        <w:t>T</w:t>
      </w:r>
      <w:r>
        <w:t>hus, t</w:t>
      </w:r>
      <w:r w:rsidR="00161461">
        <w:t>he first task of the analysis was to determine whether the</w:t>
      </w:r>
      <w:r>
        <w:t>se two</w:t>
      </w:r>
      <w:r w:rsidR="00161461">
        <w:t xml:space="preserve"> </w:t>
      </w:r>
      <w:r w:rsidR="00CA0669">
        <w:t>concentration</w:t>
      </w:r>
      <w:r w:rsidR="00161461">
        <w:t>s of the dispersion media could be combined</w:t>
      </w:r>
      <w:r>
        <w:t xml:space="preserve"> into a single control</w:t>
      </w:r>
      <w:r w:rsidR="00161461">
        <w:t xml:space="preserve">.  For both types of data (active electrodes and total spikes) we tested for two different kinds of </w:t>
      </w:r>
      <w:r w:rsidR="00CA0669">
        <w:t>concentration</w:t>
      </w:r>
      <w:r w:rsidR="00161461">
        <w:t xml:space="preserve"> effect.  </w:t>
      </w:r>
    </w:p>
    <w:p w:rsidR="00161461" w:rsidRDefault="00161461" w:rsidP="009802BA">
      <w:pPr>
        <w:spacing w:line="480" w:lineRule="auto"/>
        <w:ind w:firstLine="720"/>
        <w:contextualSpacing/>
      </w:pPr>
      <w:r>
        <w:t xml:space="preserve">First, we tested for the presence of an additive effect of </w:t>
      </w:r>
      <w:r w:rsidR="00CA0669">
        <w:t>concentration</w:t>
      </w:r>
      <w:r>
        <w:t xml:space="preserve">, both by testing the single </w:t>
      </w:r>
      <w:r w:rsidR="00CA0669">
        <w:t>concentration</w:t>
      </w:r>
      <w:r>
        <w:t xml:space="preserve"> parameter and by performing a chi-squared test comparing the model with temporal contrasts and </w:t>
      </w:r>
      <w:r w:rsidR="00CA0669">
        <w:t>concentration</w:t>
      </w:r>
      <w:r>
        <w:t xml:space="preserve"> against the model with only temporal contrasts.  These tests failed to reject the null hypotheses of no </w:t>
      </w:r>
      <w:r w:rsidR="00CA0669">
        <w:t>concentration</w:t>
      </w:r>
      <w:r>
        <w:t xml:space="preserve"> effect (p=0.35 for active electrodes, p=0.39 for total spikes) and no difference in models (p=0.35 for active electrodes, p=0.40 for total spikes). </w:t>
      </w:r>
    </w:p>
    <w:p w:rsidR="00161461" w:rsidRDefault="00161461" w:rsidP="009802BA">
      <w:pPr>
        <w:spacing w:line="480" w:lineRule="auto"/>
        <w:ind w:firstLine="720"/>
        <w:contextualSpacing/>
      </w:pPr>
      <w:r>
        <w:lastRenderedPageBreak/>
        <w:t xml:space="preserve">Second, we tested for the presence of a multiplicative interaction between </w:t>
      </w:r>
      <w:r w:rsidR="00CA0669">
        <w:t>concentration</w:t>
      </w:r>
      <w:r>
        <w:t xml:space="preserve"> and each temporal contrast, both by testing the interaction coefficients simultaneously and by performing on chi-squared test comparing the models with and without the interaction.  These tests also failed to reject any of the null hypotheses at the 0.05 level. Because we could not find any statistically meaningful reason not to combine the dispersion media at different </w:t>
      </w:r>
      <w:r w:rsidR="00CA0669">
        <w:t>concentration</w:t>
      </w:r>
      <w:r>
        <w:t xml:space="preserve">s it was decided to combine the </w:t>
      </w:r>
      <w:r w:rsidR="00CA0669">
        <w:t>concentration</w:t>
      </w:r>
      <w:r>
        <w:t>s into a single group for further use.</w:t>
      </w:r>
    </w:p>
    <w:p w:rsidR="00161461" w:rsidRPr="00F22FDE" w:rsidRDefault="00161461" w:rsidP="009802BA">
      <w:pPr>
        <w:spacing w:line="480" w:lineRule="auto"/>
        <w:contextualSpacing/>
        <w:rPr>
          <w:i/>
        </w:rPr>
      </w:pPr>
      <w:r w:rsidRPr="00F22FDE">
        <w:rPr>
          <w:i/>
        </w:rPr>
        <w:t>Section 3: Global Test</w:t>
      </w:r>
      <w:r w:rsidR="00F22FDE">
        <w:rPr>
          <w:i/>
        </w:rPr>
        <w:t xml:space="preserve"> of Particle Composition and Size Effects</w:t>
      </w:r>
    </w:p>
    <w:p w:rsidR="00161461" w:rsidRDefault="00161461" w:rsidP="009802BA">
      <w:pPr>
        <w:spacing w:line="480" w:lineRule="auto"/>
        <w:ind w:firstLine="720"/>
        <w:contextualSpacing/>
      </w:pPr>
      <w:r>
        <w:t>Next we tested whether there were any differences among particle sizes</w:t>
      </w:r>
      <w:r w:rsidR="00F22FDE">
        <w:t xml:space="preserve"> (nanoparticle vs microparticle)</w:t>
      </w:r>
      <w:r>
        <w:t xml:space="preserve"> and </w:t>
      </w:r>
      <w:r w:rsidR="00F22FDE">
        <w:t>composition (CeO</w:t>
      </w:r>
      <w:r w:rsidR="00F22FDE">
        <w:rPr>
          <w:vertAlign w:val="subscript"/>
        </w:rPr>
        <w:t>2</w:t>
      </w:r>
      <w:r w:rsidR="00F22FDE">
        <w:t xml:space="preserve"> vs TiO</w:t>
      </w:r>
      <w:r w:rsidR="00F22FDE">
        <w:rPr>
          <w:vertAlign w:val="subscript"/>
        </w:rPr>
        <w:t>2</w:t>
      </w:r>
      <w:r w:rsidR="00F22FDE">
        <w:t>)</w:t>
      </w:r>
      <w:r>
        <w:t xml:space="preserve">.  We performed likelihood ratio tests comparing a null model with fixed effects of time and </w:t>
      </w:r>
      <w:r w:rsidR="00CA0669">
        <w:t>concentration</w:t>
      </w:r>
      <w:r>
        <w:t xml:space="preserve"> to three alternative models:</w:t>
      </w:r>
      <w:r w:rsidR="00D10C07">
        <w:t xml:space="preserve"> a model that also included </w:t>
      </w:r>
      <w:r>
        <w:t>particle size,</w:t>
      </w:r>
      <w:r w:rsidR="00D10C07">
        <w:t xml:space="preserve"> a model that also included </w:t>
      </w:r>
      <w:r>
        <w:t xml:space="preserve">particle </w:t>
      </w:r>
      <w:r w:rsidR="009870FD">
        <w:t>composition</w:t>
      </w:r>
      <w:r>
        <w:t xml:space="preserve">, and a model that included both size and </w:t>
      </w:r>
      <w:r w:rsidR="009870FD">
        <w:t>composition</w:t>
      </w:r>
      <w:r>
        <w:t xml:space="preserve">. To model </w:t>
      </w:r>
      <w:r w:rsidR="00CA0669">
        <w:t>concentration</w:t>
      </w:r>
      <w:r>
        <w:t xml:space="preserve"> it was necessary to use the dispersion media to account for the behavior of the electrodes without the nanoparticle exposure.  There were four </w:t>
      </w:r>
      <w:r w:rsidR="00D10C07">
        <w:t xml:space="preserve">possible exposure </w:t>
      </w:r>
      <w:r w:rsidR="00CA0669">
        <w:t>concentration</w:t>
      </w:r>
      <w:r w:rsidR="00D10C07">
        <w:t xml:space="preserve">s per </w:t>
      </w:r>
      <w:r>
        <w:t xml:space="preserve">particle </w:t>
      </w:r>
      <w:r w:rsidR="009870FD">
        <w:t>composition</w:t>
      </w:r>
      <w:r w:rsidR="00F22FDE">
        <w:t xml:space="preserve"> (3.125, 6.25, 12.5, and 50 </w:t>
      </w:r>
      <w:r w:rsidR="00F22FDE">
        <w:rPr>
          <w:rFonts w:cs="Times New Roman"/>
        </w:rPr>
        <w:t>µ</w:t>
      </w:r>
      <w:r>
        <w:t>g/mL), while the dispersion media</w:t>
      </w:r>
      <w:r w:rsidR="00F22FDE">
        <w:t xml:space="preserve"> data was interpreted as a 0.0 </w:t>
      </w:r>
      <w:r w:rsidR="00F22FDE">
        <w:rPr>
          <w:rFonts w:cs="Times New Roman"/>
        </w:rPr>
        <w:t>µ</w:t>
      </w:r>
      <w:r>
        <w:t xml:space="preserve">g/mL </w:t>
      </w:r>
      <w:r w:rsidR="00CA0669">
        <w:t>concentration</w:t>
      </w:r>
      <w:r>
        <w:t xml:space="preserve">.  Hence there were four </w:t>
      </w:r>
      <w:r w:rsidR="00CA0669">
        <w:t>concentration</w:t>
      </w:r>
      <w:r>
        <w:t xml:space="preserve"> contrasts, 3.125 </w:t>
      </w:r>
      <w:r w:rsidR="00F22FDE">
        <w:rPr>
          <w:rFonts w:cs="Times New Roman"/>
        </w:rPr>
        <w:t>µ</w:t>
      </w:r>
      <w:r>
        <w:t>g/mL</w:t>
      </w:r>
      <w:r w:rsidR="00F22FDE">
        <w:t xml:space="preserve"> versus dispersion media, 6.25 </w:t>
      </w:r>
      <w:r w:rsidR="00F22FDE">
        <w:rPr>
          <w:rFonts w:cs="Times New Roman"/>
        </w:rPr>
        <w:t>µ</w:t>
      </w:r>
      <w:r>
        <w:t xml:space="preserve">g/mL dispersion media versus dispersion media, etc….  </w:t>
      </w:r>
    </w:p>
    <w:p w:rsidR="00161461" w:rsidRDefault="00161461" w:rsidP="009802BA">
      <w:pPr>
        <w:spacing w:line="480" w:lineRule="auto"/>
        <w:ind w:firstLine="720"/>
        <w:contextualSpacing/>
      </w:pPr>
      <w:r>
        <w:t>For the total spike data we were able to reject the hypothesis of no difference in</w:t>
      </w:r>
      <w:r w:rsidR="00D10C07">
        <w:t xml:space="preserve"> fit between the model with </w:t>
      </w:r>
      <w:r>
        <w:t>particle size and the null model (p=0.010).  We also found that the hypothesis of no difference in fit between the null model and the model with bot</w:t>
      </w:r>
      <w:r w:rsidR="00D10C07">
        <w:t xml:space="preserve">h </w:t>
      </w:r>
      <w:r>
        <w:t xml:space="preserve">particle size and </w:t>
      </w:r>
      <w:r w:rsidR="00F22FDE">
        <w:t xml:space="preserve">composition </w:t>
      </w:r>
      <w:r>
        <w:t>could be rejected at a marginal significance level (p=0.063).  The hypothesis of no difference in fit between the nu</w:t>
      </w:r>
      <w:r w:rsidR="00D10C07">
        <w:t xml:space="preserve">ll model and the model with </w:t>
      </w:r>
      <w:r>
        <w:t xml:space="preserve">particle </w:t>
      </w:r>
      <w:r w:rsidR="00F22FDE">
        <w:t>composition</w:t>
      </w:r>
      <w:r>
        <w:t xml:space="preserve"> could not be rejected (p=0.20).</w:t>
      </w:r>
    </w:p>
    <w:p w:rsidR="00161461" w:rsidRDefault="00161461" w:rsidP="009802BA">
      <w:pPr>
        <w:spacing w:line="480" w:lineRule="auto"/>
        <w:ind w:firstLine="720"/>
        <w:contextualSpacing/>
      </w:pPr>
      <w:r>
        <w:lastRenderedPageBreak/>
        <w:t xml:space="preserve">For the active electrode data we found a similar pattern, but </w:t>
      </w:r>
      <w:r w:rsidR="00F22FDE">
        <w:t xml:space="preserve">with stronger evidence of a </w:t>
      </w:r>
      <w:r>
        <w:t xml:space="preserve">particle size effect. Specifically, the hypothesis of no difference in fit between the null model and the models with particle size and both size and </w:t>
      </w:r>
      <w:r w:rsidR="00F22FDE">
        <w:t>composition</w:t>
      </w:r>
      <w:r>
        <w:t xml:space="preserve"> was rejected at a high significance level (p &lt;2.6×10-16 and p=1.8×10-9, respectively).  We could not reject the hypothesis of no difference in fit between the null model and the model with particle </w:t>
      </w:r>
      <w:r w:rsidR="00F22FDE">
        <w:t>composition</w:t>
      </w:r>
      <w:r>
        <w:t xml:space="preserve"> (p=0.72).  </w:t>
      </w:r>
    </w:p>
    <w:p w:rsidR="00161461" w:rsidRPr="00F22FDE" w:rsidRDefault="00161461" w:rsidP="009802BA">
      <w:pPr>
        <w:spacing w:line="480" w:lineRule="auto"/>
        <w:contextualSpacing/>
        <w:rPr>
          <w:i/>
        </w:rPr>
      </w:pPr>
      <w:r w:rsidRPr="00F22FDE">
        <w:rPr>
          <w:i/>
        </w:rPr>
        <w:t xml:space="preserve">Section 4: </w:t>
      </w:r>
      <w:r w:rsidR="00F22FDE">
        <w:rPr>
          <w:i/>
        </w:rPr>
        <w:t xml:space="preserve">Analysis of Effects of Individual </w:t>
      </w:r>
      <w:r w:rsidR="00D10C07" w:rsidRPr="00F22FDE">
        <w:rPr>
          <w:i/>
        </w:rPr>
        <w:t>P</w:t>
      </w:r>
      <w:r w:rsidRPr="00F22FDE">
        <w:rPr>
          <w:i/>
        </w:rPr>
        <w:t>articles</w:t>
      </w:r>
    </w:p>
    <w:p w:rsidR="00161461" w:rsidRDefault="00161461" w:rsidP="009802BA">
      <w:pPr>
        <w:spacing w:line="480" w:lineRule="auto"/>
        <w:ind w:firstLine="720"/>
        <w:contextualSpacing/>
      </w:pPr>
      <w:r>
        <w:t xml:space="preserve">Given the apparent differences between particle sizes and </w:t>
      </w:r>
      <w:r w:rsidR="00F22FDE">
        <w:t>composition</w:t>
      </w:r>
      <w:r>
        <w:t xml:space="preserve">, the third task of the analysis was to investigate </w:t>
      </w:r>
      <w:r w:rsidR="00F26FBE">
        <w:t xml:space="preserve">concentration-related </w:t>
      </w:r>
      <w:r>
        <w:t>effect</w:t>
      </w:r>
      <w:r w:rsidR="00F26FBE">
        <w:t>s</w:t>
      </w:r>
      <w:r>
        <w:t xml:space="preserve"> of</w:t>
      </w:r>
      <w:r w:rsidR="00D10C07">
        <w:t xml:space="preserve"> </w:t>
      </w:r>
      <w:r>
        <w:t>particle exposure on each of the tempora</w:t>
      </w:r>
      <w:r w:rsidR="00D10C07">
        <w:t xml:space="preserve">l contrasts for each </w:t>
      </w:r>
      <w:r>
        <w:t xml:space="preserve">particles. </w:t>
      </w:r>
      <w:r w:rsidR="001F6CEF">
        <w:t>The purpose of this analysis was have an unbiased determination of whether the effects of a particle reached a threshold level (p&lt;0.05), and therefore that particle should be considered for further evaluation in “second tier” toxicity tests.</w:t>
      </w:r>
      <w:r>
        <w:t xml:space="preserve"> Initially a linear </w:t>
      </w:r>
      <w:r w:rsidR="00D10C07">
        <w:t>concentration</w:t>
      </w:r>
      <w:r>
        <w:t xml:space="preserve"> trend </w:t>
      </w:r>
      <w:r w:rsidR="00D10C07">
        <w:t xml:space="preserve">model </w:t>
      </w:r>
      <w:r>
        <w:t xml:space="preserve">was tried, but that the highest </w:t>
      </w:r>
      <w:r w:rsidR="00D10C07">
        <w:t>concentration</w:t>
      </w:r>
      <w:r>
        <w:t xml:space="preserve"> (50 </w:t>
      </w:r>
      <w:r w:rsidR="00F22FDE">
        <w:rPr>
          <w:rFonts w:cs="Times New Roman"/>
        </w:rPr>
        <w:t>µ</w:t>
      </w:r>
      <w:r>
        <w:t xml:space="preserve">g/mL) was found to be so influential that it could induce a </w:t>
      </w:r>
      <w:r w:rsidR="00753A5E">
        <w:t xml:space="preserve">threshold-level </w:t>
      </w:r>
      <w:r w:rsidR="00D10C07">
        <w:t>concentration-response</w:t>
      </w:r>
      <w:r>
        <w:t xml:space="preserve"> effect without support from any other </w:t>
      </w:r>
      <w:r w:rsidR="00D10C07">
        <w:t>tested concentration</w:t>
      </w:r>
      <w:r>
        <w:t xml:space="preserve">.  A log transformation of data was considered, but the resulting loss of the 0.0 </w:t>
      </w:r>
      <w:r w:rsidR="00F22FDE">
        <w:rPr>
          <w:rFonts w:cs="Times New Roman"/>
        </w:rPr>
        <w:t>µ</w:t>
      </w:r>
      <w:r>
        <w:t xml:space="preserve">g/mL </w:t>
      </w:r>
      <w:r w:rsidR="00D10C07">
        <w:t>concentration</w:t>
      </w:r>
      <w:r w:rsidR="00753A5E">
        <w:t xml:space="preserve"> (dispersion media)</w:t>
      </w:r>
      <w:r>
        <w:t xml:space="preserve"> would have eliminated an important negative control.  Instead, the square root of the </w:t>
      </w:r>
      <w:r w:rsidR="00D10C07">
        <w:t>concentration</w:t>
      </w:r>
      <w:r>
        <w:t xml:space="preserve"> was used; this made the high </w:t>
      </w:r>
      <w:r w:rsidR="00D10C07">
        <w:t>concentration</w:t>
      </w:r>
      <w:r>
        <w:t xml:space="preserve"> less influential while allowing retention of the negative control. </w:t>
      </w:r>
    </w:p>
    <w:p w:rsidR="00161461" w:rsidRDefault="00161461" w:rsidP="009802BA">
      <w:pPr>
        <w:spacing w:line="480" w:lineRule="auto"/>
        <w:ind w:firstLine="720"/>
        <w:contextualSpacing/>
      </w:pPr>
      <w:r>
        <w:t xml:space="preserve">For each nanoparticle type and data type (active electrodes and total spikes), two kinds of temporal contrasts were explored: The differences between the baseline and the 1, 24, and 48 </w:t>
      </w:r>
      <w:r w:rsidR="003B6438">
        <w:t>h</w:t>
      </w:r>
      <w:r>
        <w:t xml:space="preserve"> time points, and the response </w:t>
      </w:r>
      <w:r w:rsidR="003B6438">
        <w:t>to Bicuculline after the 48 h</w:t>
      </w:r>
      <w:r>
        <w:t xml:space="preserve"> time point.  Separate mixed-effects models were run for each kind of contrast.</w:t>
      </w:r>
    </w:p>
    <w:p w:rsidR="00181DF8" w:rsidRDefault="00181DF8" w:rsidP="009802BA">
      <w:pPr>
        <w:spacing w:line="480" w:lineRule="auto"/>
        <w:ind w:firstLine="720"/>
        <w:contextualSpacing/>
      </w:pPr>
      <w:r w:rsidRPr="005950B6">
        <w:lastRenderedPageBreak/>
        <w:t>We could have chosen from several different statistical models to analyze spike data. We selected the Poisson model because it has been widely utilized in other studies of neuronal firing and it is a good model for the spike data. If one examines manuscript figure 1, it is clear that spike rates are not constant. Thus, in a given unit of time (e.g. 1 sec) spikes are either present or not. The distribution of such activity is well modeled by a Poisson distribution, particularly when spike rates are low as in the case of the present data (~1 Hz). Because of the Poisson model was used, rate data (such as MFR) cannot be used as the input data, as the model is predicated on count, not rate data. Thus the choice of the models dictated that we express the data in the paper as TS because MFR is a rate variable.</w:t>
      </w:r>
    </w:p>
    <w:p w:rsidR="00F26FBE" w:rsidRDefault="00D10C07" w:rsidP="009802BA">
      <w:pPr>
        <w:spacing w:line="480" w:lineRule="auto"/>
        <w:ind w:firstLine="720"/>
        <w:contextualSpacing/>
      </w:pPr>
      <w:r>
        <w:t xml:space="preserve">For each </w:t>
      </w:r>
      <w:r w:rsidR="00161461">
        <w:t xml:space="preserve">particle type, data type, and kind of temporal contrast, the </w:t>
      </w:r>
      <w:r>
        <w:t>concentration</w:t>
      </w:r>
      <w:r w:rsidR="00161461">
        <w:t xml:space="preserve"> effect was tested with a (square root) </w:t>
      </w:r>
      <w:r>
        <w:t>concentration</w:t>
      </w:r>
      <w:r w:rsidR="00161461">
        <w:t xml:space="preserve"> trend</w:t>
      </w:r>
      <w:r w:rsidR="00F26FBE">
        <w:t>, which</w:t>
      </w:r>
      <w:r w:rsidR="00161461">
        <w:t xml:space="preserve"> included a multiplicative interaction between the temporal contrasts and the (square root) </w:t>
      </w:r>
      <w:r>
        <w:t>concentration</w:t>
      </w:r>
      <w:r w:rsidR="00161461">
        <w:t xml:space="preserve"> trend in the fixed-effect part of the model, which allowed testing of whether the temporal contrasts exhibited systematic </w:t>
      </w:r>
      <w:r>
        <w:t>concentration</w:t>
      </w:r>
      <w:r w:rsidR="00161461">
        <w:t xml:space="preserve"> dependence.  </w:t>
      </w:r>
    </w:p>
    <w:p w:rsidR="00E61A48" w:rsidRDefault="00CB4E8E" w:rsidP="009802BA">
      <w:pPr>
        <w:spacing w:line="480" w:lineRule="auto"/>
        <w:contextualSpacing/>
        <w:rPr>
          <w:b/>
        </w:rPr>
      </w:pPr>
      <w:r>
        <w:rPr>
          <w:b/>
        </w:rPr>
        <w:t>Supplementary Data</w:t>
      </w:r>
    </w:p>
    <w:p w:rsidR="004E7CB2" w:rsidRDefault="004E7CB2" w:rsidP="006E2EAC">
      <w:pPr>
        <w:spacing w:line="480" w:lineRule="auto"/>
        <w:contextualSpacing/>
        <w:rPr>
          <w:rFonts w:cs="Times New Roman"/>
          <w:szCs w:val="24"/>
        </w:rPr>
      </w:pPr>
      <w:r>
        <w:rPr>
          <w:b/>
        </w:rPr>
        <w:t xml:space="preserve">Supplemental Figure 1. </w:t>
      </w:r>
      <w:r w:rsidR="00753A5E">
        <w:rPr>
          <w:b/>
        </w:rPr>
        <w:t>SEM images of particle dispersions.</w:t>
      </w:r>
      <w:r w:rsidR="0051058B">
        <w:t xml:space="preserve"> </w:t>
      </w:r>
      <w:r w:rsidR="00072C30">
        <w:t>See below.</w:t>
      </w:r>
    </w:p>
    <w:p w:rsidR="004E7CB2" w:rsidRDefault="004E7CB2" w:rsidP="006E2EAC">
      <w:pPr>
        <w:spacing w:line="480" w:lineRule="auto"/>
        <w:contextualSpacing/>
      </w:pPr>
      <w:r>
        <w:rPr>
          <w:b/>
        </w:rPr>
        <w:t>Supplemental Figure 2. TEM images of 5 and 8 nm CeO</w:t>
      </w:r>
      <w:r>
        <w:rPr>
          <w:b/>
          <w:vertAlign w:val="subscript"/>
        </w:rPr>
        <w:t>2</w:t>
      </w:r>
      <w:r>
        <w:rPr>
          <w:b/>
        </w:rPr>
        <w:t xml:space="preserve">. </w:t>
      </w:r>
      <w:r w:rsidR="00072C30">
        <w:t>See below.</w:t>
      </w:r>
    </w:p>
    <w:p w:rsidR="00E61A48" w:rsidRDefault="00E61A48" w:rsidP="00E61A48">
      <w:pPr>
        <w:spacing w:line="480" w:lineRule="auto"/>
        <w:ind w:firstLine="720"/>
        <w:contextualSpacing/>
        <w:rPr>
          <w:rFonts w:cs="Times New Roman"/>
          <w:szCs w:val="24"/>
        </w:rPr>
      </w:pPr>
      <w:r>
        <w:rPr>
          <w:rFonts w:cs="Times New Roman"/>
          <w:b/>
          <w:szCs w:val="24"/>
        </w:rPr>
        <w:t xml:space="preserve">Changes in dispersions over time. </w:t>
      </w:r>
      <w:r>
        <w:rPr>
          <w:rFonts w:cs="Times New Roman"/>
          <w:szCs w:val="24"/>
        </w:rPr>
        <w:t>At 24 and 48 h post-sonication, there was a consistent decrease in the distribution of particles &lt;100 and &gt;500 nm, while the percentage of particles between 100 and 500 nm increased. The exception was 5 nm CeO</w:t>
      </w:r>
      <w:r>
        <w:rPr>
          <w:rFonts w:cs="Times New Roman"/>
          <w:szCs w:val="24"/>
          <w:vertAlign w:val="subscript"/>
        </w:rPr>
        <w:t>2</w:t>
      </w:r>
      <w:r>
        <w:rPr>
          <w:rFonts w:cs="Times New Roman"/>
          <w:szCs w:val="24"/>
        </w:rPr>
        <w:t>. This change was accompanied by a decrease in PDI and Z-averages. For example, most CeO</w:t>
      </w:r>
      <w:r w:rsidRPr="009B232C">
        <w:rPr>
          <w:rFonts w:cs="Times New Roman"/>
          <w:szCs w:val="24"/>
          <w:vertAlign w:val="subscript"/>
        </w:rPr>
        <w:t>2</w:t>
      </w:r>
      <w:r>
        <w:rPr>
          <w:rFonts w:cs="Times New Roman"/>
          <w:szCs w:val="24"/>
        </w:rPr>
        <w:t xml:space="preserve"> and TiO</w:t>
      </w:r>
      <w:r w:rsidRPr="009B232C">
        <w:rPr>
          <w:rFonts w:cs="Times New Roman"/>
          <w:szCs w:val="24"/>
          <w:vertAlign w:val="subscript"/>
        </w:rPr>
        <w:t>2</w:t>
      </w:r>
      <w:r>
        <w:rPr>
          <w:rFonts w:cs="Times New Roman"/>
          <w:szCs w:val="24"/>
        </w:rPr>
        <w:t xml:space="preserve"> dispersions agglomerate Z-averages ranged from 224 – 626 nm immediately following sonication; but</w:t>
      </w:r>
      <w:r w:rsidRPr="00AC0793">
        <w:rPr>
          <w:rFonts w:cs="Times New Roman"/>
          <w:szCs w:val="24"/>
        </w:rPr>
        <w:t xml:space="preserve"> </w:t>
      </w:r>
      <w:r>
        <w:rPr>
          <w:rFonts w:cs="Times New Roman"/>
          <w:szCs w:val="24"/>
        </w:rPr>
        <w:t>ranged from 178 - 242 nm by 48 h</w:t>
      </w:r>
      <w:r w:rsidRPr="00AC0793">
        <w:rPr>
          <w:rFonts w:cs="Times New Roman"/>
          <w:szCs w:val="24"/>
        </w:rPr>
        <w:t xml:space="preserve">.  </w:t>
      </w:r>
      <w:r>
        <w:rPr>
          <w:rFonts w:cs="Times New Roman"/>
          <w:szCs w:val="24"/>
        </w:rPr>
        <w:t xml:space="preserve">PDI </w:t>
      </w:r>
      <w:r w:rsidRPr="004A7BA9">
        <w:rPr>
          <w:rFonts w:cs="Times New Roman"/>
          <w:szCs w:val="24"/>
        </w:rPr>
        <w:t xml:space="preserve">values </w:t>
      </w:r>
      <w:r>
        <w:rPr>
          <w:rFonts w:cs="Times New Roman"/>
          <w:szCs w:val="24"/>
        </w:rPr>
        <w:t xml:space="preserve">at </w:t>
      </w:r>
      <w:r w:rsidRPr="004A7BA9">
        <w:rPr>
          <w:rFonts w:cs="Times New Roman"/>
          <w:szCs w:val="24"/>
        </w:rPr>
        <w:t xml:space="preserve">48 h were between 0.1 and 0.2, </w:t>
      </w:r>
      <w:r w:rsidRPr="004A7BA9">
        <w:rPr>
          <w:rFonts w:cs="Times New Roman"/>
          <w:szCs w:val="24"/>
        </w:rPr>
        <w:lastRenderedPageBreak/>
        <w:t>indicating that the particle distributions became mor</w:t>
      </w:r>
      <w:r>
        <w:rPr>
          <w:rFonts w:cs="Times New Roman"/>
          <w:szCs w:val="24"/>
        </w:rPr>
        <w:t>e monodisperse over time, likely reflecting settling of large agglomerates as well as some agglomeration of smaller particles.</w:t>
      </w:r>
    </w:p>
    <w:p w:rsidR="00D940FF" w:rsidRDefault="00D940FF" w:rsidP="00753A5E">
      <w:pPr>
        <w:rPr>
          <w:rFonts w:cs="Times New Roman"/>
          <w:b/>
          <w:szCs w:val="24"/>
        </w:rPr>
      </w:pPr>
    </w:p>
    <w:p w:rsidR="00753A5E" w:rsidRPr="00072C30" w:rsidRDefault="00072C30" w:rsidP="00753A5E">
      <w:pPr>
        <w:rPr>
          <w:szCs w:val="24"/>
        </w:rPr>
      </w:pPr>
      <w:r>
        <w:rPr>
          <w:rFonts w:cs="Times New Roman"/>
          <w:b/>
          <w:szCs w:val="24"/>
        </w:rPr>
        <w:t xml:space="preserve">Supplemental Figure 3. </w:t>
      </w:r>
      <w:r w:rsidRPr="00150478">
        <w:rPr>
          <w:rFonts w:cs="Times New Roman"/>
          <w:b/>
          <w:szCs w:val="24"/>
        </w:rPr>
        <w:t>Effects of exposure to metal oxide NPs and MPs on cell viability in primary cultures of cortical neurons.</w:t>
      </w:r>
      <w:r>
        <w:rPr>
          <w:rFonts w:cs="Times New Roman"/>
          <w:b/>
          <w:szCs w:val="24"/>
        </w:rPr>
        <w:t xml:space="preserve"> </w:t>
      </w:r>
    </w:p>
    <w:p w:rsidR="00CB4E8E" w:rsidRDefault="00CB4E8E" w:rsidP="009802BA">
      <w:pPr>
        <w:spacing w:line="480" w:lineRule="auto"/>
        <w:ind w:firstLine="720"/>
        <w:contextualSpacing/>
        <w:rPr>
          <w:rFonts w:cs="Times New Roman"/>
          <w:szCs w:val="24"/>
        </w:rPr>
      </w:pPr>
      <w:r>
        <w:rPr>
          <w:rFonts w:cs="Times New Roman"/>
          <w:szCs w:val="24"/>
        </w:rPr>
        <w:t>Prior to examining effects of metal oxide particles on neuronal function, their effects on viability of the cortical culture were evaluated. The ability of the particles to induce increased release of intracellular LDH over control cultures was employed as a measure of cytotoxicity. At 100 µg/ml, two particles (5 nm CeO</w:t>
      </w:r>
      <w:r>
        <w:rPr>
          <w:rFonts w:cs="Times New Roman"/>
          <w:szCs w:val="24"/>
          <w:vertAlign w:val="subscript"/>
        </w:rPr>
        <w:t>2</w:t>
      </w:r>
      <w:r>
        <w:rPr>
          <w:rFonts w:cs="Times New Roman"/>
          <w:szCs w:val="24"/>
        </w:rPr>
        <w:t xml:space="preserve"> and 31 nm TiO</w:t>
      </w:r>
      <w:r>
        <w:rPr>
          <w:rFonts w:cs="Times New Roman"/>
          <w:szCs w:val="24"/>
          <w:vertAlign w:val="subscript"/>
        </w:rPr>
        <w:t>2</w:t>
      </w:r>
      <w:r>
        <w:rPr>
          <w:rFonts w:cs="Times New Roman"/>
          <w:szCs w:val="24"/>
        </w:rPr>
        <w:t>) caused small but statistically significant increases in LDH release (P&lt;0.01 after Bonferroni correction; Welsh’s two-sided t-test). At concentrations of 50 μg/ml and below, none of the CeO</w:t>
      </w:r>
      <w:r w:rsidRPr="002B2CD5">
        <w:rPr>
          <w:rFonts w:cs="Times New Roman"/>
          <w:szCs w:val="24"/>
          <w:vertAlign w:val="subscript"/>
        </w:rPr>
        <w:t>2</w:t>
      </w:r>
      <w:r>
        <w:rPr>
          <w:rFonts w:cs="Times New Roman"/>
          <w:szCs w:val="24"/>
        </w:rPr>
        <w:t xml:space="preserve"> or TiO</w:t>
      </w:r>
      <w:r w:rsidRPr="002B2CD5">
        <w:rPr>
          <w:rFonts w:cs="Times New Roman"/>
          <w:szCs w:val="24"/>
          <w:vertAlign w:val="subscript"/>
        </w:rPr>
        <w:t>2</w:t>
      </w:r>
      <w:r>
        <w:rPr>
          <w:rFonts w:cs="Times New Roman"/>
          <w:szCs w:val="24"/>
        </w:rPr>
        <w:t xml:space="preserve"> particles increased LDH release after 48 h of exposure</w:t>
      </w:r>
      <w:r w:rsidRPr="00CF70F8">
        <w:rPr>
          <w:rFonts w:cs="Times New Roman"/>
          <w:szCs w:val="24"/>
        </w:rPr>
        <w:t xml:space="preserve"> </w:t>
      </w:r>
      <w:r>
        <w:rPr>
          <w:rFonts w:cs="Times New Roman"/>
          <w:szCs w:val="24"/>
        </w:rPr>
        <w:t>(</w:t>
      </w:r>
      <w:r w:rsidR="00DB589C">
        <w:rPr>
          <w:rFonts w:cs="Times New Roman"/>
          <w:szCs w:val="24"/>
        </w:rPr>
        <w:t xml:space="preserve">Supplemental </w:t>
      </w:r>
      <w:r>
        <w:rPr>
          <w:rFonts w:cs="Times New Roman"/>
          <w:szCs w:val="24"/>
        </w:rPr>
        <w:t xml:space="preserve">Figure </w:t>
      </w:r>
      <w:r w:rsidR="00072C30">
        <w:rPr>
          <w:rFonts w:cs="Times New Roman"/>
          <w:szCs w:val="24"/>
        </w:rPr>
        <w:t>3, below</w:t>
      </w:r>
      <w:r>
        <w:rPr>
          <w:rFonts w:cs="Times New Roman"/>
          <w:szCs w:val="24"/>
        </w:rPr>
        <w:t xml:space="preserve">). It is well known that NPs can interfere with various cellular cytotoxicity assays </w:t>
      </w:r>
      <w:r w:rsidRPr="008E6C4C">
        <w:rPr>
          <w:rFonts w:cs="Times New Roman"/>
          <w:szCs w:val="24"/>
        </w:rPr>
        <w:t xml:space="preserve">(Monteiro-Riviere et al., 2009; Han et al., 2011). </w:t>
      </w:r>
      <w:r>
        <w:rPr>
          <w:rFonts w:cs="Times New Roman"/>
          <w:szCs w:val="24"/>
        </w:rPr>
        <w:t>Therefore, to confirm the LDH assay results, the ability of CeO</w:t>
      </w:r>
      <w:r w:rsidRPr="002B2CD5">
        <w:rPr>
          <w:rFonts w:cs="Times New Roman"/>
          <w:szCs w:val="24"/>
          <w:vertAlign w:val="subscript"/>
        </w:rPr>
        <w:t>2</w:t>
      </w:r>
      <w:r>
        <w:rPr>
          <w:rFonts w:cs="Times New Roman"/>
          <w:szCs w:val="24"/>
        </w:rPr>
        <w:t xml:space="preserve"> and TiO</w:t>
      </w:r>
      <w:r w:rsidRPr="002B2CD5">
        <w:rPr>
          <w:rFonts w:cs="Times New Roman"/>
          <w:szCs w:val="24"/>
          <w:vertAlign w:val="subscript"/>
        </w:rPr>
        <w:t>2</w:t>
      </w:r>
      <w:r>
        <w:rPr>
          <w:rFonts w:cs="Times New Roman"/>
          <w:szCs w:val="24"/>
        </w:rPr>
        <w:t xml:space="preserve"> particles to increase levels of the </w:t>
      </w:r>
      <w:r w:rsidRPr="004D6CC4">
        <w:rPr>
          <w:rFonts w:cs="Times New Roman"/>
          <w:szCs w:val="24"/>
        </w:rPr>
        <w:t>vital stain propidium iodide (PI)</w:t>
      </w:r>
      <w:r>
        <w:rPr>
          <w:rFonts w:cs="Times New Roman"/>
          <w:szCs w:val="24"/>
        </w:rPr>
        <w:t>,</w:t>
      </w:r>
      <w:r w:rsidRPr="004D6CC4">
        <w:rPr>
          <w:rFonts w:cs="Times New Roman"/>
          <w:szCs w:val="24"/>
        </w:rPr>
        <w:t xml:space="preserve"> which binds to DNA only in cells with a compromised plasma membrane</w:t>
      </w:r>
      <w:r>
        <w:rPr>
          <w:rFonts w:cs="Times New Roman"/>
          <w:szCs w:val="24"/>
        </w:rPr>
        <w:t>, was assessed using previously established methods (McConnell et al., 2012). Over the concentration range and time frame examined (6 - 50 μg/ml; 48 h), none of the CeO</w:t>
      </w:r>
      <w:r w:rsidRPr="002B2CD5">
        <w:rPr>
          <w:rFonts w:cs="Times New Roman"/>
          <w:szCs w:val="24"/>
          <w:vertAlign w:val="subscript"/>
        </w:rPr>
        <w:t>2</w:t>
      </w:r>
      <w:r>
        <w:rPr>
          <w:rFonts w:cs="Times New Roman"/>
          <w:szCs w:val="24"/>
        </w:rPr>
        <w:t xml:space="preserve"> or TiO</w:t>
      </w:r>
      <w:r w:rsidRPr="002B2CD5">
        <w:rPr>
          <w:rFonts w:cs="Times New Roman"/>
          <w:szCs w:val="24"/>
          <w:vertAlign w:val="subscript"/>
        </w:rPr>
        <w:t>2</w:t>
      </w:r>
      <w:r>
        <w:rPr>
          <w:rFonts w:cs="Times New Roman"/>
          <w:szCs w:val="24"/>
        </w:rPr>
        <w:t xml:space="preserve"> particle treated cultures increased the level of PI staining over control cultures (data not shown), which is consistent with the lack of particle effect on viability observed in the LDH assay. As such, particle effects on network function were assessed at concentrations of 50 μg/ml and below.</w:t>
      </w:r>
    </w:p>
    <w:p w:rsidR="00D940FF" w:rsidRDefault="00D940FF" w:rsidP="00D940FF">
      <w:pPr>
        <w:spacing w:line="480" w:lineRule="auto"/>
        <w:contextualSpacing/>
        <w:rPr>
          <w:rFonts w:cs="Times New Roman"/>
          <w:b/>
          <w:szCs w:val="24"/>
        </w:rPr>
      </w:pPr>
    </w:p>
    <w:p w:rsidR="00D940FF" w:rsidRPr="00103C26" w:rsidRDefault="00D940FF" w:rsidP="00D940FF">
      <w:pPr>
        <w:spacing w:line="480" w:lineRule="auto"/>
        <w:contextualSpacing/>
        <w:rPr>
          <w:rFonts w:cs="Times New Roman"/>
          <w:b/>
          <w:szCs w:val="24"/>
        </w:rPr>
      </w:pPr>
      <w:r>
        <w:rPr>
          <w:rFonts w:cs="Times New Roman"/>
          <w:b/>
          <w:szCs w:val="24"/>
        </w:rPr>
        <w:t xml:space="preserve">Baseline activity in MEAs. </w:t>
      </w:r>
      <w:r>
        <w:rPr>
          <w:rFonts w:cs="Times New Roman"/>
          <w:szCs w:val="24"/>
        </w:rPr>
        <w:t xml:space="preserve">In the present study, data was collected from a total of 195 wells from 21 different cortical cultures (on 30 mwMEA plates).  Overall, each well contained 33.9 ± </w:t>
      </w:r>
      <w:r>
        <w:rPr>
          <w:rFonts w:cs="Times New Roman"/>
          <w:szCs w:val="24"/>
        </w:rPr>
        <w:lastRenderedPageBreak/>
        <w:t>0.849 active electrodes/well (mean ± SEM., n=195) which had a MFR of 63.4 ± 3 spikes/min/well (~1 Hz; mean ± SEM, n=195) under control conditions</w:t>
      </w:r>
    </w:p>
    <w:p w:rsidR="00576E88" w:rsidRDefault="00576E88" w:rsidP="00D940FF">
      <w:pPr>
        <w:spacing w:line="480" w:lineRule="auto"/>
        <w:contextualSpacing/>
        <w:rPr>
          <w:rFonts w:cs="Times New Roman"/>
          <w:szCs w:val="24"/>
        </w:rPr>
      </w:pPr>
    </w:p>
    <w:p w:rsidR="00576E88" w:rsidRPr="00576E88" w:rsidRDefault="00576E88" w:rsidP="00576E88">
      <w:pPr>
        <w:spacing w:line="480" w:lineRule="auto"/>
        <w:contextualSpacing/>
        <w:rPr>
          <w:rFonts w:cs="Times New Roman"/>
          <w:b/>
          <w:szCs w:val="24"/>
        </w:rPr>
      </w:pPr>
      <w:r w:rsidRPr="00576E88">
        <w:rPr>
          <w:rFonts w:cs="Times New Roman"/>
          <w:b/>
          <w:szCs w:val="24"/>
        </w:rPr>
        <w:t>Supplemental discussion related to nanoparticle effects on neurophysiological measures</w:t>
      </w:r>
    </w:p>
    <w:p w:rsidR="00CB4E8E" w:rsidRDefault="00576E88" w:rsidP="00D940FF">
      <w:pPr>
        <w:spacing w:line="480" w:lineRule="auto"/>
        <w:contextualSpacing/>
        <w:rPr>
          <w:rFonts w:cs="Times New Roman"/>
          <w:szCs w:val="24"/>
        </w:rPr>
      </w:pPr>
      <w:r>
        <w:rPr>
          <w:rFonts w:cs="Times New Roman"/>
          <w:szCs w:val="24"/>
        </w:rPr>
        <w:t>This includes shifted cortical electrical activity, increased sensory-evoked potential latency (Papp et al., 2012), increased electro-olfactogram amplitude (Viswaprakash et al., 2009) and decreased tail nerve conduction velocities (Sárközi et al., 2009); Horváth et al., 2012)</w:t>
      </w:r>
      <w:r>
        <w:rPr>
          <w:rFonts w:cs="Times New Roman"/>
          <w:i/>
          <w:szCs w:val="24"/>
        </w:rPr>
        <w:t>.</w:t>
      </w:r>
      <w:r>
        <w:rPr>
          <w:rFonts w:cs="Times New Roman"/>
          <w:szCs w:val="24"/>
        </w:rPr>
        <w:t xml:space="preserve"> Other effects reported include increased population spike amplitude (Kordonets et al., 2008), decreased excitatory postsynaptic field potential slope (An et al., 2012) and upregulated levels of NMDA receptor subunits and CaMKIV mRNAs (Win-Shwe et al., 2009). In vitro studies indicate that neurophysiological alterations may arise from effects on ion channels, as different particle types disrupt nicotinic acetylcholine receptors (Chin et al., 2010), voltage-gated sodium (Tang et al., 2008; Liu et al., 2009; 2011a) and potassium (Park et al., 2003; Monticelli et al., 2012; Shan et al., 2012; Liu et al., 2011b, Xu et al., 2009) channels. In at least one case, these effects may be secondary to the generation of reactive oxygen species (Liu et al., 2011a).</w:t>
      </w:r>
    </w:p>
    <w:p w:rsidR="00576E88" w:rsidRDefault="00576E88" w:rsidP="00CB4E8E">
      <w:pPr>
        <w:spacing w:line="240" w:lineRule="auto"/>
        <w:contextualSpacing/>
        <w:rPr>
          <w:b/>
        </w:rPr>
      </w:pPr>
    </w:p>
    <w:p w:rsidR="0092391F" w:rsidRDefault="0092391F">
      <w:pPr>
        <w:spacing w:line="360" w:lineRule="atLeast"/>
        <w:rPr>
          <w:b/>
        </w:rPr>
      </w:pPr>
      <w:r>
        <w:rPr>
          <w:b/>
        </w:rPr>
        <w:br w:type="page"/>
      </w:r>
    </w:p>
    <w:p w:rsidR="0092391F" w:rsidRPr="003075FE" w:rsidRDefault="00C3778C" w:rsidP="0092391F">
      <w:pPr>
        <w:rPr>
          <w:rFonts w:cs="Times New Roman"/>
          <w:szCs w:val="24"/>
        </w:rPr>
      </w:pPr>
      <w:r>
        <w:rPr>
          <w:rFonts w:cs="Times New Roman"/>
          <w:szCs w:val="24"/>
        </w:rPr>
        <w:lastRenderedPageBreak/>
        <w:t xml:space="preserve">Supplemental </w:t>
      </w:r>
      <w:r w:rsidR="0092391F" w:rsidRPr="00447DCB">
        <w:rPr>
          <w:rFonts w:cs="Times New Roman"/>
          <w:szCs w:val="24"/>
        </w:rPr>
        <w:t xml:space="preserve">Table </w:t>
      </w:r>
      <w:r w:rsidR="0092391F">
        <w:rPr>
          <w:rFonts w:cs="Times New Roman"/>
          <w:szCs w:val="24"/>
        </w:rPr>
        <w:t>3. Comparison of in vitro concentrations for particle effects</w:t>
      </w:r>
      <w:r w:rsidR="0092391F">
        <w:rPr>
          <w:rFonts w:cs="Times New Roman"/>
          <w:szCs w:val="24"/>
          <w:vertAlign w:val="superscript"/>
        </w:rPr>
        <w:t>a</w:t>
      </w:r>
    </w:p>
    <w:tbl>
      <w:tblPr>
        <w:tblStyle w:val="MediumShading1"/>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none" w:sz="0" w:space="0" w:color="auto"/>
        </w:tblBorders>
        <w:tblLook w:val="04A0" w:firstRow="1" w:lastRow="0" w:firstColumn="1" w:lastColumn="0" w:noHBand="0" w:noVBand="1"/>
      </w:tblPr>
      <w:tblGrid>
        <w:gridCol w:w="1294"/>
        <w:gridCol w:w="1843"/>
        <w:gridCol w:w="2371"/>
        <w:gridCol w:w="2169"/>
        <w:gridCol w:w="1899"/>
      </w:tblGrid>
      <w:tr w:rsidR="0092391F" w:rsidRPr="002E2E11" w:rsidTr="00C2263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48" w:type="dxa"/>
            <w:tcBorders>
              <w:top w:val="single" w:sz="18" w:space="0" w:color="404040" w:themeColor="text1" w:themeTint="BF"/>
              <w:left w:val="none" w:sz="0" w:space="0" w:color="auto"/>
              <w:bottom w:val="nil"/>
              <w:right w:val="single" w:sz="18" w:space="0" w:color="404040" w:themeColor="text1" w:themeTint="BF"/>
            </w:tcBorders>
            <w:vAlign w:val="center"/>
          </w:tcPr>
          <w:p w:rsidR="0092391F" w:rsidRPr="008F6A39" w:rsidRDefault="0092391F" w:rsidP="00C22631">
            <w:pPr>
              <w:jc w:val="center"/>
              <w:rPr>
                <w:rFonts w:cstheme="minorHAnsi"/>
                <w:sz w:val="26"/>
                <w:szCs w:val="26"/>
              </w:rPr>
            </w:pPr>
            <w:r w:rsidRPr="008F6A39">
              <w:rPr>
                <w:rFonts w:cstheme="minorHAnsi"/>
                <w:sz w:val="26"/>
                <w:szCs w:val="26"/>
              </w:rPr>
              <w:t>Particle Types</w:t>
            </w:r>
          </w:p>
        </w:tc>
        <w:tc>
          <w:tcPr>
            <w:tcW w:w="2520" w:type="dxa"/>
            <w:tcBorders>
              <w:top w:val="single" w:sz="18" w:space="0" w:color="404040" w:themeColor="text1" w:themeTint="BF"/>
              <w:left w:val="single" w:sz="18" w:space="0" w:color="404040" w:themeColor="text1" w:themeTint="BF"/>
              <w:bottom w:val="nil"/>
              <w:right w:val="none" w:sz="0" w:space="0" w:color="auto"/>
            </w:tcBorders>
            <w:vAlign w:val="center"/>
          </w:tcPr>
          <w:p w:rsidR="0092391F" w:rsidRPr="002E2E11" w:rsidRDefault="0092391F" w:rsidP="00C22631">
            <w:pPr>
              <w:jc w:val="cente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E2E11">
              <w:rPr>
                <w:rFonts w:cstheme="minorHAnsi"/>
                <w:sz w:val="26"/>
                <w:szCs w:val="26"/>
              </w:rPr>
              <w:t>Endpoint</w:t>
            </w:r>
          </w:p>
        </w:tc>
        <w:tc>
          <w:tcPr>
            <w:tcW w:w="3702" w:type="dxa"/>
            <w:tcBorders>
              <w:top w:val="none" w:sz="0" w:space="0" w:color="auto"/>
              <w:left w:val="none" w:sz="0" w:space="0" w:color="auto"/>
              <w:bottom w:val="none" w:sz="0" w:space="0" w:color="auto"/>
              <w:right w:val="none" w:sz="0" w:space="0" w:color="auto"/>
            </w:tcBorders>
            <w:vAlign w:val="center"/>
          </w:tcPr>
          <w:p w:rsidR="0092391F" w:rsidRPr="002E2E11" w:rsidRDefault="0092391F" w:rsidP="00C22631">
            <w:pPr>
              <w:jc w:val="cente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E2E11">
              <w:rPr>
                <w:rFonts w:cstheme="minorHAnsi"/>
                <w:sz w:val="26"/>
                <w:szCs w:val="26"/>
              </w:rPr>
              <w:t>Model</w:t>
            </w:r>
          </w:p>
        </w:tc>
        <w:tc>
          <w:tcPr>
            <w:tcW w:w="2590" w:type="dxa"/>
            <w:tcBorders>
              <w:top w:val="none" w:sz="0" w:space="0" w:color="auto"/>
              <w:left w:val="none" w:sz="0" w:space="0" w:color="auto"/>
              <w:bottom w:val="none" w:sz="0" w:space="0" w:color="auto"/>
              <w:right w:val="none" w:sz="0" w:space="0" w:color="auto"/>
            </w:tcBorders>
            <w:vAlign w:val="center"/>
          </w:tcPr>
          <w:p w:rsidR="0092391F" w:rsidRPr="002E2E11" w:rsidRDefault="0092391F" w:rsidP="00C22631">
            <w:pPr>
              <w:jc w:val="cente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E2E11">
              <w:rPr>
                <w:rFonts w:cstheme="minorHAnsi"/>
                <w:sz w:val="26"/>
                <w:szCs w:val="26"/>
              </w:rPr>
              <w:t>Concentration Range (µg/ml) of Effects</w:t>
            </w:r>
          </w:p>
        </w:tc>
        <w:tc>
          <w:tcPr>
            <w:tcW w:w="2590" w:type="dxa"/>
            <w:tcBorders>
              <w:top w:val="none" w:sz="0" w:space="0" w:color="auto"/>
              <w:left w:val="none" w:sz="0" w:space="0" w:color="auto"/>
              <w:bottom w:val="none" w:sz="0" w:space="0" w:color="auto"/>
              <w:right w:val="none" w:sz="0" w:space="0" w:color="auto"/>
            </w:tcBorders>
            <w:vAlign w:val="center"/>
          </w:tcPr>
          <w:p w:rsidR="0092391F" w:rsidRPr="002E2E11" w:rsidRDefault="0092391F" w:rsidP="00C22631">
            <w:pPr>
              <w:jc w:val="cente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2E2E11">
              <w:rPr>
                <w:rFonts w:cstheme="minorHAnsi"/>
                <w:sz w:val="26"/>
                <w:szCs w:val="26"/>
              </w:rPr>
              <w:t>Reference</w:t>
            </w:r>
          </w:p>
        </w:tc>
      </w:tr>
      <w:tr w:rsidR="0092391F" w:rsidRPr="002E2E11" w:rsidTr="00C2263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nil"/>
              <w:right w:val="single" w:sz="18" w:space="0" w:color="404040" w:themeColor="text1" w:themeTint="BF"/>
            </w:tcBorders>
            <w:vAlign w:val="center"/>
          </w:tcPr>
          <w:p w:rsidR="0092391F" w:rsidRPr="008F6A39" w:rsidRDefault="0092391F" w:rsidP="00C22631">
            <w:pPr>
              <w:jc w:val="center"/>
              <w:rPr>
                <w:rFonts w:cstheme="minorHAnsi"/>
                <w:sz w:val="26"/>
                <w:szCs w:val="26"/>
                <w:vertAlign w:val="subscript"/>
              </w:rPr>
            </w:pPr>
            <w:r w:rsidRPr="008F6A39">
              <w:rPr>
                <w:rFonts w:cstheme="minorHAnsi"/>
                <w:sz w:val="26"/>
                <w:szCs w:val="26"/>
              </w:rPr>
              <w:t>CeO</w:t>
            </w:r>
            <w:r w:rsidRPr="008F6A39">
              <w:rPr>
                <w:rFonts w:cstheme="minorHAnsi"/>
                <w:sz w:val="26"/>
                <w:szCs w:val="26"/>
                <w:vertAlign w:val="subscript"/>
              </w:rPr>
              <w:t>2</w:t>
            </w:r>
            <w:r w:rsidRPr="008F6A39">
              <w:rPr>
                <w:rFonts w:cstheme="minorHAnsi"/>
                <w:sz w:val="26"/>
                <w:szCs w:val="26"/>
              </w:rPr>
              <w:t>; TiO</w:t>
            </w:r>
            <w:r w:rsidRPr="008F6A39">
              <w:rPr>
                <w:rFonts w:cstheme="minorHAnsi"/>
                <w:sz w:val="26"/>
                <w:szCs w:val="26"/>
                <w:vertAlign w:val="subscript"/>
              </w:rPr>
              <w:t>2</w:t>
            </w:r>
          </w:p>
        </w:tc>
        <w:tc>
          <w:tcPr>
            <w:tcW w:w="2520" w:type="dxa"/>
            <w:tcBorders>
              <w:top w:val="nil"/>
              <w:left w:val="single" w:sz="18" w:space="0" w:color="404040" w:themeColor="text1" w:themeTint="BF"/>
              <w:bottom w:val="nil"/>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TS, #AE</w:t>
            </w:r>
          </w:p>
        </w:tc>
        <w:tc>
          <w:tcPr>
            <w:tcW w:w="3702"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Primary Neural Culture</w:t>
            </w:r>
          </w:p>
        </w:tc>
        <w:tc>
          <w:tcPr>
            <w:tcW w:w="2590"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3 - 10</w:t>
            </w:r>
          </w:p>
        </w:tc>
        <w:tc>
          <w:tcPr>
            <w:tcW w:w="2590" w:type="dxa"/>
            <w:tcBorders>
              <w:lef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Present Study</w:t>
            </w:r>
          </w:p>
        </w:tc>
      </w:tr>
      <w:tr w:rsidR="0092391F" w:rsidRPr="002E2E11" w:rsidTr="00C22631">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nil"/>
              <w:right w:val="single" w:sz="18" w:space="0" w:color="404040" w:themeColor="text1" w:themeTint="BF"/>
            </w:tcBorders>
            <w:vAlign w:val="center"/>
          </w:tcPr>
          <w:p w:rsidR="0092391F" w:rsidRPr="008F6A39" w:rsidRDefault="0092391F" w:rsidP="00C22631">
            <w:pPr>
              <w:jc w:val="center"/>
              <w:rPr>
                <w:rFonts w:cstheme="minorHAnsi"/>
                <w:sz w:val="26"/>
                <w:szCs w:val="26"/>
                <w:vertAlign w:val="subscript"/>
              </w:rPr>
            </w:pPr>
            <w:r w:rsidRPr="008F6A39">
              <w:rPr>
                <w:rFonts w:cstheme="minorHAnsi"/>
                <w:sz w:val="26"/>
                <w:szCs w:val="26"/>
              </w:rPr>
              <w:t>CeO</w:t>
            </w:r>
            <w:r w:rsidRPr="008F6A39">
              <w:rPr>
                <w:rFonts w:cstheme="minorHAnsi"/>
                <w:sz w:val="26"/>
                <w:szCs w:val="26"/>
                <w:vertAlign w:val="subscript"/>
              </w:rPr>
              <w:t>2</w:t>
            </w:r>
            <w:r w:rsidRPr="008F6A39">
              <w:rPr>
                <w:rFonts w:cstheme="minorHAnsi"/>
                <w:sz w:val="26"/>
                <w:szCs w:val="26"/>
              </w:rPr>
              <w:t>; TiO</w:t>
            </w:r>
            <w:r w:rsidRPr="008F6A39">
              <w:rPr>
                <w:rFonts w:cstheme="minorHAnsi"/>
                <w:sz w:val="26"/>
                <w:szCs w:val="26"/>
                <w:vertAlign w:val="subscript"/>
              </w:rPr>
              <w:t>2</w:t>
            </w:r>
          </w:p>
        </w:tc>
        <w:tc>
          <w:tcPr>
            <w:tcW w:w="2520" w:type="dxa"/>
            <w:tcBorders>
              <w:top w:val="nil"/>
              <w:left w:val="single" w:sz="18" w:space="0" w:color="404040" w:themeColor="text1" w:themeTint="BF"/>
              <w:bottom w:val="nil"/>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DNA adducts</w:t>
            </w:r>
          </w:p>
        </w:tc>
        <w:tc>
          <w:tcPr>
            <w:tcW w:w="3702"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Thymus tissue</w:t>
            </w:r>
          </w:p>
        </w:tc>
        <w:tc>
          <w:tcPr>
            <w:tcW w:w="2590"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100</w:t>
            </w:r>
          </w:p>
        </w:tc>
        <w:tc>
          <w:tcPr>
            <w:tcW w:w="2590" w:type="dxa"/>
            <w:tcBorders>
              <w:lef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Kitchen et al., 2011</w:t>
            </w:r>
          </w:p>
        </w:tc>
      </w:tr>
      <w:tr w:rsidR="0092391F" w:rsidRPr="002E2E11" w:rsidTr="00C2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nil"/>
              <w:right w:val="single" w:sz="18" w:space="0" w:color="404040" w:themeColor="text1" w:themeTint="BF"/>
            </w:tcBorders>
            <w:vAlign w:val="center"/>
          </w:tcPr>
          <w:p w:rsidR="0092391F" w:rsidRPr="008F6A39" w:rsidRDefault="0092391F" w:rsidP="00C22631">
            <w:pPr>
              <w:jc w:val="center"/>
              <w:rPr>
                <w:rFonts w:cstheme="minorHAnsi"/>
                <w:sz w:val="26"/>
                <w:szCs w:val="26"/>
              </w:rPr>
            </w:pPr>
            <w:r w:rsidRPr="008F6A39">
              <w:rPr>
                <w:rFonts w:cstheme="minorHAnsi"/>
                <w:sz w:val="26"/>
                <w:szCs w:val="26"/>
              </w:rPr>
              <w:t>TiO</w:t>
            </w:r>
            <w:r w:rsidRPr="008F6A39">
              <w:rPr>
                <w:rFonts w:cstheme="minorHAnsi"/>
                <w:sz w:val="26"/>
                <w:szCs w:val="26"/>
                <w:vertAlign w:val="subscript"/>
              </w:rPr>
              <w:t>2</w:t>
            </w:r>
          </w:p>
        </w:tc>
        <w:tc>
          <w:tcPr>
            <w:tcW w:w="2520" w:type="dxa"/>
            <w:tcBorders>
              <w:top w:val="nil"/>
              <w:left w:val="single" w:sz="18" w:space="0" w:color="404040" w:themeColor="text1" w:themeTint="BF"/>
              <w:bottom w:val="nil"/>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Cell cycle, DNA damage</w:t>
            </w:r>
          </w:p>
        </w:tc>
        <w:tc>
          <w:tcPr>
            <w:tcW w:w="3702"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Human bronchial epithelial cells (BEAS2B)</w:t>
            </w:r>
          </w:p>
        </w:tc>
        <w:tc>
          <w:tcPr>
            <w:tcW w:w="2590"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10-100</w:t>
            </w:r>
          </w:p>
        </w:tc>
        <w:tc>
          <w:tcPr>
            <w:tcW w:w="2590" w:type="dxa"/>
            <w:tcBorders>
              <w:lef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Prasad et al., 2013</w:t>
            </w:r>
          </w:p>
        </w:tc>
      </w:tr>
      <w:tr w:rsidR="0092391F" w:rsidRPr="002E2E11" w:rsidTr="00C22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nil"/>
              <w:right w:val="single" w:sz="18" w:space="0" w:color="404040" w:themeColor="text1" w:themeTint="BF"/>
            </w:tcBorders>
            <w:vAlign w:val="center"/>
          </w:tcPr>
          <w:p w:rsidR="0092391F" w:rsidRPr="008F6A39" w:rsidRDefault="0092391F" w:rsidP="00C22631">
            <w:pPr>
              <w:jc w:val="center"/>
              <w:rPr>
                <w:rFonts w:cstheme="minorHAnsi"/>
                <w:sz w:val="26"/>
                <w:szCs w:val="26"/>
              </w:rPr>
            </w:pPr>
            <w:r w:rsidRPr="008F6A39">
              <w:rPr>
                <w:rFonts w:cstheme="minorHAnsi"/>
                <w:sz w:val="26"/>
                <w:szCs w:val="26"/>
              </w:rPr>
              <w:t>TiO</w:t>
            </w:r>
            <w:r w:rsidRPr="008F6A39">
              <w:rPr>
                <w:rFonts w:cstheme="minorHAnsi"/>
                <w:sz w:val="26"/>
                <w:szCs w:val="26"/>
                <w:vertAlign w:val="subscript"/>
              </w:rPr>
              <w:t>2</w:t>
            </w:r>
          </w:p>
        </w:tc>
        <w:tc>
          <w:tcPr>
            <w:tcW w:w="2520" w:type="dxa"/>
            <w:tcBorders>
              <w:top w:val="nil"/>
              <w:left w:val="single" w:sz="18" w:space="0" w:color="404040" w:themeColor="text1" w:themeTint="BF"/>
              <w:bottom w:val="nil"/>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Proteomic alterations</w:t>
            </w:r>
          </w:p>
        </w:tc>
        <w:tc>
          <w:tcPr>
            <w:tcW w:w="3702"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Human bronchial epithelial cells (BEAS2B)</w:t>
            </w:r>
          </w:p>
        </w:tc>
        <w:tc>
          <w:tcPr>
            <w:tcW w:w="2590"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10 or 100</w:t>
            </w:r>
          </w:p>
        </w:tc>
        <w:tc>
          <w:tcPr>
            <w:tcW w:w="2590" w:type="dxa"/>
            <w:tcBorders>
              <w:lef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Ge et al., 2011</w:t>
            </w:r>
          </w:p>
        </w:tc>
      </w:tr>
      <w:tr w:rsidR="0092391F" w:rsidRPr="002E2E11" w:rsidTr="00C22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nil"/>
              <w:right w:val="single" w:sz="18" w:space="0" w:color="404040" w:themeColor="text1" w:themeTint="BF"/>
            </w:tcBorders>
            <w:vAlign w:val="center"/>
          </w:tcPr>
          <w:p w:rsidR="0092391F" w:rsidRPr="008F6A39" w:rsidRDefault="0092391F" w:rsidP="00C22631">
            <w:pPr>
              <w:jc w:val="center"/>
              <w:rPr>
                <w:rFonts w:cstheme="minorHAnsi"/>
                <w:sz w:val="26"/>
                <w:szCs w:val="26"/>
              </w:rPr>
            </w:pPr>
            <w:r w:rsidRPr="008F6A39">
              <w:rPr>
                <w:rFonts w:cstheme="minorHAnsi"/>
                <w:sz w:val="26"/>
                <w:szCs w:val="26"/>
              </w:rPr>
              <w:t>TiO</w:t>
            </w:r>
            <w:r w:rsidRPr="008F6A39">
              <w:rPr>
                <w:rFonts w:cstheme="minorHAnsi"/>
                <w:sz w:val="26"/>
                <w:szCs w:val="26"/>
                <w:vertAlign w:val="subscript"/>
              </w:rPr>
              <w:t>2</w:t>
            </w:r>
          </w:p>
        </w:tc>
        <w:tc>
          <w:tcPr>
            <w:tcW w:w="2520" w:type="dxa"/>
            <w:tcBorders>
              <w:top w:val="nil"/>
              <w:left w:val="single" w:sz="18" w:space="0" w:color="404040" w:themeColor="text1" w:themeTint="BF"/>
              <w:bottom w:val="nil"/>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microRNA expression and profiling</w:t>
            </w:r>
          </w:p>
        </w:tc>
        <w:tc>
          <w:tcPr>
            <w:tcW w:w="3702"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Human bronchial epithelial cells (BEAS2B)</w:t>
            </w:r>
          </w:p>
        </w:tc>
        <w:tc>
          <w:tcPr>
            <w:tcW w:w="2590" w:type="dxa"/>
            <w:tcBorders>
              <w:left w:val="none" w:sz="0" w:space="0" w:color="auto"/>
              <w:righ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10-100</w:t>
            </w:r>
          </w:p>
        </w:tc>
        <w:tc>
          <w:tcPr>
            <w:tcW w:w="2590" w:type="dxa"/>
            <w:tcBorders>
              <w:left w:val="none" w:sz="0" w:space="0" w:color="auto"/>
            </w:tcBorders>
            <w:vAlign w:val="center"/>
          </w:tcPr>
          <w:p w:rsidR="0092391F" w:rsidRPr="002E2E11" w:rsidRDefault="0092391F" w:rsidP="00C22631">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E2E11">
              <w:rPr>
                <w:rFonts w:cstheme="minorHAnsi"/>
                <w:szCs w:val="24"/>
              </w:rPr>
              <w:t>Thai et al., 2014</w:t>
            </w:r>
          </w:p>
        </w:tc>
      </w:tr>
      <w:tr w:rsidR="0092391F" w:rsidRPr="002E2E11" w:rsidTr="00C22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il"/>
              <w:bottom w:val="single" w:sz="18" w:space="0" w:color="auto"/>
              <w:right w:val="single" w:sz="18" w:space="0" w:color="404040" w:themeColor="text1" w:themeTint="BF"/>
            </w:tcBorders>
            <w:vAlign w:val="center"/>
          </w:tcPr>
          <w:p w:rsidR="0092391F" w:rsidRPr="008F6A39" w:rsidRDefault="0092391F" w:rsidP="00C22631">
            <w:pPr>
              <w:jc w:val="center"/>
              <w:rPr>
                <w:rFonts w:cstheme="minorHAnsi"/>
                <w:sz w:val="26"/>
                <w:szCs w:val="26"/>
              </w:rPr>
            </w:pPr>
            <w:r w:rsidRPr="008F6A39">
              <w:rPr>
                <w:rFonts w:cstheme="minorHAnsi"/>
                <w:sz w:val="26"/>
                <w:szCs w:val="26"/>
              </w:rPr>
              <w:t>TiO</w:t>
            </w:r>
            <w:r w:rsidRPr="008F6A39">
              <w:rPr>
                <w:rFonts w:cstheme="minorHAnsi"/>
                <w:sz w:val="26"/>
                <w:szCs w:val="26"/>
                <w:vertAlign w:val="subscript"/>
              </w:rPr>
              <w:t>2</w:t>
            </w:r>
          </w:p>
        </w:tc>
        <w:tc>
          <w:tcPr>
            <w:tcW w:w="2520" w:type="dxa"/>
            <w:tcBorders>
              <w:top w:val="nil"/>
              <w:left w:val="single" w:sz="18" w:space="0" w:color="404040" w:themeColor="text1" w:themeTint="BF"/>
              <w:bottom w:val="single" w:sz="18"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Oxidative stress</w:t>
            </w:r>
          </w:p>
        </w:tc>
        <w:tc>
          <w:tcPr>
            <w:tcW w:w="3702"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Human retinal epithelial (ARPE19) cells</w:t>
            </w:r>
          </w:p>
        </w:tc>
        <w:tc>
          <w:tcPr>
            <w:tcW w:w="2590" w:type="dxa"/>
            <w:tcBorders>
              <w:left w:val="none" w:sz="0" w:space="0" w:color="auto"/>
              <w:righ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&gt;100 in the absence of UV radiation</w:t>
            </w:r>
          </w:p>
        </w:tc>
        <w:tc>
          <w:tcPr>
            <w:tcW w:w="2590" w:type="dxa"/>
            <w:tcBorders>
              <w:left w:val="none" w:sz="0" w:space="0" w:color="auto"/>
            </w:tcBorders>
            <w:vAlign w:val="center"/>
          </w:tcPr>
          <w:p w:rsidR="0092391F" w:rsidRPr="002E2E11" w:rsidRDefault="0092391F" w:rsidP="00C22631">
            <w:pPr>
              <w:cnfStyle w:val="000000010000" w:firstRow="0" w:lastRow="0" w:firstColumn="0" w:lastColumn="0" w:oddVBand="0" w:evenVBand="0" w:oddHBand="0" w:evenHBand="1" w:firstRowFirstColumn="0" w:firstRowLastColumn="0" w:lastRowFirstColumn="0" w:lastRowLastColumn="0"/>
              <w:rPr>
                <w:rFonts w:cstheme="minorHAnsi"/>
                <w:szCs w:val="24"/>
              </w:rPr>
            </w:pPr>
            <w:r w:rsidRPr="002E2E11">
              <w:rPr>
                <w:rFonts w:cstheme="minorHAnsi"/>
                <w:szCs w:val="24"/>
              </w:rPr>
              <w:t>Sanders et al., 2012</w:t>
            </w:r>
          </w:p>
        </w:tc>
      </w:tr>
    </w:tbl>
    <w:p w:rsidR="0092391F" w:rsidRPr="00447DCB" w:rsidRDefault="0092391F" w:rsidP="0092391F">
      <w:pPr>
        <w:rPr>
          <w:rFonts w:cs="Times New Roman"/>
          <w:szCs w:val="24"/>
        </w:rPr>
      </w:pPr>
    </w:p>
    <w:p w:rsidR="0092391F" w:rsidRPr="003075FE" w:rsidRDefault="0092391F" w:rsidP="0092391F">
      <w:pPr>
        <w:rPr>
          <w:rFonts w:cs="Times New Roman"/>
          <w:szCs w:val="24"/>
        </w:rPr>
      </w:pPr>
      <w:r>
        <w:rPr>
          <w:rFonts w:cs="Times New Roman"/>
          <w:szCs w:val="24"/>
          <w:vertAlign w:val="superscript"/>
        </w:rPr>
        <w:t>a</w:t>
      </w:r>
      <w:r>
        <w:rPr>
          <w:rFonts w:cs="Times New Roman"/>
          <w:szCs w:val="24"/>
        </w:rPr>
        <w:t>This table provides a summary of reported effects and the concentration ranges over which those effects were observed; for complete details, see the associated publications.</w:t>
      </w:r>
    </w:p>
    <w:p w:rsidR="0092391F" w:rsidRDefault="0092391F">
      <w:pPr>
        <w:spacing w:line="360" w:lineRule="atLeast"/>
        <w:rPr>
          <w:b/>
        </w:rPr>
      </w:pPr>
      <w:r>
        <w:rPr>
          <w:b/>
        </w:rPr>
        <w:br w:type="page"/>
      </w:r>
    </w:p>
    <w:p w:rsidR="00DD1785" w:rsidRPr="00DD1785" w:rsidRDefault="00DD1785" w:rsidP="00DD1785">
      <w:pPr>
        <w:rPr>
          <w:b/>
        </w:rPr>
      </w:pPr>
      <w:r w:rsidRPr="00DD1785">
        <w:rPr>
          <w:b/>
        </w:rPr>
        <w:lastRenderedPageBreak/>
        <w:t>References:</w:t>
      </w:r>
    </w:p>
    <w:p w:rsidR="0029560E" w:rsidRDefault="0029560E" w:rsidP="00DD1785">
      <w:pPr>
        <w:ind w:left="720" w:hanging="720"/>
        <w:contextualSpacing/>
      </w:pPr>
      <w:r w:rsidRPr="0029560E">
        <w:t>An L, Liu S, Yang Z, Zhang T.  Cognitive impairment in rats induced by nano-CuO and its possible mechanisms.  Toxicol Lett. 2012. 213, 220-7.</w:t>
      </w:r>
    </w:p>
    <w:p w:rsidR="00DD1785" w:rsidRDefault="00DD1785" w:rsidP="00DD1785">
      <w:pPr>
        <w:ind w:left="720" w:hanging="720"/>
        <w:contextualSpacing/>
      </w:pPr>
      <w:r>
        <w:t xml:space="preserve">Bates D, Maechler M, and Bolker B (2012). lme4: Linear mixed-effects models using S4 classes. R package version 0.999999-0.  </w:t>
      </w:r>
      <w:hyperlink r:id="rId9" w:history="1">
        <w:r w:rsidR="0029560E" w:rsidRPr="00DC3DE5">
          <w:rPr>
            <w:rStyle w:val="Hyperlink"/>
          </w:rPr>
          <w:t>http://CRAN.R-project.org/package=lme4</w:t>
        </w:r>
      </w:hyperlink>
      <w:r w:rsidRPr="00DD1785">
        <w:t xml:space="preserve"> </w:t>
      </w:r>
    </w:p>
    <w:p w:rsidR="0029560E" w:rsidRDefault="0029560E" w:rsidP="00DD1785">
      <w:pPr>
        <w:ind w:left="720" w:hanging="720"/>
        <w:contextualSpacing/>
      </w:pPr>
      <w:r w:rsidRPr="0029560E">
        <w:t>Chin C, Kim IK, Lim DY, Kim KS, Lee HA, Kim EJ. Gold nanoparticle-choline complexes can block nicotinic acetylcholine receptors.  Int J Nanomedicine. 2010. 5, 315-21.</w:t>
      </w:r>
    </w:p>
    <w:p w:rsidR="006E2EAC" w:rsidRDefault="006E2EAC" w:rsidP="00DD1785">
      <w:pPr>
        <w:ind w:left="720" w:hanging="720"/>
        <w:contextualSpacing/>
      </w:pPr>
      <w:r w:rsidRPr="006E2EAC">
        <w:t>Cohen JM, Teeguarden JG, Demodritou P. An integrated approach for the in vitro dosimetry of engineered nanomaterials. Particle and Fibre Toxicol. 2014. 11, 20.</w:t>
      </w:r>
    </w:p>
    <w:p w:rsidR="00DD1785" w:rsidRDefault="00DD1785" w:rsidP="00DD1785">
      <w:pPr>
        <w:ind w:left="720" w:hanging="720"/>
        <w:contextualSpacing/>
      </w:pPr>
      <w:r>
        <w:t>Dayan P, Abbot L. Theoretical Neuroscience: Computational and Mathematical Modeling of Neural Systems.  The MIT Press, Cambridge. 2005.</w:t>
      </w:r>
      <w:r w:rsidRPr="00DD1785">
        <w:t xml:space="preserve"> </w:t>
      </w:r>
    </w:p>
    <w:p w:rsidR="00DD1785" w:rsidRDefault="00DD1785" w:rsidP="00DD1785">
      <w:pPr>
        <w:ind w:left="720" w:hanging="720"/>
        <w:contextualSpacing/>
      </w:pPr>
      <w:r w:rsidRPr="00E71AF7">
        <w:t>Dickson D, Liu G, Li C, Tachiev G,  and Cia Y.  Disperison and stability of bare hematite nanoparticles:  Effect of dispersion tools, nanoparticle concentration, humic acid and ionic strength.  Science of th</w:t>
      </w:r>
      <w:r w:rsidR="00E567C7">
        <w:t>e Total Environment.  2012. 419,</w:t>
      </w:r>
      <w:r w:rsidRPr="00E71AF7">
        <w:t xml:space="preserve"> 170-7.</w:t>
      </w:r>
    </w:p>
    <w:p w:rsidR="002273B1" w:rsidRDefault="002273B1" w:rsidP="00DD1785">
      <w:pPr>
        <w:ind w:left="720" w:hanging="720"/>
        <w:contextualSpacing/>
      </w:pPr>
      <w:r w:rsidRPr="002273B1">
        <w:t>Ge Y, Burno M, Wallace K, Winnik W, and Prasad, RY. Proteosome profiling reveals potential toxicity and detoxification pathways following exposure of BEAS-2B cells to engineered nanoparticle titanium dioxide. Proteomics. 2011. 11, 2406-22.</w:t>
      </w:r>
    </w:p>
    <w:p w:rsidR="000F12D1" w:rsidRDefault="000F12D1" w:rsidP="00DD1785">
      <w:pPr>
        <w:ind w:left="720" w:hanging="720"/>
        <w:contextualSpacing/>
      </w:pPr>
      <w:r w:rsidRPr="000F12D1">
        <w:t>Han X Gelein R, Corson N, Wade-Mercer P, Jiang J, Biswas P, Finkelstein JN, Elder A, Oberdörster G. Validation of an LDH assay for assessing nanoparticle toxicity. Toxicology 2011.  287, 99-104.</w:t>
      </w:r>
    </w:p>
    <w:p w:rsidR="0029560E" w:rsidRPr="00E71AF7" w:rsidRDefault="0029560E" w:rsidP="00DD1785">
      <w:pPr>
        <w:ind w:left="720" w:hanging="720"/>
        <w:contextualSpacing/>
      </w:pPr>
      <w:r w:rsidRPr="0029560E">
        <w:t>Horváth E, Máté Z, Takács S, Pusztai P, Sápi A, Kónya Z, Nagymajtényi L, Papp A. General and electrophysiological toxic effects of manganese in rats following subacute administration in dissolved and nanoparticle form. Scientific World Journal. 2012.  2012, 520632 – 7.</w:t>
      </w:r>
    </w:p>
    <w:p w:rsidR="00DD1785" w:rsidRDefault="00DD1785" w:rsidP="00DD1785">
      <w:pPr>
        <w:ind w:left="720" w:hanging="720"/>
        <w:contextualSpacing/>
      </w:pPr>
      <w:r w:rsidRPr="00E71AF7">
        <w:t xml:space="preserve">Ige PP, Rohan BK, and Cattani SG.  Fabrication of fenofibrate nanocrystals by probe sonication method for enhancement of dissolution rate and oral bioavailability.  Colloids and Surfaces </w:t>
      </w:r>
      <w:r w:rsidR="00E567C7">
        <w:t xml:space="preserve">B:  Biointerfaces.  2013.  108, </w:t>
      </w:r>
      <w:r w:rsidRPr="00E71AF7">
        <w:t>336-73.</w:t>
      </w:r>
      <w:r w:rsidRPr="00DD1785">
        <w:t xml:space="preserve"> </w:t>
      </w:r>
    </w:p>
    <w:p w:rsidR="00DD1785" w:rsidRPr="00E71AF7" w:rsidRDefault="00DD1785" w:rsidP="00DD1785">
      <w:pPr>
        <w:ind w:left="720" w:hanging="720"/>
        <w:contextualSpacing/>
      </w:pPr>
      <w:r w:rsidRPr="00E71AF7">
        <w:t>Jiang J, Oberd</w:t>
      </w:r>
      <w:r w:rsidRPr="00E71AF7">
        <w:rPr>
          <w:rFonts w:cs="Times New Roman"/>
        </w:rPr>
        <w:t>ö</w:t>
      </w:r>
      <w:r w:rsidRPr="00E71AF7">
        <w:t>rster G, and Biswas P.  Characterization of size, surface charge, and agglomeration state of nanoparticle dispersions for toxicological studies.  J</w:t>
      </w:r>
      <w:r w:rsidR="00E567C7">
        <w:t xml:space="preserve"> Nanoparticle Res</w:t>
      </w:r>
      <w:r w:rsidRPr="00E71AF7">
        <w:t>.  2009. 11</w:t>
      </w:r>
      <w:r w:rsidR="00E567C7">
        <w:t>,</w:t>
      </w:r>
      <w:r w:rsidRPr="00E71AF7">
        <w:t xml:space="preserve"> 77-89. </w:t>
      </w:r>
    </w:p>
    <w:p w:rsidR="00DD1785" w:rsidRDefault="00DD1785" w:rsidP="00DD1785">
      <w:pPr>
        <w:ind w:left="720" w:hanging="720"/>
        <w:contextualSpacing/>
      </w:pPr>
      <w:r>
        <w:t>Kass, R. &amp; Ventura, V. A Spike-Train Probability Model. Neural Computation. 2001. 13 (8), 1713-20.</w:t>
      </w:r>
    </w:p>
    <w:p w:rsidR="00DD1785" w:rsidRDefault="00DD1785" w:rsidP="00DD1785">
      <w:pPr>
        <w:ind w:left="720" w:hanging="720"/>
        <w:contextualSpacing/>
      </w:pPr>
      <w:r>
        <w:t>Kass, R., Ventura, V., and Brown, E.N. Statistical issues in the analysis of neuronal data. Journal of  Neurophysiology. 2005</w:t>
      </w:r>
      <w:r w:rsidR="00E567C7">
        <w:t>.</w:t>
      </w:r>
      <w:r>
        <w:t xml:space="preserve"> 94</w:t>
      </w:r>
      <w:r w:rsidR="00E567C7">
        <w:t>,</w:t>
      </w:r>
      <w:r>
        <w:t xml:space="preserve"> 8-25.</w:t>
      </w:r>
    </w:p>
    <w:p w:rsidR="00DD1785" w:rsidRDefault="00DD1785" w:rsidP="00DD1785">
      <w:pPr>
        <w:ind w:left="720" w:hanging="720"/>
        <w:contextualSpacing/>
      </w:pPr>
      <w:r>
        <w:t>Kaufman, C., Ventura, V., and Kass, Spline-based nonparametric regression for periodic functions and its application to directional tuning of neurons, Statistics in Medicine, 2005.  24, 2255-65.</w:t>
      </w:r>
    </w:p>
    <w:p w:rsidR="0029560E" w:rsidRDefault="0029560E" w:rsidP="00DD1785">
      <w:pPr>
        <w:ind w:left="720" w:hanging="720"/>
        <w:contextualSpacing/>
      </w:pPr>
      <w:r w:rsidRPr="0029560E">
        <w:t>Kordonets OL, Godukhin OV, Podolski IY, Chailakhyan LM.  Effect of fullerenes C60 on the activity of pyramidal neurons in the CA1 field of rat hippocampal slices. Dokl Biol Sci. 2008. 382-4.</w:t>
      </w:r>
    </w:p>
    <w:p w:rsidR="00377787" w:rsidRDefault="00377787" w:rsidP="00377787">
      <w:pPr>
        <w:ind w:left="720" w:hanging="720"/>
        <w:contextualSpacing/>
      </w:pPr>
      <w:r>
        <w:lastRenderedPageBreak/>
        <w:t xml:space="preserve">Liu Z, Ren G, Zhang T, Yang Z. Action potential changes associated with the inhibitory effects on voltage-gated sodium current of hippocampal CA1 neurons by silver nanoparticles. Toxicology. 2009, 264, 179-84. </w:t>
      </w:r>
    </w:p>
    <w:p w:rsidR="00377787" w:rsidRDefault="00377787" w:rsidP="00377787">
      <w:pPr>
        <w:ind w:left="720" w:hanging="720"/>
        <w:contextualSpacing/>
      </w:pPr>
      <w:r>
        <w:t>Liu S1, Xu L, Zhang T, Ren G, Yang Z. Oxidative stress and apoptosis induced by nanosized titanium dioxide in PC12 cells. Toxicology. 2010. 267, 172-7.</w:t>
      </w:r>
    </w:p>
    <w:p w:rsidR="00377787" w:rsidRDefault="00377787" w:rsidP="00377787">
      <w:pPr>
        <w:ind w:left="720" w:hanging="720"/>
        <w:contextualSpacing/>
      </w:pPr>
      <w:r>
        <w:t>Liu Z, Liu S, Ren G, Zhang T, Yang Z. Nano-CuO inhibited voltage-gated sodium current of hippocampal CA1 neurons via reactive oxygen species but independent from G-proteins pathway. J Appl Toxicol. 2011a 31, 439-45.</w:t>
      </w:r>
    </w:p>
    <w:p w:rsidR="00377787" w:rsidRDefault="00377787" w:rsidP="00377787">
      <w:pPr>
        <w:ind w:left="720" w:hanging="720"/>
        <w:contextualSpacing/>
      </w:pPr>
      <w:r>
        <w:t>Liu Z, Ren G, Zhang T, Yang Z. The inhibitory effects of nano-Ag on voltage-gated potassium currents of hippocampal CA1 neurons. Environ Toxicol. 2011b, 26, 552-8.</w:t>
      </w:r>
    </w:p>
    <w:p w:rsidR="000F12D1" w:rsidRDefault="000F12D1" w:rsidP="00DD1785">
      <w:pPr>
        <w:ind w:left="720" w:hanging="720"/>
        <w:contextualSpacing/>
      </w:pPr>
      <w:r w:rsidRPr="000F12D1">
        <w:t>McConnell ER, McClain MA, Ross J, Lefew WR, Shafer TJ.  Evaluation of multi-well microelectrode arrays for neurotoxicity screening using a chemical training se</w:t>
      </w:r>
      <w:r>
        <w:t>t.  Neurotoxicology. 2012. 33</w:t>
      </w:r>
      <w:r w:rsidRPr="000F12D1">
        <w:t>, 1048-57.</w:t>
      </w:r>
    </w:p>
    <w:p w:rsidR="00DD1785" w:rsidRDefault="00DD1785" w:rsidP="00DD1785">
      <w:pPr>
        <w:ind w:left="720" w:hanging="720"/>
        <w:contextualSpacing/>
      </w:pPr>
      <w:r>
        <w:t>McCullagh, P., &amp; Nelder, J.A. Generalized linear models (2nd ed.). New York: Chapman and Hall. 1989.</w:t>
      </w:r>
      <w:r w:rsidRPr="00DD1785">
        <w:t xml:space="preserve"> </w:t>
      </w:r>
    </w:p>
    <w:p w:rsidR="00DD1785" w:rsidRDefault="00DD1785" w:rsidP="00DD1785">
      <w:pPr>
        <w:ind w:left="720" w:hanging="720"/>
        <w:contextualSpacing/>
      </w:pPr>
      <w:r w:rsidRPr="00E71AF7">
        <w:t>Meibner T, Oelschlagel K, and Potthoff A.  Dispersion of nanomaterials used in toxicological studies: a comparison of sonication approaches demonstrated on TiO2 P25.  Journal of</w:t>
      </w:r>
      <w:r w:rsidR="00E567C7">
        <w:t xml:space="preserve"> Nanoparticle Research.  2014. 1</w:t>
      </w:r>
      <w:r w:rsidRPr="00E71AF7">
        <w:t>6</w:t>
      </w:r>
      <w:r w:rsidR="00E567C7">
        <w:t>,</w:t>
      </w:r>
      <w:r w:rsidRPr="00E71AF7">
        <w:t xml:space="preserve"> 2228-41</w:t>
      </w:r>
      <w:r w:rsidR="000F12D1">
        <w:t>.</w:t>
      </w:r>
    </w:p>
    <w:p w:rsidR="00377787" w:rsidRDefault="00377787" w:rsidP="00DD1785">
      <w:pPr>
        <w:ind w:left="720" w:hanging="720"/>
        <w:contextualSpacing/>
      </w:pPr>
      <w:r w:rsidRPr="00377787">
        <w:t>Monticelli L, Barnoud J, Orlowski A, Vattulainen I.  Interaction of C70 fullerene with the Kv1.2 potassium channel.  Phys Chem Chem Phys. 2012.  14,12526-33.</w:t>
      </w:r>
    </w:p>
    <w:p w:rsidR="000F12D1" w:rsidRPr="00E71AF7" w:rsidRDefault="000F12D1" w:rsidP="00DD1785">
      <w:pPr>
        <w:ind w:left="720" w:hanging="720"/>
        <w:contextualSpacing/>
      </w:pPr>
      <w:r w:rsidRPr="000F12D1">
        <w:t>Monteiro-Riviere NA, Inman AO, Zhang LW. Limitations and relative utility of screening assays to assess engineered nanoparticle toxicity in a human cell line. Toxicol Appl Pharmacol 2009. 234, 222-35.</w:t>
      </w:r>
    </w:p>
    <w:p w:rsidR="00DD1785" w:rsidRDefault="00DD1785" w:rsidP="00DD1785">
      <w:pPr>
        <w:ind w:left="720" w:hanging="720"/>
        <w:contextualSpacing/>
      </w:pPr>
      <w:r w:rsidRPr="00E71AF7">
        <w:t xml:space="preserve">Nanommune.  Quality handbook—standard procedures for nanoparticle testing.  </w:t>
      </w:r>
      <w:hyperlink r:id="rId10" w:history="1">
        <w:r w:rsidRPr="00E71AF7">
          <w:rPr>
            <w:rStyle w:val="Hyperlink"/>
            <w:color w:val="auto"/>
          </w:rPr>
          <w:t>http://www.nanosafetycluster.eu/uploads/QUALITY_HANDBOOK/NANOMMUNE_QHB_FINAL_2011.pdf</w:t>
        </w:r>
      </w:hyperlink>
      <w:r w:rsidRPr="00E71AF7">
        <w:t xml:space="preserve">.  2011.  Accessed 9 April 2014.  </w:t>
      </w:r>
    </w:p>
    <w:p w:rsidR="006E2EAC" w:rsidRDefault="006E2EAC" w:rsidP="00DD1785">
      <w:pPr>
        <w:ind w:left="720" w:hanging="720"/>
        <w:contextualSpacing/>
      </w:pPr>
      <w:r w:rsidRPr="006E2EAC">
        <w:t>Pal AK, Aalaei I, Gadde S, Gaines P, Schmidt D, Demokritou P, Bello D. High resolution characterization of engineered nanomaterial dispersions in complex media using tunable resistive pulse screening technology. ACSNano. 2014. 8, 9003-15.</w:t>
      </w:r>
    </w:p>
    <w:p w:rsidR="00377787" w:rsidRDefault="00377787" w:rsidP="00DD1785">
      <w:pPr>
        <w:ind w:left="720" w:hanging="720"/>
        <w:contextualSpacing/>
      </w:pPr>
      <w:r w:rsidRPr="00377787">
        <w:t>Park KH, Chhowalla M, Iqbal Z, Sesti F. Single-walled carbon nanotubes are a new class of ion channel blockers. J Biol Chem. 2003 278, 50212-6.</w:t>
      </w:r>
    </w:p>
    <w:p w:rsidR="000873B0" w:rsidRPr="00E71AF7" w:rsidRDefault="000873B0" w:rsidP="00DD1785">
      <w:pPr>
        <w:ind w:left="720" w:hanging="720"/>
        <w:contextualSpacing/>
      </w:pPr>
      <w:r w:rsidRPr="000873B0">
        <w:t>Papp A, Oszlánczi G, Horváth E, Paulik E, Kozma G, Sápi A, Kónya Z, Szabó A. Consequences of subacute intratracheal exposure of rats to cadmium oxide nanoparticles: Electrophysiological and toxicological effects. Toxicol Ind Health. 2012. 28, 933-41.</w:t>
      </w:r>
    </w:p>
    <w:p w:rsidR="00DD1785" w:rsidRDefault="00DD1785" w:rsidP="00DD1785">
      <w:pPr>
        <w:ind w:left="720" w:hanging="720"/>
        <w:contextualSpacing/>
      </w:pPr>
      <w:r w:rsidRPr="00E71AF7">
        <w:t>Porter D, Sriram K, Wolfarth M, Jefferson A, Schwegler-Berry D, Andrew M, and Castranova V.  A biocompatible medium for nanoparticle dispersion.  Nanotoxicology.  2008. 2</w:t>
      </w:r>
      <w:r w:rsidR="00D4595E">
        <w:t xml:space="preserve">, </w:t>
      </w:r>
      <w:r w:rsidR="00E567C7">
        <w:t>144-</w:t>
      </w:r>
      <w:r w:rsidRPr="00E71AF7">
        <w:t>54.</w:t>
      </w:r>
    </w:p>
    <w:p w:rsidR="002273B1" w:rsidRPr="00E71AF7" w:rsidRDefault="002273B1" w:rsidP="00DD1785">
      <w:pPr>
        <w:ind w:left="720" w:hanging="720"/>
        <w:contextualSpacing/>
      </w:pPr>
      <w:r w:rsidRPr="002273B1">
        <w:t xml:space="preserve">Prasad RY, Wallace K, Daniel KM, Tennant AH, Zucker RM, Strickland J, Dreher K, Kligerman AD, Blackman CF and DeMarini DM. Effect of treatment media on the agglomeration of </w:t>
      </w:r>
      <w:r w:rsidRPr="002273B1">
        <w:lastRenderedPageBreak/>
        <w:t>titanium dioxide nanoparticles: imact on genotoxicity, cellular interaction, and cell cycle. ACS Nano 2013, 1929-42.</w:t>
      </w:r>
    </w:p>
    <w:p w:rsidR="00DD1785" w:rsidRDefault="00DD1785" w:rsidP="00DD1785">
      <w:pPr>
        <w:ind w:left="720" w:hanging="720"/>
        <w:contextualSpacing/>
      </w:pPr>
      <w:r>
        <w:t>R Development Core Team (2012). R: A language and environment for statistical computing. R Foundation for Statistical Computing, Vienna, Austria. ISBN 3-900051-07-0, URL http://www.R-project.org/.</w:t>
      </w:r>
    </w:p>
    <w:p w:rsidR="00DD1785" w:rsidRDefault="00DD1785" w:rsidP="00DD1785">
      <w:pPr>
        <w:ind w:left="720" w:hanging="720"/>
        <w:contextualSpacing/>
      </w:pPr>
      <w:r>
        <w:t>Rieke F, Warland D, de Ruyter van Steveninck R. Spikes: Exploring the Neural Code.  MIT Press, Cambridge, 1997.</w:t>
      </w:r>
      <w:r w:rsidRPr="00DD1785">
        <w:t xml:space="preserve"> </w:t>
      </w:r>
    </w:p>
    <w:p w:rsidR="00DD1785" w:rsidRDefault="00DD1785" w:rsidP="00DD1785">
      <w:pPr>
        <w:ind w:left="720" w:hanging="720"/>
        <w:contextualSpacing/>
      </w:pPr>
      <w:r>
        <w:t>Sa</w:t>
      </w:r>
      <w:r w:rsidRPr="00E71AF7">
        <w:t>ger TM, Porter DW, Robinson VA, Lindsley WG, Schwegler-Berry E, and Castranova V.  Improved method to disperse nanoparticles for in vitro and in vivo investigation of tox</w:t>
      </w:r>
      <w:r w:rsidR="00E567C7">
        <w:t xml:space="preserve">icity.  Nanotoxicology.  2007. </w:t>
      </w:r>
      <w:r w:rsidRPr="00E71AF7">
        <w:t>1</w:t>
      </w:r>
      <w:r w:rsidR="00E567C7">
        <w:t>,</w:t>
      </w:r>
      <w:r w:rsidRPr="00E71AF7">
        <w:t xml:space="preserve"> 118-129.</w:t>
      </w:r>
    </w:p>
    <w:p w:rsidR="0029560E" w:rsidRDefault="0029560E" w:rsidP="00DD1785">
      <w:pPr>
        <w:ind w:left="720" w:hanging="720"/>
        <w:contextualSpacing/>
      </w:pPr>
      <w:r w:rsidRPr="0029560E">
        <w:t>Sárközi L, Horváth E, Kónya Z, Kiricsi I, Szalay B, Vezér T, and Papp A. Subacute intratracheal exposure to manganese nanoparticles: behavioral electrophysiological and general toxicological effects. Inhalation Toxicology 21, 83-91. 2009.</w:t>
      </w:r>
    </w:p>
    <w:p w:rsidR="00377787" w:rsidRPr="00E71AF7" w:rsidRDefault="00377787" w:rsidP="00DD1785">
      <w:pPr>
        <w:ind w:left="720" w:hanging="720"/>
        <w:contextualSpacing/>
      </w:pPr>
      <w:r w:rsidRPr="00377787">
        <w:t>Shan D, Xie Y, Ren G, Yang Z.  Inhibitory effect of tungsten carbide nanoparticles on voltage-gated potassium currents of hippocampal CA1 neurons.  Toxicol Lett. 2012. 209(2), 129-35.</w:t>
      </w:r>
    </w:p>
    <w:p w:rsidR="00DD1785" w:rsidRDefault="004D53BA" w:rsidP="00DD1785">
      <w:pPr>
        <w:ind w:left="720" w:hanging="720"/>
        <w:contextualSpacing/>
      </w:pPr>
      <w:r>
        <w:t>Sharma D</w:t>
      </w:r>
      <w:r w:rsidR="00DD1785" w:rsidRPr="00E71AF7">
        <w:t>.  A biologically friendly single step method for gold nanoparticle formation.  Colloids and Surfaces B: Biointerfaces.  20</w:t>
      </w:r>
      <w:r w:rsidR="006E2EAC">
        <w:t>1</w:t>
      </w:r>
      <w:r w:rsidR="00DD1785" w:rsidRPr="00E71AF7">
        <w:t>1. 85</w:t>
      </w:r>
      <w:r w:rsidR="00E567C7">
        <w:t>,</w:t>
      </w:r>
      <w:r w:rsidR="00DD1785" w:rsidRPr="00E71AF7">
        <w:t xml:space="preserve"> 330-7.</w:t>
      </w:r>
    </w:p>
    <w:p w:rsidR="0029560E" w:rsidRDefault="0029560E" w:rsidP="00DD1785">
      <w:pPr>
        <w:ind w:left="720" w:hanging="720"/>
        <w:contextualSpacing/>
      </w:pPr>
      <w:r w:rsidRPr="0029560E">
        <w:t>Tang M, Xing T, Zeng J, Wang H, Li C, Yin S, Yan D, Deng H, Liu J, Wang M, Chen J, Ruan DY.  Unmodified CdSe quantum dots induce elevation of cytoplasmic calcium levels and impairment of functional properties of sodium channels in rat primary cultured hippocampal neurons. Environ Health Perspect. 2008. 116, 915-22.</w:t>
      </w:r>
    </w:p>
    <w:p w:rsidR="002273B1" w:rsidRPr="00E71AF7" w:rsidRDefault="002273B1" w:rsidP="00DD1785">
      <w:pPr>
        <w:ind w:left="720" w:hanging="720"/>
        <w:contextualSpacing/>
      </w:pPr>
      <w:r w:rsidRPr="002273B1">
        <w:t>Thai S-F, Wallace KA, Jones CP, Ren H, Prasad RY, Ward WO, Kohan MJ, and Blackman CF. Signaling pathways and microRNA changes in nano-TiO2 treated human lung epithelial (BEAS-2B) cells. J Nanosci Nanotechnol 2014. 14, 1-12.</w:t>
      </w:r>
    </w:p>
    <w:p w:rsidR="00DD1785" w:rsidRDefault="00DD1785" w:rsidP="00DD1785">
      <w:pPr>
        <w:ind w:left="720" w:hanging="720"/>
        <w:contextualSpacing/>
      </w:pPr>
      <w:r>
        <w:t>Venables, W.N. &amp; Ripley, B.D. (2002) Modern Applied Statistics with S.  Fourth Edition.  Springer, New York.  ISBN 0-387-95457-0.  R package version 7.3-23.</w:t>
      </w:r>
    </w:p>
    <w:p w:rsidR="000873B0" w:rsidRDefault="000873B0" w:rsidP="00DD1785">
      <w:pPr>
        <w:ind w:left="720" w:hanging="720"/>
        <w:contextualSpacing/>
      </w:pPr>
      <w:r w:rsidRPr="000873B0">
        <w:t>Viswaprakash N, Dennis JC, Globa L, Pustovyy O, Josephson EM, Kanju P, Morrison EE, Vodyanoy VJ. Enhancement of odorant-induced responses in olfactory receptor neurons by zinc nanoparticles. Chem Senses. 2009. 34, 547-57.</w:t>
      </w:r>
    </w:p>
    <w:p w:rsidR="0029560E" w:rsidRDefault="0029560E" w:rsidP="00DD1785">
      <w:pPr>
        <w:ind w:left="720" w:hanging="720"/>
        <w:contextualSpacing/>
      </w:pPr>
      <w:r w:rsidRPr="0029560E">
        <w:t>Win-Shwe TT, Mitsushima D, Yamamoto S, Fujitani Y, Funabashi T, Hirano S, Fujimaki H.  Extracellular glutamate level and NMDA receptor subunit expression in mouse olfactory bulb following nanoparticle-rich diesel exhaust exposure. Inhal Toxicol. 2009. 21, 828-36.</w:t>
      </w:r>
    </w:p>
    <w:p w:rsidR="00DD1785" w:rsidRDefault="00DD1785" w:rsidP="00DD1785">
      <w:pPr>
        <w:ind w:left="720" w:hanging="720"/>
        <w:contextualSpacing/>
      </w:pPr>
      <w:r w:rsidRPr="00E71AF7">
        <w:t>Wu W, Ichihara G, Suzuki Y, Izuoka K, Oikawa-Tada S, Chang J, Sakai K, Miyazwa K, Porter D, Castranova V, Kawaguchi M, and Ichihara S.  Dispersion Method for Safety Research on Manufactured Nanomaterials.  Industrial Health.  2014.  52</w:t>
      </w:r>
      <w:r w:rsidR="00E567C7">
        <w:t>,</w:t>
      </w:r>
      <w:r w:rsidRPr="00E71AF7">
        <w:t xml:space="preserve"> 54-65.</w:t>
      </w:r>
    </w:p>
    <w:p w:rsidR="00377787" w:rsidRDefault="00377787" w:rsidP="00DD1785">
      <w:pPr>
        <w:ind w:left="720" w:hanging="720"/>
        <w:contextualSpacing/>
      </w:pPr>
      <w:r w:rsidRPr="00377787">
        <w:t>Xu Y, Shin HG, Szép S, Lu Z.  Physical determinants of strong voltage sensitivity of K(+) channel block.  Nat Struct Mol Biol. 2009. 12, 1252-8.</w:t>
      </w:r>
    </w:p>
    <w:p w:rsidR="000250AC" w:rsidRDefault="000250AC">
      <w:pPr>
        <w:spacing w:line="360" w:lineRule="atLeast"/>
      </w:pPr>
      <w:r>
        <w:br w:type="page"/>
      </w:r>
    </w:p>
    <w:p w:rsidR="000250AC" w:rsidRDefault="0071411C" w:rsidP="000250AC">
      <w:pPr>
        <w:rPr>
          <w:rFonts w:cs="Times New Roman"/>
          <w:szCs w:val="24"/>
        </w:rPr>
      </w:pPr>
      <w:r>
        <w:rPr>
          <w:rFonts w:cs="Times New Roman"/>
          <w:szCs w:val="24"/>
        </w:rPr>
        <w:lastRenderedPageBreak/>
        <w:t xml:space="preserve">Supplemental </w:t>
      </w:r>
      <w:r w:rsidR="000250AC" w:rsidRPr="007A0581">
        <w:rPr>
          <w:rFonts w:cs="Times New Roman"/>
          <w:szCs w:val="24"/>
        </w:rPr>
        <w:t xml:space="preserve">Figure </w:t>
      </w:r>
      <w:r w:rsidR="000250AC">
        <w:rPr>
          <w:rFonts w:cs="Times New Roman"/>
          <w:szCs w:val="24"/>
        </w:rPr>
        <w:t xml:space="preserve">1.  SEM </w:t>
      </w:r>
      <w:r w:rsidR="000250AC" w:rsidRPr="00A44FA4">
        <w:rPr>
          <w:rFonts w:cs="Times New Roman"/>
          <w:szCs w:val="24"/>
        </w:rPr>
        <w:t>Images of Metal Oxide NPs</w:t>
      </w:r>
    </w:p>
    <w:p w:rsidR="000250AC" w:rsidRDefault="000250AC" w:rsidP="000250AC">
      <w:pPr>
        <w:rPr>
          <w:b/>
          <w:szCs w:val="24"/>
        </w:rPr>
      </w:pPr>
      <w:r>
        <w:rPr>
          <w:b/>
          <w:noProof/>
          <w:szCs w:val="24"/>
        </w:rPr>
        <mc:AlternateContent>
          <mc:Choice Requires="wps">
            <w:drawing>
              <wp:anchor distT="0" distB="0" distL="114300" distR="114300" simplePos="0" relativeHeight="251661312" behindDoc="0" locked="0" layoutInCell="1" allowOverlap="1" wp14:anchorId="6B851E4C" wp14:editId="6CE8276B">
                <wp:simplePos x="0" y="0"/>
                <wp:positionH relativeFrom="column">
                  <wp:posOffset>0</wp:posOffset>
                </wp:positionH>
                <wp:positionV relativeFrom="paragraph">
                  <wp:posOffset>85725</wp:posOffset>
                </wp:positionV>
                <wp:extent cx="352425" cy="390525"/>
                <wp:effectExtent l="0" t="4445"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sidRPr="00CF3EB0">
                              <w:rPr>
                                <w:color w:val="FFFFFF" w:themeColor="background1"/>
                                <w:sz w:val="40"/>
                                <w:szCs w:val="40"/>
                              </w:rPr>
                              <w:t>A</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75pt;width:27.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" fillcolor="black [3213]" stroked="f">
                <v:textbox>
                  <w:txbxContent>
                    <w:p w:rsidR="00F41CDC" w:rsidRPr="00CF3EB0" w:rsidRDefault="00F41CDC" w:rsidP="000250AC">
                      <w:pPr>
                        <w:rPr>
                          <w:color w:val="FFFFFF" w:themeColor="background1"/>
                          <w:sz w:val="40"/>
                          <w:szCs w:val="40"/>
                        </w:rPr>
                      </w:pPr>
                      <w:r w:rsidRPr="00CF3EB0">
                        <w:rPr>
                          <w:color w:val="FFFFFF" w:themeColor="background1"/>
                          <w:sz w:val="40"/>
                          <w:szCs w:val="40"/>
                        </w:rPr>
                        <w:t>A</w:t>
                      </w:r>
                    </w:p>
                    <w:p w:rsidR="00F41CDC" w:rsidRDefault="00F41CDC" w:rsidP="000250AC"/>
                  </w:txbxContent>
                </v:textbox>
              </v:shape>
            </w:pict>
          </mc:Fallback>
        </mc:AlternateContent>
      </w:r>
      <w:r>
        <w:rPr>
          <w:b/>
          <w:noProof/>
          <w:szCs w:val="24"/>
        </w:rPr>
        <mc:AlternateContent>
          <mc:Choice Requires="wps">
            <w:drawing>
              <wp:anchor distT="0" distB="0" distL="114300" distR="114300" simplePos="0" relativeHeight="251667456" behindDoc="0" locked="0" layoutInCell="1" allowOverlap="1" wp14:anchorId="213D1D99" wp14:editId="40A53572">
                <wp:simplePos x="0" y="0"/>
                <wp:positionH relativeFrom="column">
                  <wp:posOffset>3751580</wp:posOffset>
                </wp:positionH>
                <wp:positionV relativeFrom="paragraph">
                  <wp:posOffset>85725</wp:posOffset>
                </wp:positionV>
                <wp:extent cx="352425" cy="390525"/>
                <wp:effectExtent l="0" t="4445"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sidRPr="00CF3EB0">
                              <w:rPr>
                                <w:color w:val="FFFFFF" w:themeColor="background1"/>
                                <w:sz w:val="40"/>
                                <w:szCs w:val="40"/>
                              </w:rPr>
                              <w:t>C</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95.4pt;margin-top:6.75pt;width:27.7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" fillcolor="black [3213]" stroked="f">
                <v:textbox>
                  <w:txbxContent>
                    <w:p w:rsidR="00F41CDC" w:rsidRPr="00CF3EB0" w:rsidRDefault="00F41CDC" w:rsidP="000250AC">
                      <w:pPr>
                        <w:rPr>
                          <w:color w:val="FFFFFF" w:themeColor="background1"/>
                          <w:sz w:val="40"/>
                          <w:szCs w:val="40"/>
                        </w:rPr>
                      </w:pPr>
                      <w:r w:rsidRPr="00CF3EB0">
                        <w:rPr>
                          <w:color w:val="FFFFFF" w:themeColor="background1"/>
                          <w:sz w:val="40"/>
                          <w:szCs w:val="40"/>
                        </w:rPr>
                        <w:t>C</w:t>
                      </w:r>
                    </w:p>
                    <w:p w:rsidR="00F41CDC" w:rsidRDefault="00F41CDC" w:rsidP="000250AC"/>
                  </w:txbxContent>
                </v:textbox>
              </v:shape>
            </w:pict>
          </mc:Fallback>
        </mc:AlternateContent>
      </w:r>
      <w:r>
        <w:rPr>
          <w:b/>
          <w:noProof/>
          <w:szCs w:val="24"/>
        </w:rPr>
        <w:drawing>
          <wp:anchor distT="0" distB="0" distL="114300" distR="114300" simplePos="0" relativeHeight="251665408" behindDoc="0" locked="0" layoutInCell="1" allowOverlap="1" wp14:anchorId="1D003F77" wp14:editId="2D8F8509">
            <wp:simplePos x="0" y="0"/>
            <wp:positionH relativeFrom="column">
              <wp:posOffset>3752850</wp:posOffset>
            </wp:positionH>
            <wp:positionV relativeFrom="paragraph">
              <wp:posOffset>85362</wp:posOffset>
            </wp:positionV>
            <wp:extent cx="1777093" cy="2002972"/>
            <wp:effectExtent l="19050" t="0" r="0" b="0"/>
            <wp:wrapNone/>
            <wp:docPr id="15" name="Picture 7" descr="25 nm CeO2 (1-3) 4.jpg"/>
            <wp:cNvGraphicFramePr/>
            <a:graphic xmlns:a="http://schemas.openxmlformats.org/drawingml/2006/main">
              <a:graphicData uri="http://schemas.openxmlformats.org/drawingml/2006/picture">
                <pic:pic xmlns:pic="http://schemas.openxmlformats.org/drawingml/2006/picture">
                  <pic:nvPicPr>
                    <pic:cNvPr id="11" name="Picture 10" descr="25 nm CeO2 (1-3) 4.jpg"/>
                    <pic:cNvPicPr>
                      <a:picLocks noChangeAspect="1"/>
                    </pic:cNvPicPr>
                  </pic:nvPicPr>
                  <pic:blipFill>
                    <a:blip r:embed="rId11" cstate="print"/>
                    <a:srcRect r="2475" b="6250"/>
                    <a:stretch>
                      <a:fillRect/>
                    </a:stretch>
                  </pic:blipFill>
                  <pic:spPr>
                    <a:xfrm>
                      <a:off x="0" y="0"/>
                      <a:ext cx="1777093" cy="2002972"/>
                    </a:xfrm>
                    <a:prstGeom prst="rect">
                      <a:avLst/>
                    </a:prstGeom>
                  </pic:spPr>
                </pic:pic>
              </a:graphicData>
            </a:graphic>
          </wp:anchor>
        </w:drawing>
      </w:r>
      <w:r>
        <w:rPr>
          <w:b/>
          <w:noProof/>
          <w:szCs w:val="24"/>
        </w:rPr>
        <mc:AlternateContent>
          <mc:Choice Requires="wps">
            <w:drawing>
              <wp:anchor distT="0" distB="0" distL="114300" distR="114300" simplePos="0" relativeHeight="251664384" behindDoc="0" locked="0" layoutInCell="1" allowOverlap="1" wp14:anchorId="75EF64B6" wp14:editId="7BF78E07">
                <wp:simplePos x="0" y="0"/>
                <wp:positionH relativeFrom="column">
                  <wp:posOffset>1858645</wp:posOffset>
                </wp:positionH>
                <wp:positionV relativeFrom="paragraph">
                  <wp:posOffset>85725</wp:posOffset>
                </wp:positionV>
                <wp:extent cx="352425" cy="390525"/>
                <wp:effectExtent l="1270" t="444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sidRPr="00CF3EB0">
                              <w:rPr>
                                <w:color w:val="FFFFFF" w:themeColor="background1"/>
                                <w:sz w:val="40"/>
                                <w:szCs w:val="40"/>
                              </w:rPr>
                              <w:t>B</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46.35pt;margin-top:6.75pt;width:27.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" fillcolor="black [3213]" stroked="f">
                <v:textbox>
                  <w:txbxContent>
                    <w:p w:rsidR="00F41CDC" w:rsidRPr="00CF3EB0" w:rsidRDefault="00F41CDC" w:rsidP="000250AC">
                      <w:pPr>
                        <w:rPr>
                          <w:color w:val="FFFFFF" w:themeColor="background1"/>
                          <w:sz w:val="40"/>
                          <w:szCs w:val="40"/>
                        </w:rPr>
                      </w:pPr>
                      <w:r w:rsidRPr="00CF3EB0">
                        <w:rPr>
                          <w:color w:val="FFFFFF" w:themeColor="background1"/>
                          <w:sz w:val="40"/>
                          <w:szCs w:val="40"/>
                        </w:rPr>
                        <w:t>B</w:t>
                      </w:r>
                    </w:p>
                    <w:p w:rsidR="00F41CDC" w:rsidRDefault="00F41CDC" w:rsidP="000250AC"/>
                  </w:txbxContent>
                </v:textbox>
              </v:shape>
            </w:pict>
          </mc:Fallback>
        </mc:AlternateContent>
      </w:r>
      <w:r>
        <w:rPr>
          <w:b/>
          <w:noProof/>
          <w:szCs w:val="24"/>
        </w:rPr>
        <w:drawing>
          <wp:anchor distT="0" distB="0" distL="114300" distR="114300" simplePos="0" relativeHeight="251662336" behindDoc="0" locked="0" layoutInCell="1" allowOverlap="1" wp14:anchorId="6310A2BE" wp14:editId="10404B23">
            <wp:simplePos x="0" y="0"/>
            <wp:positionH relativeFrom="column">
              <wp:posOffset>1858645</wp:posOffset>
            </wp:positionH>
            <wp:positionV relativeFrom="paragraph">
              <wp:posOffset>87630</wp:posOffset>
            </wp:positionV>
            <wp:extent cx="1728470" cy="2002790"/>
            <wp:effectExtent l="19050" t="0" r="5080" b="0"/>
            <wp:wrapNone/>
            <wp:docPr id="13" name="Picture 4" descr="15-30 nm CeO2 Normal 100 2.tif"/>
            <wp:cNvGraphicFramePr/>
            <a:graphic xmlns:a="http://schemas.openxmlformats.org/drawingml/2006/main">
              <a:graphicData uri="http://schemas.openxmlformats.org/drawingml/2006/picture">
                <pic:pic xmlns:pic="http://schemas.openxmlformats.org/drawingml/2006/picture">
                  <pic:nvPicPr>
                    <pic:cNvPr id="5" name="Content Placeholder 4" descr="15-30 nm CeO2 Normal 100 2.tif"/>
                    <pic:cNvPicPr>
                      <a:picLocks noGrp="1" noChangeAspect="1"/>
                    </pic:cNvPicPr>
                  </pic:nvPicPr>
                  <pic:blipFill>
                    <a:blip r:embed="rId12" cstate="print"/>
                    <a:srcRect r="3704" b="5830"/>
                    <a:stretch>
                      <a:fillRect/>
                    </a:stretch>
                  </pic:blipFill>
                  <pic:spPr>
                    <a:xfrm>
                      <a:off x="0" y="0"/>
                      <a:ext cx="1728470" cy="2002790"/>
                    </a:xfrm>
                    <a:prstGeom prst="rect">
                      <a:avLst/>
                    </a:prstGeom>
                  </pic:spPr>
                </pic:pic>
              </a:graphicData>
            </a:graphic>
          </wp:anchor>
        </w:drawing>
      </w:r>
      <w:r w:rsidRPr="00373C4D">
        <w:rPr>
          <w:b/>
          <w:noProof/>
          <w:szCs w:val="24"/>
        </w:rPr>
        <w:drawing>
          <wp:anchor distT="0" distB="0" distL="114300" distR="114300" simplePos="0" relativeHeight="251659264" behindDoc="1" locked="0" layoutInCell="1" allowOverlap="1" wp14:anchorId="0D8F37B6" wp14:editId="4A590B39">
            <wp:simplePos x="0" y="0"/>
            <wp:positionH relativeFrom="column">
              <wp:posOffset>-2721</wp:posOffset>
            </wp:positionH>
            <wp:positionV relativeFrom="paragraph">
              <wp:posOffset>85363</wp:posOffset>
            </wp:positionV>
            <wp:extent cx="1724025" cy="2002971"/>
            <wp:effectExtent l="19050" t="0" r="9525" b="0"/>
            <wp:wrapNone/>
            <wp:docPr id="11" name="Picture 5" descr="less 7nm CeO2.tif"/>
            <wp:cNvGraphicFramePr/>
            <a:graphic xmlns:a="http://schemas.openxmlformats.org/drawingml/2006/main">
              <a:graphicData uri="http://schemas.openxmlformats.org/drawingml/2006/picture">
                <pic:pic xmlns:pic="http://schemas.openxmlformats.org/drawingml/2006/picture">
                  <pic:nvPicPr>
                    <pic:cNvPr id="6" name="Content Placeholder 5" descr="less 7nm CeO2.tif"/>
                    <pic:cNvPicPr>
                      <a:picLocks noGrp="1" noChangeAspect="1"/>
                    </pic:cNvPicPr>
                  </pic:nvPicPr>
                  <pic:blipFill>
                    <a:blip r:embed="rId13" cstate="print"/>
                    <a:srcRect r="4233" b="5830"/>
                    <a:stretch>
                      <a:fillRect/>
                    </a:stretch>
                  </pic:blipFill>
                  <pic:spPr>
                    <a:xfrm>
                      <a:off x="0" y="0"/>
                      <a:ext cx="1724025" cy="2002971"/>
                    </a:xfrm>
                    <a:prstGeom prst="rect">
                      <a:avLst/>
                    </a:prstGeom>
                  </pic:spPr>
                </pic:pic>
              </a:graphicData>
            </a:graphic>
          </wp:anchor>
        </w:drawing>
      </w:r>
    </w:p>
    <w:p w:rsidR="00C750A4" w:rsidRDefault="000250AC" w:rsidP="00CB4E8E">
      <w:pPr>
        <w:spacing w:line="240" w:lineRule="auto"/>
        <w:contextualSpacing/>
        <w:rPr>
          <w:rFonts w:cs="Times New Roman"/>
          <w:szCs w:val="24"/>
        </w:rPr>
      </w:pPr>
      <w:r>
        <w:rPr>
          <w:b/>
          <w:noProof/>
          <w:szCs w:val="24"/>
        </w:rPr>
        <w:drawing>
          <wp:anchor distT="0" distB="0" distL="114300" distR="114300" simplePos="0" relativeHeight="251684864" behindDoc="0" locked="0" layoutInCell="1" allowOverlap="1" wp14:anchorId="551055D5" wp14:editId="6EB9BB32">
            <wp:simplePos x="0" y="0"/>
            <wp:positionH relativeFrom="column">
              <wp:posOffset>4397829</wp:posOffset>
            </wp:positionH>
            <wp:positionV relativeFrom="paragraph">
              <wp:posOffset>5655310</wp:posOffset>
            </wp:positionV>
            <wp:extent cx="957941" cy="370114"/>
            <wp:effectExtent l="19050" t="0" r="0" b="0"/>
            <wp:wrapNone/>
            <wp:docPr id="31" name="Picture 7" descr="200 nm TiO2 (1-5)3.jpg"/>
            <wp:cNvGraphicFramePr/>
            <a:graphic xmlns:a="http://schemas.openxmlformats.org/drawingml/2006/main">
              <a:graphicData uri="http://schemas.openxmlformats.org/drawingml/2006/picture">
                <pic:pic xmlns:pic="http://schemas.openxmlformats.org/drawingml/2006/picture">
                  <pic:nvPicPr>
                    <pic:cNvPr id="8" name="Content Placeholder 7" descr="200 nm TiO2 (1-5)3.jpg"/>
                    <pic:cNvPicPr>
                      <a:picLocks noGrp="1" noChangeAspect="1"/>
                    </pic:cNvPicPr>
                  </pic:nvPicPr>
                  <pic:blipFill>
                    <a:blip r:embed="rId14" cstate="print"/>
                    <a:srcRect t="93443" r="73091" b="-291"/>
                    <a:stretch>
                      <a:fillRect/>
                    </a:stretch>
                  </pic:blipFill>
                  <pic:spPr>
                    <a:xfrm>
                      <a:off x="0" y="0"/>
                      <a:ext cx="957944" cy="370115"/>
                    </a:xfrm>
                    <a:prstGeom prst="rect">
                      <a:avLst/>
                    </a:prstGeom>
                  </pic:spPr>
                </pic:pic>
              </a:graphicData>
            </a:graphic>
          </wp:anchor>
        </w:drawing>
      </w:r>
      <w:r>
        <w:rPr>
          <w:b/>
          <w:noProof/>
          <w:szCs w:val="24"/>
        </w:rPr>
        <w:drawing>
          <wp:anchor distT="0" distB="0" distL="114300" distR="114300" simplePos="0" relativeHeight="251681792" behindDoc="0" locked="0" layoutInCell="1" allowOverlap="1" wp14:anchorId="664F5FCD" wp14:editId="0E1B3862">
            <wp:simplePos x="0" y="0"/>
            <wp:positionH relativeFrom="column">
              <wp:posOffset>2378527</wp:posOffset>
            </wp:positionH>
            <wp:positionV relativeFrom="paragraph">
              <wp:posOffset>5655311</wp:posOffset>
            </wp:positionV>
            <wp:extent cx="1017815" cy="370114"/>
            <wp:effectExtent l="19050" t="0" r="0" b="0"/>
            <wp:wrapNone/>
            <wp:docPr id="29" name="Picture 10" descr="L:\Lab\NHEERL_MEA\Nanoparticles\Images\Neuro SEM 4-23-12\25 nm CeO2 (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ab\NHEERL_MEA\Nanoparticles\Images\Neuro SEM 4-23-12\25 nm CeO2 (1-5) 3.jpg"/>
                    <pic:cNvPicPr>
                      <a:picLocks noChangeAspect="1" noChangeArrowheads="1"/>
                    </pic:cNvPicPr>
                  </pic:nvPicPr>
                  <pic:blipFill>
                    <a:blip r:embed="rId15" cstate="print"/>
                    <a:srcRect t="94196" r="73800" b="-3"/>
                    <a:stretch>
                      <a:fillRect/>
                    </a:stretch>
                  </pic:blipFill>
                  <pic:spPr bwMode="auto">
                    <a:xfrm>
                      <a:off x="0" y="0"/>
                      <a:ext cx="1017815" cy="370114"/>
                    </a:xfrm>
                    <a:prstGeom prst="rect">
                      <a:avLst/>
                    </a:prstGeom>
                    <a:noFill/>
                    <a:ln w="9525">
                      <a:noFill/>
                      <a:miter lim="800000"/>
                      <a:headEnd/>
                      <a:tailEnd/>
                    </a:ln>
                  </pic:spPr>
                </pic:pic>
              </a:graphicData>
            </a:graphic>
          </wp:anchor>
        </w:drawing>
      </w:r>
      <w:r>
        <w:rPr>
          <w:b/>
          <w:noProof/>
          <w:szCs w:val="24"/>
        </w:rPr>
        <w:drawing>
          <wp:anchor distT="0" distB="0" distL="114300" distR="114300" simplePos="0" relativeHeight="251678720" behindDoc="0" locked="0" layoutInCell="1" allowOverlap="1" wp14:anchorId="454EB336" wp14:editId="773DED83">
            <wp:simplePos x="0" y="0"/>
            <wp:positionH relativeFrom="column">
              <wp:posOffset>609599</wp:posOffset>
            </wp:positionH>
            <wp:positionV relativeFrom="paragraph">
              <wp:posOffset>5655310</wp:posOffset>
            </wp:positionV>
            <wp:extent cx="911225" cy="368421"/>
            <wp:effectExtent l="19050" t="0" r="3175" b="0"/>
            <wp:wrapNone/>
            <wp:docPr id="27" name="Picture 8" descr="L:\Lab\NHEERL_MEA\Nanoparticles\Images\Neuro SEM 4-23-12\1288 nm CeO2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Lab\NHEERL_MEA\Nanoparticles\Images\Neuro SEM 4-23-12\1288 nm CeO2 (1-5) 2.jpg"/>
                    <pic:cNvPicPr>
                      <a:picLocks noChangeAspect="1" noChangeArrowheads="1"/>
                    </pic:cNvPicPr>
                  </pic:nvPicPr>
                  <pic:blipFill>
                    <a:blip r:embed="rId16" cstate="print"/>
                    <a:srcRect t="94161" r="75651" b="856"/>
                    <a:stretch>
                      <a:fillRect/>
                    </a:stretch>
                  </pic:blipFill>
                  <pic:spPr bwMode="auto">
                    <a:xfrm>
                      <a:off x="0" y="0"/>
                      <a:ext cx="915413" cy="370114"/>
                    </a:xfrm>
                    <a:prstGeom prst="rect">
                      <a:avLst/>
                    </a:prstGeom>
                    <a:noFill/>
                    <a:ln w="9525">
                      <a:noFill/>
                      <a:miter lim="800000"/>
                      <a:headEnd/>
                      <a:tailEnd/>
                    </a:ln>
                  </pic:spPr>
                </pic:pic>
              </a:graphicData>
            </a:graphic>
          </wp:anchor>
        </w:drawing>
      </w:r>
      <w:r>
        <w:rPr>
          <w:b/>
          <w:noProof/>
          <w:szCs w:val="24"/>
        </w:rPr>
        <w:drawing>
          <wp:anchor distT="0" distB="0" distL="114300" distR="114300" simplePos="0" relativeHeight="251669504" behindDoc="0" locked="0" layoutInCell="1" allowOverlap="1" wp14:anchorId="1DCDC50F" wp14:editId="7A0D9DB2">
            <wp:simplePos x="0" y="0"/>
            <wp:positionH relativeFrom="column">
              <wp:posOffset>693964</wp:posOffset>
            </wp:positionH>
            <wp:positionV relativeFrom="paragraph">
              <wp:posOffset>3478167</wp:posOffset>
            </wp:positionV>
            <wp:extent cx="917122" cy="391886"/>
            <wp:effectExtent l="19050" t="0" r="0" b="0"/>
            <wp:wrapNone/>
            <wp:docPr id="18" name="Picture 3" descr="70-105 CeO2a.tif"/>
            <wp:cNvGraphicFramePr/>
            <a:graphic xmlns:a="http://schemas.openxmlformats.org/drawingml/2006/main">
              <a:graphicData uri="http://schemas.openxmlformats.org/drawingml/2006/picture">
                <pic:pic xmlns:pic="http://schemas.openxmlformats.org/drawingml/2006/picture">
                  <pic:nvPicPr>
                    <pic:cNvPr id="9" name="Picture 8" descr="70-105 CeO2a.tif"/>
                    <pic:cNvPicPr>
                      <a:picLocks noChangeAspect="1"/>
                    </pic:cNvPicPr>
                  </pic:nvPicPr>
                  <pic:blipFill>
                    <a:blip r:embed="rId17" cstate="print"/>
                    <a:srcRect t="93750" r="73430" b="-3"/>
                    <a:stretch>
                      <a:fillRect/>
                    </a:stretch>
                  </pic:blipFill>
                  <pic:spPr>
                    <a:xfrm>
                      <a:off x="0" y="0"/>
                      <a:ext cx="917122" cy="391886"/>
                    </a:xfrm>
                    <a:prstGeom prst="rect">
                      <a:avLst/>
                    </a:prstGeom>
                  </pic:spPr>
                </pic:pic>
              </a:graphicData>
            </a:graphic>
          </wp:anchor>
        </w:drawing>
      </w:r>
      <w:r>
        <w:rPr>
          <w:b/>
          <w:noProof/>
          <w:szCs w:val="24"/>
        </w:rPr>
        <w:drawing>
          <wp:anchor distT="0" distB="0" distL="114300" distR="114300" simplePos="0" relativeHeight="251675648" behindDoc="0" locked="0" layoutInCell="1" allowOverlap="1" wp14:anchorId="7767C047" wp14:editId="6248657E">
            <wp:simplePos x="0" y="0"/>
            <wp:positionH relativeFrom="column">
              <wp:posOffset>4514850</wp:posOffset>
            </wp:positionH>
            <wp:positionV relativeFrom="paragraph">
              <wp:posOffset>3510824</wp:posOffset>
            </wp:positionV>
            <wp:extent cx="840921" cy="336898"/>
            <wp:effectExtent l="19050" t="0" r="0" b="0"/>
            <wp:wrapNone/>
            <wp:docPr id="25" name="Picture 6" descr="L:\Lab\NHEERL_MEA\Nanoparticles\Images\Neuro SEM 4-23-12\25 nm CeO2 (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ab\NHEERL_MEA\Nanoparticles\Images\Neuro SEM 4-23-12\25 nm CeO2 (1-3) 2.jpg"/>
                    <pic:cNvPicPr>
                      <a:picLocks noChangeAspect="1" noChangeArrowheads="1"/>
                    </pic:cNvPicPr>
                  </pic:nvPicPr>
                  <pic:blipFill>
                    <a:blip r:embed="rId18" cstate="print"/>
                    <a:srcRect t="94017" r="74381" b="-20"/>
                    <a:stretch>
                      <a:fillRect/>
                    </a:stretch>
                  </pic:blipFill>
                  <pic:spPr bwMode="auto">
                    <a:xfrm>
                      <a:off x="0" y="0"/>
                      <a:ext cx="845442" cy="338709"/>
                    </a:xfrm>
                    <a:prstGeom prst="rect">
                      <a:avLst/>
                    </a:prstGeom>
                    <a:noFill/>
                    <a:ln w="9525">
                      <a:noFill/>
                      <a:miter lim="800000"/>
                      <a:headEnd/>
                      <a:tailEnd/>
                    </a:ln>
                  </pic:spPr>
                </pic:pic>
              </a:graphicData>
            </a:graphic>
          </wp:anchor>
        </w:drawing>
      </w:r>
      <w:r>
        <w:rPr>
          <w:b/>
          <w:noProof/>
          <w:szCs w:val="24"/>
        </w:rPr>
        <w:drawing>
          <wp:anchor distT="0" distB="0" distL="114300" distR="114300" simplePos="0" relativeHeight="251672576" behindDoc="0" locked="0" layoutInCell="1" allowOverlap="1" wp14:anchorId="0E6A7CCD" wp14:editId="264278C6">
            <wp:simplePos x="0" y="0"/>
            <wp:positionH relativeFrom="column">
              <wp:posOffset>2620736</wp:posOffset>
            </wp:positionH>
            <wp:positionV relativeFrom="paragraph">
              <wp:posOffset>3510824</wp:posOffset>
            </wp:positionV>
            <wp:extent cx="895349" cy="348343"/>
            <wp:effectExtent l="19050" t="0" r="1" b="0"/>
            <wp:wrapNone/>
            <wp:docPr id="23" name="Picture 5" descr="1288 nm CeO2 (1-3) 2.jpg"/>
            <wp:cNvGraphicFramePr/>
            <a:graphic xmlns:a="http://schemas.openxmlformats.org/drawingml/2006/main">
              <a:graphicData uri="http://schemas.openxmlformats.org/drawingml/2006/picture">
                <pic:pic xmlns:pic="http://schemas.openxmlformats.org/drawingml/2006/picture">
                  <pic:nvPicPr>
                    <pic:cNvPr id="6" name="Content Placeholder 5" descr="1288 nm CeO2 (1-3) 2.jpg"/>
                    <pic:cNvPicPr>
                      <a:picLocks noGrp="1" noChangeAspect="1"/>
                    </pic:cNvPicPr>
                  </pic:nvPicPr>
                  <pic:blipFill>
                    <a:blip r:embed="rId19" cstate="print"/>
                    <a:srcRect t="94702" r="74995"/>
                    <a:stretch>
                      <a:fillRect/>
                    </a:stretch>
                  </pic:blipFill>
                  <pic:spPr>
                    <a:xfrm>
                      <a:off x="0" y="0"/>
                      <a:ext cx="895349" cy="348343"/>
                    </a:xfrm>
                    <a:prstGeom prst="rect">
                      <a:avLst/>
                    </a:prstGeom>
                  </pic:spPr>
                </pic:pic>
              </a:graphicData>
            </a:graphic>
          </wp:anchor>
        </w:drawing>
      </w:r>
      <w:r>
        <w:rPr>
          <w:b/>
          <w:noProof/>
          <w:szCs w:val="24"/>
        </w:rPr>
        <w:drawing>
          <wp:anchor distT="0" distB="0" distL="114300" distR="114300" simplePos="0" relativeHeight="251666432" behindDoc="0" locked="0" layoutInCell="1" allowOverlap="1" wp14:anchorId="5F201586" wp14:editId="6CE6AE76">
            <wp:simplePos x="0" y="0"/>
            <wp:positionH relativeFrom="column">
              <wp:posOffset>4517572</wp:posOffset>
            </wp:positionH>
            <wp:positionV relativeFrom="paragraph">
              <wp:posOffset>1344567</wp:posOffset>
            </wp:positionV>
            <wp:extent cx="849086" cy="324422"/>
            <wp:effectExtent l="19050" t="0" r="8164" b="0"/>
            <wp:wrapNone/>
            <wp:docPr id="16" name="Picture 4" descr="25 nm CeO2 (1-3) 4.jpg"/>
            <wp:cNvGraphicFramePr/>
            <a:graphic xmlns:a="http://schemas.openxmlformats.org/drawingml/2006/main">
              <a:graphicData uri="http://schemas.openxmlformats.org/drawingml/2006/picture">
                <pic:pic xmlns:pic="http://schemas.openxmlformats.org/drawingml/2006/picture">
                  <pic:nvPicPr>
                    <pic:cNvPr id="11" name="Picture 10" descr="25 nm CeO2 (1-3) 4.jpg"/>
                    <pic:cNvPicPr>
                      <a:picLocks noChangeAspect="1"/>
                    </pic:cNvPicPr>
                  </pic:nvPicPr>
                  <pic:blipFill>
                    <a:blip r:embed="rId11" cstate="print"/>
                    <a:srcRect t="94737" r="77222"/>
                    <a:stretch>
                      <a:fillRect/>
                    </a:stretch>
                  </pic:blipFill>
                  <pic:spPr>
                    <a:xfrm>
                      <a:off x="0" y="0"/>
                      <a:ext cx="856131" cy="327114"/>
                    </a:xfrm>
                    <a:prstGeom prst="rect">
                      <a:avLst/>
                    </a:prstGeom>
                  </pic:spPr>
                </pic:pic>
              </a:graphicData>
            </a:graphic>
          </wp:anchor>
        </w:drawing>
      </w:r>
      <w:r>
        <w:rPr>
          <w:b/>
          <w:noProof/>
          <w:szCs w:val="24"/>
        </w:rPr>
        <w:drawing>
          <wp:anchor distT="0" distB="0" distL="114300" distR="114300" simplePos="0" relativeHeight="251663360" behindDoc="0" locked="0" layoutInCell="1" allowOverlap="1" wp14:anchorId="68BFDD93" wp14:editId="23A44238">
            <wp:simplePos x="0" y="0"/>
            <wp:positionH relativeFrom="column">
              <wp:posOffset>2623457</wp:posOffset>
            </wp:positionH>
            <wp:positionV relativeFrom="paragraph">
              <wp:posOffset>1301024</wp:posOffset>
            </wp:positionV>
            <wp:extent cx="892628" cy="391886"/>
            <wp:effectExtent l="19050" t="0" r="2722" b="0"/>
            <wp:wrapNone/>
            <wp:docPr id="14" name="Picture 1" descr="15-30 nm CeO2 Normal 100 2.tif"/>
            <wp:cNvGraphicFramePr/>
            <a:graphic xmlns:a="http://schemas.openxmlformats.org/drawingml/2006/main">
              <a:graphicData uri="http://schemas.openxmlformats.org/drawingml/2006/picture">
                <pic:pic xmlns:pic="http://schemas.openxmlformats.org/drawingml/2006/picture">
                  <pic:nvPicPr>
                    <pic:cNvPr id="5" name="Content Placeholder 4" descr="15-30 nm CeO2 Normal 100 2.tif"/>
                    <pic:cNvPicPr>
                      <a:picLocks noGrp="1" noChangeAspect="1"/>
                    </pic:cNvPicPr>
                  </pic:nvPicPr>
                  <pic:blipFill>
                    <a:blip r:embed="rId12" cstate="print"/>
                    <a:srcRect t="94079" r="76711"/>
                    <a:stretch>
                      <a:fillRect/>
                    </a:stretch>
                  </pic:blipFill>
                  <pic:spPr>
                    <a:xfrm>
                      <a:off x="0" y="0"/>
                      <a:ext cx="892628" cy="391886"/>
                    </a:xfrm>
                    <a:prstGeom prst="rect">
                      <a:avLst/>
                    </a:prstGeom>
                  </pic:spPr>
                </pic:pic>
              </a:graphicData>
            </a:graphic>
          </wp:anchor>
        </w:drawing>
      </w:r>
      <w:r>
        <w:rPr>
          <w:b/>
          <w:noProof/>
          <w:szCs w:val="24"/>
        </w:rPr>
        <w:drawing>
          <wp:anchor distT="0" distB="0" distL="114300" distR="114300" simplePos="0" relativeHeight="251660288" behindDoc="0" locked="0" layoutInCell="1" allowOverlap="1" wp14:anchorId="6F8D34CF" wp14:editId="172FDA92">
            <wp:simplePos x="0" y="0"/>
            <wp:positionH relativeFrom="column">
              <wp:posOffset>693964</wp:posOffset>
            </wp:positionH>
            <wp:positionV relativeFrom="paragraph">
              <wp:posOffset>1388110</wp:posOffset>
            </wp:positionV>
            <wp:extent cx="985702" cy="304800"/>
            <wp:effectExtent l="19050" t="0" r="4898" b="0"/>
            <wp:wrapNone/>
            <wp:docPr id="12" name="Picture 2" descr="less 7nm CeO2.tif"/>
            <wp:cNvGraphicFramePr/>
            <a:graphic xmlns:a="http://schemas.openxmlformats.org/drawingml/2006/main">
              <a:graphicData uri="http://schemas.openxmlformats.org/drawingml/2006/picture">
                <pic:pic xmlns:pic="http://schemas.openxmlformats.org/drawingml/2006/picture">
                  <pic:nvPicPr>
                    <pic:cNvPr id="6" name="Content Placeholder 5" descr="less 7nm CeO2.tif"/>
                    <pic:cNvPicPr>
                      <a:picLocks noGrp="1" noChangeAspect="1"/>
                    </pic:cNvPicPr>
                  </pic:nvPicPr>
                  <pic:blipFill>
                    <a:blip r:embed="rId13" cstate="print"/>
                    <a:srcRect t="95192" r="77433" b="1692"/>
                    <a:stretch>
                      <a:fillRect/>
                    </a:stretch>
                  </pic:blipFill>
                  <pic:spPr>
                    <a:xfrm>
                      <a:off x="0" y="0"/>
                      <a:ext cx="985702" cy="304800"/>
                    </a:xfrm>
                    <a:prstGeom prst="rect">
                      <a:avLst/>
                    </a:prstGeom>
                  </pic:spPr>
                </pic:pic>
              </a:graphicData>
            </a:graphic>
          </wp:anchor>
        </w:drawing>
      </w:r>
      <w:r>
        <w:rPr>
          <w:b/>
          <w:noProof/>
          <w:szCs w:val="24"/>
        </w:rPr>
        <mc:AlternateContent>
          <mc:Choice Requires="wps">
            <w:drawing>
              <wp:anchor distT="0" distB="0" distL="114300" distR="114300" simplePos="0" relativeHeight="251685888" behindDoc="0" locked="0" layoutInCell="1" allowOverlap="1" wp14:anchorId="21E0BFC6" wp14:editId="4629D344">
                <wp:simplePos x="0" y="0"/>
                <wp:positionH relativeFrom="column">
                  <wp:posOffset>3740785</wp:posOffset>
                </wp:positionH>
                <wp:positionV relativeFrom="paragraph">
                  <wp:posOffset>4192905</wp:posOffset>
                </wp:positionV>
                <wp:extent cx="352425" cy="390525"/>
                <wp:effectExtent l="0" t="4445" r="254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Pr>
                                <w:color w:val="FFFFFF" w:themeColor="background1"/>
                                <w:sz w:val="40"/>
                                <w:szCs w:val="40"/>
                              </w:rPr>
                              <w:t>I</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94.55pt;margin-top:330.15pt;width:27.7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" fillcolor="black [3213]" stroked="f">
                <v:textbox>
                  <w:txbxContent>
                    <w:p w:rsidR="00F41CDC" w:rsidRPr="00CF3EB0" w:rsidRDefault="00F41CDC" w:rsidP="000250AC">
                      <w:pPr>
                        <w:rPr>
                          <w:color w:val="FFFFFF" w:themeColor="background1"/>
                          <w:sz w:val="40"/>
                          <w:szCs w:val="40"/>
                        </w:rPr>
                      </w:pPr>
                      <w:r>
                        <w:rPr>
                          <w:color w:val="FFFFFF" w:themeColor="background1"/>
                          <w:sz w:val="40"/>
                          <w:szCs w:val="40"/>
                        </w:rPr>
                        <w:t>I</w:t>
                      </w:r>
                    </w:p>
                    <w:p w:rsidR="00F41CDC" w:rsidRDefault="00F41CDC" w:rsidP="000250AC"/>
                  </w:txbxContent>
                </v:textbox>
              </v:shape>
            </w:pict>
          </mc:Fallback>
        </mc:AlternateContent>
      </w:r>
      <w:r>
        <w:rPr>
          <w:b/>
          <w:noProof/>
          <w:szCs w:val="24"/>
        </w:rPr>
        <w:drawing>
          <wp:anchor distT="0" distB="0" distL="114300" distR="114300" simplePos="0" relativeHeight="251683840" behindDoc="0" locked="0" layoutInCell="1" allowOverlap="1" wp14:anchorId="4D9AA45B" wp14:editId="40A009EE">
            <wp:simplePos x="0" y="0"/>
            <wp:positionH relativeFrom="column">
              <wp:posOffset>3741964</wp:posOffset>
            </wp:positionH>
            <wp:positionV relativeFrom="paragraph">
              <wp:posOffset>4174852</wp:posOffset>
            </wp:positionV>
            <wp:extent cx="1777093" cy="1926772"/>
            <wp:effectExtent l="19050" t="0" r="0" b="0"/>
            <wp:wrapNone/>
            <wp:docPr id="30" name="Picture 6" descr="200 nm TiO2 (1-5)3.jpg"/>
            <wp:cNvGraphicFramePr/>
            <a:graphic xmlns:a="http://schemas.openxmlformats.org/drawingml/2006/main">
              <a:graphicData uri="http://schemas.openxmlformats.org/drawingml/2006/picture">
                <pic:pic xmlns:pic="http://schemas.openxmlformats.org/drawingml/2006/picture">
                  <pic:nvPicPr>
                    <pic:cNvPr id="8" name="Content Placeholder 7" descr="200 nm TiO2 (1-5)3.jpg"/>
                    <pic:cNvPicPr>
                      <a:picLocks noGrp="1" noChangeAspect="1"/>
                    </pic:cNvPicPr>
                  </pic:nvPicPr>
                  <pic:blipFill>
                    <a:blip r:embed="rId14" cstate="print"/>
                    <a:srcRect r="1736" b="5533"/>
                    <a:stretch>
                      <a:fillRect/>
                    </a:stretch>
                  </pic:blipFill>
                  <pic:spPr>
                    <a:xfrm>
                      <a:off x="0" y="0"/>
                      <a:ext cx="1777093" cy="1926772"/>
                    </a:xfrm>
                    <a:prstGeom prst="rect">
                      <a:avLst/>
                    </a:prstGeom>
                  </pic:spPr>
                </pic:pic>
              </a:graphicData>
            </a:graphic>
          </wp:anchor>
        </w:drawing>
      </w:r>
      <w:r>
        <w:rPr>
          <w:b/>
          <w:noProof/>
          <w:szCs w:val="24"/>
        </w:rPr>
        <mc:AlternateContent>
          <mc:Choice Requires="wps">
            <w:drawing>
              <wp:anchor distT="0" distB="0" distL="114300" distR="114300" simplePos="0" relativeHeight="251682816" behindDoc="0" locked="0" layoutInCell="1" allowOverlap="1" wp14:anchorId="56A9C541" wp14:editId="4A0127A1">
                <wp:simplePos x="0" y="0"/>
                <wp:positionH relativeFrom="column">
                  <wp:posOffset>1858645</wp:posOffset>
                </wp:positionH>
                <wp:positionV relativeFrom="paragraph">
                  <wp:posOffset>4181475</wp:posOffset>
                </wp:positionV>
                <wp:extent cx="352425" cy="390525"/>
                <wp:effectExtent l="1270" t="254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Pr>
                                <w:color w:val="FFFFFF" w:themeColor="background1"/>
                                <w:sz w:val="40"/>
                                <w:szCs w:val="40"/>
                              </w:rPr>
                              <w:t>H</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46.35pt;margin-top:329.25pt;width:27.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" fillcolor="black [3213]" stroked="f">
                <v:textbox>
                  <w:txbxContent>
                    <w:p w:rsidR="00F41CDC" w:rsidRPr="00CF3EB0" w:rsidRDefault="00F41CDC" w:rsidP="000250AC">
                      <w:pPr>
                        <w:rPr>
                          <w:color w:val="FFFFFF" w:themeColor="background1"/>
                          <w:sz w:val="40"/>
                          <w:szCs w:val="40"/>
                        </w:rPr>
                      </w:pPr>
                      <w:r>
                        <w:rPr>
                          <w:color w:val="FFFFFF" w:themeColor="background1"/>
                          <w:sz w:val="40"/>
                          <w:szCs w:val="40"/>
                        </w:rPr>
                        <w:t>H</w:t>
                      </w:r>
                    </w:p>
                    <w:p w:rsidR="00F41CDC" w:rsidRDefault="00F41CDC" w:rsidP="000250AC"/>
                  </w:txbxContent>
                </v:textbox>
              </v:shape>
            </w:pict>
          </mc:Fallback>
        </mc:AlternateContent>
      </w:r>
      <w:r>
        <w:rPr>
          <w:b/>
          <w:noProof/>
          <w:szCs w:val="24"/>
        </w:rPr>
        <w:drawing>
          <wp:anchor distT="0" distB="0" distL="114300" distR="114300" simplePos="0" relativeHeight="251680768" behindDoc="0" locked="0" layoutInCell="1" allowOverlap="1" wp14:anchorId="295A1D3D" wp14:editId="01206729">
            <wp:simplePos x="0" y="0"/>
            <wp:positionH relativeFrom="column">
              <wp:posOffset>1847850</wp:posOffset>
            </wp:positionH>
            <wp:positionV relativeFrom="paragraph">
              <wp:posOffset>4185739</wp:posOffset>
            </wp:positionV>
            <wp:extent cx="1700893" cy="1915886"/>
            <wp:effectExtent l="19050" t="0" r="0" b="0"/>
            <wp:wrapNone/>
            <wp:docPr id="28" name="Picture 9" descr="L:\Lab\NHEERL_MEA\Nanoparticles\Images\Neuro SEM 4-23-12\25 nm CeO2 (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ab\NHEERL_MEA\Nanoparticles\Images\Neuro SEM 4-23-12\25 nm CeO2 (1-5) 3.jpg"/>
                    <pic:cNvPicPr>
                      <a:picLocks noChangeAspect="1" noChangeArrowheads="1"/>
                    </pic:cNvPicPr>
                  </pic:nvPicPr>
                  <pic:blipFill>
                    <a:blip r:embed="rId15" cstate="print"/>
                    <a:srcRect r="2778" b="6945"/>
                    <a:stretch>
                      <a:fillRect/>
                    </a:stretch>
                  </pic:blipFill>
                  <pic:spPr bwMode="auto">
                    <a:xfrm>
                      <a:off x="0" y="0"/>
                      <a:ext cx="1700893" cy="1915886"/>
                    </a:xfrm>
                    <a:prstGeom prst="rect">
                      <a:avLst/>
                    </a:prstGeom>
                    <a:noFill/>
                    <a:ln w="9525">
                      <a:noFill/>
                      <a:miter lim="800000"/>
                      <a:headEnd/>
                      <a:tailEnd/>
                    </a:ln>
                  </pic:spPr>
                </pic:pic>
              </a:graphicData>
            </a:graphic>
          </wp:anchor>
        </w:drawing>
      </w:r>
      <w:r>
        <w:rPr>
          <w:b/>
          <w:noProof/>
          <w:szCs w:val="24"/>
        </w:rPr>
        <mc:AlternateContent>
          <mc:Choice Requires="wps">
            <w:drawing>
              <wp:anchor distT="0" distB="0" distL="114300" distR="114300" simplePos="0" relativeHeight="251679744" behindDoc="0" locked="0" layoutInCell="1" allowOverlap="1" wp14:anchorId="532233A2" wp14:editId="6223C057">
                <wp:simplePos x="0" y="0"/>
                <wp:positionH relativeFrom="column">
                  <wp:posOffset>0</wp:posOffset>
                </wp:positionH>
                <wp:positionV relativeFrom="paragraph">
                  <wp:posOffset>4181475</wp:posOffset>
                </wp:positionV>
                <wp:extent cx="352425" cy="390525"/>
                <wp:effectExtent l="0" t="254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Pr>
                                <w:color w:val="FFFFFF" w:themeColor="background1"/>
                                <w:sz w:val="40"/>
                                <w:szCs w:val="40"/>
                              </w:rPr>
                              <w:t>G</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0;margin-top:329.25pt;width:27.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" fillcolor="black [3213]" stroked="f">
                <v:textbox>
                  <w:txbxContent>
                    <w:p w:rsidR="00F41CDC" w:rsidRPr="00CF3EB0" w:rsidRDefault="00F41CDC" w:rsidP="000250AC">
                      <w:pPr>
                        <w:rPr>
                          <w:color w:val="FFFFFF" w:themeColor="background1"/>
                          <w:sz w:val="40"/>
                          <w:szCs w:val="40"/>
                        </w:rPr>
                      </w:pPr>
                      <w:r>
                        <w:rPr>
                          <w:color w:val="FFFFFF" w:themeColor="background1"/>
                          <w:sz w:val="40"/>
                          <w:szCs w:val="40"/>
                        </w:rPr>
                        <w:t>G</w:t>
                      </w:r>
                    </w:p>
                    <w:p w:rsidR="00F41CDC" w:rsidRDefault="00F41CDC" w:rsidP="000250AC"/>
                  </w:txbxContent>
                </v:textbox>
              </v:shape>
            </w:pict>
          </mc:Fallback>
        </mc:AlternateContent>
      </w:r>
      <w:r>
        <w:rPr>
          <w:b/>
          <w:noProof/>
          <w:szCs w:val="24"/>
        </w:rPr>
        <w:drawing>
          <wp:anchor distT="0" distB="0" distL="114300" distR="114300" simplePos="0" relativeHeight="251677696" behindDoc="0" locked="0" layoutInCell="1" allowOverlap="1" wp14:anchorId="1096C3E4" wp14:editId="02E5C618">
            <wp:simplePos x="0" y="0"/>
            <wp:positionH relativeFrom="column">
              <wp:posOffset>-2721</wp:posOffset>
            </wp:positionH>
            <wp:positionV relativeFrom="paragraph">
              <wp:posOffset>4185738</wp:posOffset>
            </wp:positionV>
            <wp:extent cx="1674676" cy="1915886"/>
            <wp:effectExtent l="19050" t="0" r="1724" b="0"/>
            <wp:wrapNone/>
            <wp:docPr id="26" name="Picture 7" descr="L:\Lab\NHEERL_MEA\Nanoparticles\Images\Neuro SEM 4-23-12\1288 nm CeO2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ab\NHEERL_MEA\Nanoparticles\Images\Neuro SEM 4-23-12\1288 nm CeO2 (1-5) 2.jpg"/>
                    <pic:cNvPicPr>
                      <a:picLocks noChangeAspect="1" noChangeArrowheads="1"/>
                    </pic:cNvPicPr>
                  </pic:nvPicPr>
                  <pic:blipFill>
                    <a:blip r:embed="rId16" cstate="print"/>
                    <a:srcRect r="5256" b="6731"/>
                    <a:stretch>
                      <a:fillRect/>
                    </a:stretch>
                  </pic:blipFill>
                  <pic:spPr bwMode="auto">
                    <a:xfrm>
                      <a:off x="0" y="0"/>
                      <a:ext cx="1674676" cy="1915886"/>
                    </a:xfrm>
                    <a:prstGeom prst="rect">
                      <a:avLst/>
                    </a:prstGeom>
                    <a:noFill/>
                    <a:ln w="9525">
                      <a:noFill/>
                      <a:miter lim="800000"/>
                      <a:headEnd/>
                      <a:tailEnd/>
                    </a:ln>
                  </pic:spPr>
                </pic:pic>
              </a:graphicData>
            </a:graphic>
          </wp:anchor>
        </w:drawing>
      </w:r>
      <w:r>
        <w:rPr>
          <w:b/>
          <w:noProof/>
          <w:szCs w:val="24"/>
        </w:rPr>
        <mc:AlternateContent>
          <mc:Choice Requires="wps">
            <w:drawing>
              <wp:anchor distT="0" distB="0" distL="114300" distR="114300" simplePos="0" relativeHeight="251676672" behindDoc="0" locked="0" layoutInCell="1" allowOverlap="1" wp14:anchorId="43ED260A" wp14:editId="7BD924A0">
                <wp:simplePos x="0" y="0"/>
                <wp:positionH relativeFrom="column">
                  <wp:posOffset>3751580</wp:posOffset>
                </wp:positionH>
                <wp:positionV relativeFrom="paragraph">
                  <wp:posOffset>1965325</wp:posOffset>
                </wp:positionV>
                <wp:extent cx="352425" cy="390525"/>
                <wp:effectExtent l="0" t="0" r="127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Pr>
                                <w:color w:val="FFFFFF" w:themeColor="background1"/>
                                <w:sz w:val="40"/>
                                <w:szCs w:val="40"/>
                              </w:rPr>
                              <w:t>F</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5.4pt;margin-top:154.75pt;width:27.7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" fillcolor="black [3213]" stroked="f">
                <v:textbox>
                  <w:txbxContent>
                    <w:p w:rsidR="00F41CDC" w:rsidRPr="00CF3EB0" w:rsidRDefault="00F41CDC" w:rsidP="000250AC">
                      <w:pPr>
                        <w:rPr>
                          <w:color w:val="FFFFFF" w:themeColor="background1"/>
                          <w:sz w:val="40"/>
                          <w:szCs w:val="40"/>
                        </w:rPr>
                      </w:pPr>
                      <w:r>
                        <w:rPr>
                          <w:color w:val="FFFFFF" w:themeColor="background1"/>
                          <w:sz w:val="40"/>
                          <w:szCs w:val="40"/>
                        </w:rPr>
                        <w:t>F</w:t>
                      </w:r>
                    </w:p>
                    <w:p w:rsidR="00F41CDC" w:rsidRDefault="00F41CDC" w:rsidP="000250AC"/>
                  </w:txbxContent>
                </v:textbox>
              </v:shape>
            </w:pict>
          </mc:Fallback>
        </mc:AlternateContent>
      </w:r>
      <w:r>
        <w:rPr>
          <w:b/>
          <w:noProof/>
          <w:szCs w:val="24"/>
        </w:rPr>
        <w:drawing>
          <wp:anchor distT="0" distB="0" distL="114300" distR="114300" simplePos="0" relativeHeight="251674624" behindDoc="0" locked="0" layoutInCell="1" allowOverlap="1" wp14:anchorId="545EFA8C" wp14:editId="5ABEA067">
            <wp:simplePos x="0" y="0"/>
            <wp:positionH relativeFrom="column">
              <wp:posOffset>3752850</wp:posOffset>
            </wp:positionH>
            <wp:positionV relativeFrom="paragraph">
              <wp:posOffset>1965053</wp:posOffset>
            </wp:positionV>
            <wp:extent cx="1777093" cy="2002971"/>
            <wp:effectExtent l="19050" t="0" r="0" b="0"/>
            <wp:wrapNone/>
            <wp:docPr id="24" name="Picture 5" descr="L:\Lab\NHEERL_MEA\Nanoparticles\Images\Neuro SEM 4-23-12\25 nm CeO2 (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ab\NHEERL_MEA\Nanoparticles\Images\Neuro SEM 4-23-12\25 nm CeO2 (1-3) 2.jpg"/>
                    <pic:cNvPicPr>
                      <a:picLocks noChangeAspect="1" noChangeArrowheads="1"/>
                    </pic:cNvPicPr>
                  </pic:nvPicPr>
                  <pic:blipFill>
                    <a:blip r:embed="rId18" cstate="print"/>
                    <a:srcRect r="3315" b="6512"/>
                    <a:stretch>
                      <a:fillRect/>
                    </a:stretch>
                  </pic:blipFill>
                  <pic:spPr bwMode="auto">
                    <a:xfrm>
                      <a:off x="0" y="0"/>
                      <a:ext cx="1777093" cy="2002971"/>
                    </a:xfrm>
                    <a:prstGeom prst="rect">
                      <a:avLst/>
                    </a:prstGeom>
                    <a:noFill/>
                    <a:ln w="9525">
                      <a:noFill/>
                      <a:miter lim="800000"/>
                      <a:headEnd/>
                      <a:tailEnd/>
                    </a:ln>
                  </pic:spPr>
                </pic:pic>
              </a:graphicData>
            </a:graphic>
          </wp:anchor>
        </w:drawing>
      </w:r>
      <w:r>
        <w:rPr>
          <w:b/>
          <w:noProof/>
          <w:szCs w:val="24"/>
        </w:rPr>
        <mc:AlternateContent>
          <mc:Choice Requires="wps">
            <w:drawing>
              <wp:anchor distT="0" distB="0" distL="114300" distR="114300" simplePos="0" relativeHeight="251673600" behindDoc="0" locked="0" layoutInCell="1" allowOverlap="1" wp14:anchorId="5E1C7D90" wp14:editId="0609D79B">
                <wp:simplePos x="0" y="0"/>
                <wp:positionH relativeFrom="column">
                  <wp:posOffset>1883410</wp:posOffset>
                </wp:positionH>
                <wp:positionV relativeFrom="paragraph">
                  <wp:posOffset>1965325</wp:posOffset>
                </wp:positionV>
                <wp:extent cx="352425" cy="390525"/>
                <wp:effectExtent l="0" t="0" r="2540" b="381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sidRPr="00CF3EB0">
                              <w:rPr>
                                <w:color w:val="FFFFFF" w:themeColor="background1"/>
                                <w:sz w:val="40"/>
                                <w:szCs w:val="40"/>
                              </w:rPr>
                              <w:t>E</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148.3pt;margin-top:154.75pt;width:27.7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" fillcolor="black [3213]" stroked="f">
                <v:textbox>
                  <w:txbxContent>
                    <w:p w:rsidR="00F41CDC" w:rsidRPr="00CF3EB0" w:rsidRDefault="00F41CDC" w:rsidP="000250AC">
                      <w:pPr>
                        <w:rPr>
                          <w:color w:val="FFFFFF" w:themeColor="background1"/>
                          <w:sz w:val="40"/>
                          <w:szCs w:val="40"/>
                        </w:rPr>
                      </w:pPr>
                      <w:r w:rsidRPr="00CF3EB0">
                        <w:rPr>
                          <w:color w:val="FFFFFF" w:themeColor="background1"/>
                          <w:sz w:val="40"/>
                          <w:szCs w:val="40"/>
                        </w:rPr>
                        <w:t>E</w:t>
                      </w:r>
                    </w:p>
                    <w:p w:rsidR="00F41CDC" w:rsidRDefault="00F41CDC" w:rsidP="000250AC"/>
                  </w:txbxContent>
                </v:textbox>
              </v:shape>
            </w:pict>
          </mc:Fallback>
        </mc:AlternateContent>
      </w:r>
      <w:r>
        <w:rPr>
          <w:b/>
          <w:noProof/>
          <w:szCs w:val="24"/>
        </w:rPr>
        <w:drawing>
          <wp:anchor distT="0" distB="0" distL="114300" distR="114300" simplePos="0" relativeHeight="251671552" behindDoc="0" locked="0" layoutInCell="1" allowOverlap="1" wp14:anchorId="42A10410" wp14:editId="3625C0D7">
            <wp:simplePos x="0" y="0"/>
            <wp:positionH relativeFrom="column">
              <wp:posOffset>1880507</wp:posOffset>
            </wp:positionH>
            <wp:positionV relativeFrom="paragraph">
              <wp:posOffset>1965053</wp:posOffset>
            </wp:positionV>
            <wp:extent cx="1690007" cy="2002971"/>
            <wp:effectExtent l="19050" t="0" r="5443" b="0"/>
            <wp:wrapNone/>
            <wp:docPr id="22" name="Picture 8" descr="1288 nm CeO2 (1-3) 2.jpg"/>
            <wp:cNvGraphicFramePr/>
            <a:graphic xmlns:a="http://schemas.openxmlformats.org/drawingml/2006/main">
              <a:graphicData uri="http://schemas.openxmlformats.org/drawingml/2006/picture">
                <pic:pic xmlns:pic="http://schemas.openxmlformats.org/drawingml/2006/picture">
                  <pic:nvPicPr>
                    <pic:cNvPr id="6" name="Content Placeholder 5" descr="1288 nm CeO2 (1-3) 2.jpg"/>
                    <pic:cNvPicPr>
                      <a:picLocks noGrp="1" noChangeAspect="1"/>
                    </pic:cNvPicPr>
                  </pic:nvPicPr>
                  <pic:blipFill>
                    <a:blip r:embed="rId19" cstate="print"/>
                    <a:srcRect b="4977"/>
                    <a:stretch>
                      <a:fillRect/>
                    </a:stretch>
                  </pic:blipFill>
                  <pic:spPr>
                    <a:xfrm>
                      <a:off x="0" y="0"/>
                      <a:ext cx="1690007" cy="2002971"/>
                    </a:xfrm>
                    <a:prstGeom prst="rect">
                      <a:avLst/>
                    </a:prstGeom>
                  </pic:spPr>
                </pic:pic>
              </a:graphicData>
            </a:graphic>
          </wp:anchor>
        </w:drawing>
      </w:r>
      <w:r>
        <w:rPr>
          <w:b/>
          <w:noProof/>
          <w:szCs w:val="24"/>
        </w:rPr>
        <mc:AlternateContent>
          <mc:Choice Requires="wps">
            <w:drawing>
              <wp:anchor distT="0" distB="0" distL="114300" distR="114300" simplePos="0" relativeHeight="251670528" behindDoc="0" locked="0" layoutInCell="1" allowOverlap="1" wp14:anchorId="6163C894" wp14:editId="4C12B2C0">
                <wp:simplePos x="0" y="0"/>
                <wp:positionH relativeFrom="column">
                  <wp:posOffset>0</wp:posOffset>
                </wp:positionH>
                <wp:positionV relativeFrom="paragraph">
                  <wp:posOffset>1965325</wp:posOffset>
                </wp:positionV>
                <wp:extent cx="352425" cy="390525"/>
                <wp:effectExtent l="0" t="0" r="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05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CDC" w:rsidRPr="00CF3EB0" w:rsidRDefault="00F41CDC" w:rsidP="000250AC">
                            <w:pPr>
                              <w:rPr>
                                <w:color w:val="FFFFFF" w:themeColor="background1"/>
                                <w:sz w:val="40"/>
                                <w:szCs w:val="40"/>
                              </w:rPr>
                            </w:pPr>
                            <w:r w:rsidRPr="00CF3EB0">
                              <w:rPr>
                                <w:color w:val="FFFFFF" w:themeColor="background1"/>
                                <w:sz w:val="40"/>
                                <w:szCs w:val="40"/>
                              </w:rPr>
                              <w:t>D</w:t>
                            </w:r>
                          </w:p>
                          <w:p w:rsidR="00F41CDC" w:rsidRDefault="00F41CDC" w:rsidP="000250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0;margin-top:154.75pt;width:27.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" fillcolor="black [3213]" stroked="f">
                <v:textbox>
                  <w:txbxContent>
                    <w:p w:rsidR="00F41CDC" w:rsidRPr="00CF3EB0" w:rsidRDefault="00F41CDC" w:rsidP="000250AC">
                      <w:pPr>
                        <w:rPr>
                          <w:color w:val="FFFFFF" w:themeColor="background1"/>
                          <w:sz w:val="40"/>
                          <w:szCs w:val="40"/>
                        </w:rPr>
                      </w:pPr>
                      <w:r w:rsidRPr="00CF3EB0">
                        <w:rPr>
                          <w:color w:val="FFFFFF" w:themeColor="background1"/>
                          <w:sz w:val="40"/>
                          <w:szCs w:val="40"/>
                        </w:rPr>
                        <w:t>D</w:t>
                      </w:r>
                    </w:p>
                    <w:p w:rsidR="00F41CDC" w:rsidRDefault="00F41CDC" w:rsidP="000250AC"/>
                  </w:txbxContent>
                </v:textbox>
              </v:shape>
            </w:pict>
          </mc:Fallback>
        </mc:AlternateContent>
      </w:r>
      <w:r>
        <w:rPr>
          <w:b/>
          <w:noProof/>
          <w:szCs w:val="24"/>
        </w:rPr>
        <w:drawing>
          <wp:anchor distT="0" distB="0" distL="114300" distR="114300" simplePos="0" relativeHeight="251668480" behindDoc="0" locked="0" layoutInCell="1" allowOverlap="1" wp14:anchorId="0460598D" wp14:editId="7F583BFA">
            <wp:simplePos x="0" y="0"/>
            <wp:positionH relativeFrom="column">
              <wp:posOffset>8164</wp:posOffset>
            </wp:positionH>
            <wp:positionV relativeFrom="paragraph">
              <wp:posOffset>1965053</wp:posOffset>
            </wp:positionV>
            <wp:extent cx="1724025" cy="2002972"/>
            <wp:effectExtent l="19050" t="0" r="9525" b="0"/>
            <wp:wrapNone/>
            <wp:docPr id="17" name="Picture 6" descr="70-105 CeO2a.tif"/>
            <wp:cNvGraphicFramePr/>
            <a:graphic xmlns:a="http://schemas.openxmlformats.org/drawingml/2006/main">
              <a:graphicData uri="http://schemas.openxmlformats.org/drawingml/2006/picture">
                <pic:pic xmlns:pic="http://schemas.openxmlformats.org/drawingml/2006/picture">
                  <pic:nvPicPr>
                    <pic:cNvPr id="9" name="Picture 8" descr="70-105 CeO2a.tif"/>
                    <pic:cNvPicPr>
                      <a:picLocks noChangeAspect="1"/>
                    </pic:cNvPicPr>
                  </pic:nvPicPr>
                  <pic:blipFill>
                    <a:blip r:embed="rId17" cstate="print"/>
                    <a:srcRect b="5830"/>
                    <a:stretch>
                      <a:fillRect/>
                    </a:stretch>
                  </pic:blipFill>
                  <pic:spPr>
                    <a:xfrm>
                      <a:off x="0" y="0"/>
                      <a:ext cx="1724025" cy="2002972"/>
                    </a:xfrm>
                    <a:prstGeom prst="rect">
                      <a:avLst/>
                    </a:prstGeom>
                  </pic:spPr>
                </pic:pic>
              </a:graphicData>
            </a:graphic>
          </wp:anchor>
        </w:drawing>
      </w:r>
      <w:r>
        <w:rPr>
          <w:b/>
          <w:szCs w:val="24"/>
        </w:rPr>
        <w:br w:type="page"/>
      </w:r>
      <w:r>
        <w:rPr>
          <w:rFonts w:cs="Times New Roman"/>
          <w:b/>
          <w:szCs w:val="24"/>
        </w:rPr>
        <w:lastRenderedPageBreak/>
        <w:t xml:space="preserve">Supplemental Figure </w:t>
      </w:r>
      <w:r w:rsidRPr="00050BD7">
        <w:rPr>
          <w:rFonts w:cs="Times New Roman"/>
          <w:b/>
          <w:szCs w:val="24"/>
        </w:rPr>
        <w:t>1</w:t>
      </w:r>
      <w:r>
        <w:rPr>
          <w:rFonts w:cs="Times New Roman"/>
          <w:szCs w:val="24"/>
        </w:rPr>
        <w:t xml:space="preserve">.  </w:t>
      </w:r>
      <w:r w:rsidRPr="00CD11C6">
        <w:rPr>
          <w:rFonts w:cs="Times New Roman"/>
          <w:b/>
          <w:szCs w:val="24"/>
        </w:rPr>
        <w:t>SEM confirms the presence of nano-sized particles following dispersion.</w:t>
      </w:r>
      <w:r>
        <w:rPr>
          <w:rFonts w:cs="Times New Roman"/>
          <w:szCs w:val="24"/>
        </w:rPr>
        <w:t xml:space="preserve">  </w:t>
      </w:r>
      <w:r w:rsidRPr="00DC5E2E">
        <w:rPr>
          <w:rFonts w:cs="Times New Roman"/>
          <w:szCs w:val="24"/>
        </w:rPr>
        <w:t>Stock dispersions were diluted 1:3</w:t>
      </w:r>
      <w:r>
        <w:rPr>
          <w:rFonts w:cs="Times New Roman"/>
          <w:szCs w:val="24"/>
        </w:rPr>
        <w:t xml:space="preserve"> and 1:5 in dispersion media and </w:t>
      </w:r>
      <w:r w:rsidRPr="00DC5E2E">
        <w:rPr>
          <w:rFonts w:cs="Times New Roman"/>
          <w:szCs w:val="24"/>
        </w:rPr>
        <w:t xml:space="preserve">vortexed on high for </w:t>
      </w:r>
      <w:r>
        <w:rPr>
          <w:rFonts w:cs="Times New Roman"/>
          <w:szCs w:val="24"/>
        </w:rPr>
        <w:t>~</w:t>
      </w:r>
      <w:r w:rsidRPr="00DC5E2E">
        <w:rPr>
          <w:rFonts w:cs="Times New Roman"/>
          <w:szCs w:val="24"/>
        </w:rPr>
        <w:t>30 seconds.  A 5 μl spot of each dilution was placed</w:t>
      </w:r>
      <w:r>
        <w:rPr>
          <w:rFonts w:cs="Times New Roman"/>
          <w:szCs w:val="24"/>
        </w:rPr>
        <w:t xml:space="preserve"> in the center of a pre-warmed </w:t>
      </w:r>
      <w:r w:rsidRPr="00DC5E2E">
        <w:rPr>
          <w:rFonts w:cs="Times New Roman"/>
          <w:szCs w:val="24"/>
        </w:rPr>
        <w:t xml:space="preserve">0.2 μm </w:t>
      </w:r>
      <w:r w:rsidR="0051058B">
        <w:rPr>
          <w:rFonts w:cs="Times New Roman"/>
          <w:szCs w:val="24"/>
        </w:rPr>
        <w:t>n</w:t>
      </w:r>
      <w:r w:rsidRPr="00DC5E2E">
        <w:rPr>
          <w:rFonts w:cs="Times New Roman"/>
          <w:szCs w:val="24"/>
        </w:rPr>
        <w:t>ylon membrane filter and allowed to dry.</w:t>
      </w:r>
      <w:r>
        <w:rPr>
          <w:rFonts w:cs="Times New Roman"/>
          <w:szCs w:val="24"/>
        </w:rPr>
        <w:t xml:space="preserve">  After drying, filters were imaged using </w:t>
      </w:r>
      <w:r w:rsidR="00423215">
        <w:rPr>
          <w:rFonts w:cs="Times New Roman"/>
          <w:szCs w:val="24"/>
        </w:rPr>
        <w:t>a Phenom Tabletop SEM (Phenom- World, NA, Inc, Beaverton, OR)</w:t>
      </w:r>
      <w:r>
        <w:rPr>
          <w:rFonts w:cs="Times New Roman"/>
          <w:szCs w:val="24"/>
        </w:rPr>
        <w:t xml:space="preserve">.  Images are as follows:  A) </w:t>
      </w:r>
      <w:r w:rsidRPr="00E56680">
        <w:rPr>
          <w:rFonts w:cs="Times New Roman"/>
          <w:szCs w:val="24"/>
        </w:rPr>
        <w:t>5 nm CeO2 (2080x), B) 8 nm CeO2 (1000x), C) 31 nm CeO2 (5000x), D) 69 nm CeO2 (2300x), E) 1288 nm CeO2 (2200x), F) 6 nm TiO2 (2320x), G) 25 nm TiO2 (3150x), H) 31 nm TiO2 (Degussa) (5050x), I) 142 nm TiO2 (12000x)</w:t>
      </w:r>
      <w:r>
        <w:rPr>
          <w:rFonts w:cs="Times New Roman"/>
          <w:szCs w:val="24"/>
        </w:rPr>
        <w:t xml:space="preserve">. </w:t>
      </w:r>
      <w:r w:rsidR="00B14D98">
        <w:rPr>
          <w:rFonts w:cs="Times New Roman"/>
          <w:szCs w:val="24"/>
        </w:rPr>
        <w:t xml:space="preserve"> </w:t>
      </w:r>
      <w:r w:rsidR="00D20D48">
        <w:rPr>
          <w:rFonts w:cs="Times New Roman"/>
          <w:szCs w:val="24"/>
        </w:rPr>
        <w:t>SEM images confirm</w:t>
      </w:r>
      <w:r w:rsidR="00A31746">
        <w:rPr>
          <w:rFonts w:cs="Times New Roman"/>
          <w:szCs w:val="24"/>
        </w:rPr>
        <w:t xml:space="preserve"> dispersion</w:t>
      </w:r>
      <w:r w:rsidR="00A47939">
        <w:rPr>
          <w:rFonts w:cs="Times New Roman"/>
          <w:szCs w:val="24"/>
        </w:rPr>
        <w:t xml:space="preserve"> </w:t>
      </w:r>
      <w:r w:rsidR="005A3394">
        <w:rPr>
          <w:rFonts w:cs="Times New Roman"/>
          <w:szCs w:val="24"/>
        </w:rPr>
        <w:t xml:space="preserve">results obtained via </w:t>
      </w:r>
      <w:r w:rsidR="00A31746">
        <w:rPr>
          <w:rFonts w:cs="Times New Roman"/>
          <w:szCs w:val="24"/>
        </w:rPr>
        <w:t xml:space="preserve">dynamic light scattering, as </w:t>
      </w:r>
      <w:r w:rsidR="005A3394">
        <w:rPr>
          <w:rFonts w:cs="Times New Roman"/>
          <w:szCs w:val="24"/>
        </w:rPr>
        <w:t>NP dispersions</w:t>
      </w:r>
      <w:r w:rsidR="005E7366">
        <w:rPr>
          <w:rFonts w:cs="Times New Roman"/>
          <w:szCs w:val="24"/>
        </w:rPr>
        <w:t xml:space="preserve"> were polydisperse,</w:t>
      </w:r>
      <w:r w:rsidR="005A3394">
        <w:rPr>
          <w:rFonts w:cs="Times New Roman"/>
          <w:szCs w:val="24"/>
        </w:rPr>
        <w:t xml:space="preserve"> </w:t>
      </w:r>
      <w:r w:rsidR="005E7366">
        <w:rPr>
          <w:rFonts w:cs="Times New Roman"/>
          <w:szCs w:val="24"/>
        </w:rPr>
        <w:t>having</w:t>
      </w:r>
      <w:r w:rsidR="00B14D98">
        <w:rPr>
          <w:rFonts w:cs="Times New Roman"/>
          <w:szCs w:val="24"/>
        </w:rPr>
        <w:t xml:space="preserve"> both </w:t>
      </w:r>
      <w:r w:rsidR="00A47939">
        <w:rPr>
          <w:rFonts w:cs="Times New Roman"/>
          <w:szCs w:val="24"/>
        </w:rPr>
        <w:t>“nano-sized”</w:t>
      </w:r>
      <w:r w:rsidR="00F01C61">
        <w:rPr>
          <w:rFonts w:cs="Times New Roman"/>
          <w:szCs w:val="24"/>
        </w:rPr>
        <w:t xml:space="preserve"> (&lt;100 nm) particles</w:t>
      </w:r>
      <w:r w:rsidR="00A47939">
        <w:rPr>
          <w:rFonts w:cs="Times New Roman"/>
          <w:szCs w:val="24"/>
        </w:rPr>
        <w:t xml:space="preserve"> and la</w:t>
      </w:r>
      <w:r w:rsidR="00A31746">
        <w:rPr>
          <w:rFonts w:cs="Times New Roman"/>
          <w:szCs w:val="24"/>
        </w:rPr>
        <w:t>r</w:t>
      </w:r>
      <w:r w:rsidR="00A47939">
        <w:rPr>
          <w:rFonts w:cs="Times New Roman"/>
          <w:szCs w:val="24"/>
        </w:rPr>
        <w:t>ger agglomerates</w:t>
      </w:r>
      <w:r w:rsidR="005A3394">
        <w:rPr>
          <w:rFonts w:cs="Times New Roman"/>
          <w:szCs w:val="24"/>
        </w:rPr>
        <w:t xml:space="preserve"> </w:t>
      </w:r>
      <w:r w:rsidR="00B14D98">
        <w:rPr>
          <w:rFonts w:cs="Times New Roman"/>
          <w:szCs w:val="24"/>
        </w:rPr>
        <w:t>present</w:t>
      </w:r>
      <w:r w:rsidR="00A47939">
        <w:rPr>
          <w:rFonts w:cs="Times New Roman"/>
          <w:szCs w:val="24"/>
        </w:rPr>
        <w:t xml:space="preserve"> immediately following</w:t>
      </w:r>
      <w:r w:rsidR="00D20D48">
        <w:rPr>
          <w:rFonts w:cs="Times New Roman"/>
          <w:szCs w:val="24"/>
        </w:rPr>
        <w:t xml:space="preserve"> </w:t>
      </w:r>
      <w:r w:rsidR="005A3394">
        <w:rPr>
          <w:rFonts w:cs="Times New Roman"/>
          <w:szCs w:val="24"/>
        </w:rPr>
        <w:t>sonication</w:t>
      </w:r>
      <w:r w:rsidR="00A31746">
        <w:rPr>
          <w:rFonts w:cs="Times New Roman"/>
          <w:szCs w:val="24"/>
        </w:rPr>
        <w:t xml:space="preserve"> using both particle characterization methods</w:t>
      </w:r>
      <w:r w:rsidR="005E7366">
        <w:rPr>
          <w:rFonts w:cs="Times New Roman"/>
          <w:szCs w:val="24"/>
        </w:rPr>
        <w:t xml:space="preserve">.  </w:t>
      </w:r>
      <w:r w:rsidR="00F01C61">
        <w:rPr>
          <w:rFonts w:cs="Times New Roman"/>
          <w:szCs w:val="24"/>
        </w:rPr>
        <w:t>As expected, f</w:t>
      </w:r>
      <w:r w:rsidR="00B14D98">
        <w:rPr>
          <w:rFonts w:cs="Times New Roman"/>
          <w:szCs w:val="24"/>
        </w:rPr>
        <w:t xml:space="preserve">or </w:t>
      </w:r>
      <w:r w:rsidR="005E7366">
        <w:rPr>
          <w:rFonts w:cs="Times New Roman"/>
          <w:szCs w:val="24"/>
        </w:rPr>
        <w:t xml:space="preserve">the larger particles, </w:t>
      </w:r>
      <w:r w:rsidR="00B14D98">
        <w:rPr>
          <w:rFonts w:cs="Times New Roman"/>
          <w:szCs w:val="24"/>
        </w:rPr>
        <w:t>142 nm TiO</w:t>
      </w:r>
      <w:r w:rsidR="00B14D98" w:rsidRPr="006E2EAC">
        <w:rPr>
          <w:rFonts w:cs="Times New Roman"/>
          <w:szCs w:val="24"/>
          <w:vertAlign w:val="subscript"/>
        </w:rPr>
        <w:t>2</w:t>
      </w:r>
      <w:r w:rsidR="00B14D98">
        <w:rPr>
          <w:rFonts w:cs="Times New Roman"/>
          <w:szCs w:val="24"/>
        </w:rPr>
        <w:t xml:space="preserve"> and 1288 nm CeO</w:t>
      </w:r>
      <w:r w:rsidR="00B14D98" w:rsidRPr="006E2EAC">
        <w:rPr>
          <w:rFonts w:cs="Times New Roman"/>
          <w:szCs w:val="24"/>
          <w:vertAlign w:val="subscript"/>
        </w:rPr>
        <w:t>2</w:t>
      </w:r>
      <w:r w:rsidR="00B14D98">
        <w:rPr>
          <w:rFonts w:cs="Times New Roman"/>
          <w:szCs w:val="24"/>
        </w:rPr>
        <w:t xml:space="preserve">, </w:t>
      </w:r>
      <w:r w:rsidR="005A3394">
        <w:rPr>
          <w:rFonts w:cs="Times New Roman"/>
          <w:szCs w:val="24"/>
        </w:rPr>
        <w:t>SEM images show</w:t>
      </w:r>
      <w:r w:rsidR="00B14D98">
        <w:rPr>
          <w:rFonts w:cs="Times New Roman"/>
          <w:szCs w:val="24"/>
        </w:rPr>
        <w:t xml:space="preserve"> dispersions contained primarily larger particles.  </w:t>
      </w:r>
    </w:p>
    <w:p w:rsidR="00C750A4" w:rsidRDefault="00C750A4" w:rsidP="00CB4E8E">
      <w:pPr>
        <w:spacing w:line="240" w:lineRule="auto"/>
        <w:contextualSpacing/>
        <w:rPr>
          <w:rFonts w:cs="Times New Roman"/>
          <w:szCs w:val="24"/>
        </w:rPr>
      </w:pPr>
    </w:p>
    <w:p w:rsidR="00C750A4" w:rsidRDefault="00C750A4" w:rsidP="00CB4E8E">
      <w:pPr>
        <w:spacing w:line="240" w:lineRule="auto"/>
        <w:contextualSpacing/>
        <w:rPr>
          <w:rFonts w:cs="Times New Roman"/>
          <w:szCs w:val="24"/>
        </w:rPr>
      </w:pPr>
      <w:r>
        <w:rPr>
          <w:rFonts w:cs="Times New Roman"/>
          <w:noProof/>
          <w:szCs w:val="24"/>
        </w:rPr>
        <w:drawing>
          <wp:inline distT="0" distB="0" distL="0" distR="0" wp14:anchorId="7701EA24" wp14:editId="1F805EE4">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 figure 2 TEM.tif"/>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750A4" w:rsidRDefault="00C750A4" w:rsidP="00BA66D7">
      <w:pPr>
        <w:spacing w:line="240" w:lineRule="auto"/>
        <w:rPr>
          <w:rFonts w:cs="Times New Roman"/>
          <w:szCs w:val="24"/>
        </w:rPr>
      </w:pPr>
      <w:r w:rsidRPr="00BA66D7">
        <w:rPr>
          <w:rFonts w:cs="Times New Roman"/>
          <w:b/>
          <w:szCs w:val="24"/>
        </w:rPr>
        <w:t>Supplemental figure 2. TEM images of 5 and 8 nm CeO</w:t>
      </w:r>
      <w:r w:rsidRPr="00BA66D7">
        <w:rPr>
          <w:rFonts w:cs="Times New Roman"/>
          <w:b/>
          <w:szCs w:val="24"/>
          <w:vertAlign w:val="subscript"/>
        </w:rPr>
        <w:t>2</w:t>
      </w:r>
      <w:r w:rsidRPr="00BA66D7">
        <w:rPr>
          <w:rFonts w:cs="Times New Roman"/>
          <w:b/>
          <w:szCs w:val="24"/>
        </w:rPr>
        <w:t xml:space="preserve"> particles.</w:t>
      </w:r>
      <w:r>
        <w:rPr>
          <w:rFonts w:cs="Times New Roman"/>
          <w:szCs w:val="24"/>
        </w:rPr>
        <w:t xml:space="preserve"> </w:t>
      </w:r>
      <w:r w:rsidR="00423215" w:rsidRPr="00423215">
        <w:rPr>
          <w:rFonts w:cs="Times New Roman"/>
          <w:szCs w:val="24"/>
        </w:rPr>
        <w:t>These two particles were dispersed as described in the Methods and spotted onto TEM grids at a density of 50 µg/ml, allowed to dry and then imaged in an FEI Titan 80-300 probe aberration corrected scanning Transmission Electron Microscope (TEM) with a monochromator operating at 200 kV (North Carolina State University). Top left: TEM image of an agglomerate of 5 nm CeO</w:t>
      </w:r>
      <w:r w:rsidR="00423215" w:rsidRPr="00423215">
        <w:rPr>
          <w:rFonts w:cs="Times New Roman"/>
          <w:szCs w:val="24"/>
          <w:vertAlign w:val="subscript"/>
        </w:rPr>
        <w:t>2</w:t>
      </w:r>
      <w:r w:rsidR="00423215" w:rsidRPr="00423215">
        <w:rPr>
          <w:rFonts w:cs="Times New Roman"/>
          <w:szCs w:val="24"/>
        </w:rPr>
        <w:t>.  Top right; Elemental analysis of the same agglomerate, where the presence of cerium is indicated in red. Bottom left: TEM image of an agglomerate of 8 nm CeO</w:t>
      </w:r>
      <w:r w:rsidR="00423215" w:rsidRPr="00423215">
        <w:rPr>
          <w:rFonts w:cs="Times New Roman"/>
          <w:szCs w:val="24"/>
          <w:vertAlign w:val="subscript"/>
        </w:rPr>
        <w:t>2</w:t>
      </w:r>
      <w:r w:rsidR="00423215" w:rsidRPr="00423215">
        <w:rPr>
          <w:rFonts w:cs="Times New Roman"/>
          <w:szCs w:val="24"/>
        </w:rPr>
        <w:t>.  Bottom right: Elemental analysis of the same agglomerate, where the presence of cerium is indicated in red.</w:t>
      </w:r>
      <w:r>
        <w:rPr>
          <w:rFonts w:cs="Times New Roman"/>
          <w:szCs w:val="24"/>
        </w:rPr>
        <w:br w:type="page"/>
      </w:r>
    </w:p>
    <w:p w:rsidR="00C750A4" w:rsidRDefault="00C750A4">
      <w:pPr>
        <w:spacing w:line="360" w:lineRule="atLeast"/>
        <w:rPr>
          <w:rFonts w:cs="Times New Roman"/>
          <w:szCs w:val="24"/>
        </w:rPr>
      </w:pPr>
    </w:p>
    <w:p w:rsidR="0071411C" w:rsidRDefault="0071411C" w:rsidP="00CB4E8E">
      <w:pPr>
        <w:spacing w:line="240" w:lineRule="auto"/>
        <w:contextualSpacing/>
        <w:rPr>
          <w:rFonts w:cs="Times New Roman"/>
          <w:szCs w:val="24"/>
        </w:rPr>
      </w:pPr>
    </w:p>
    <w:p w:rsidR="0071411C" w:rsidRDefault="0071411C" w:rsidP="00CB4E8E">
      <w:pPr>
        <w:spacing w:line="240" w:lineRule="auto"/>
        <w:contextualSpacing/>
        <w:rPr>
          <w:rFonts w:cs="Times New Roman"/>
          <w:szCs w:val="24"/>
        </w:rPr>
      </w:pPr>
    </w:p>
    <w:p w:rsidR="0071411C" w:rsidRDefault="0071411C" w:rsidP="00CB4E8E">
      <w:pPr>
        <w:spacing w:line="240" w:lineRule="auto"/>
        <w:contextualSpacing/>
        <w:rPr>
          <w:rFonts w:cs="Times New Roman"/>
          <w:szCs w:val="24"/>
        </w:rPr>
      </w:pPr>
    </w:p>
    <w:p w:rsidR="00DD1785" w:rsidRDefault="000F6C2C" w:rsidP="00CB4E8E">
      <w:pPr>
        <w:spacing w:line="240" w:lineRule="auto"/>
        <w:contextualSpacing/>
        <w:rPr>
          <w:b/>
        </w:rPr>
      </w:pPr>
      <w:r>
        <w:rPr>
          <w:b/>
          <w:noProof/>
        </w:rPr>
        <w:drawing>
          <wp:inline distT="0" distB="0" distL="0" distR="0" wp14:anchorId="1AC51564" wp14:editId="15D25886">
            <wp:extent cx="5943600" cy="4078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1.tif"/>
                    <pic:cNvPicPr/>
                  </pic:nvPicPr>
                  <pic:blipFill rotWithShape="1">
                    <a:blip r:embed="rId21" cstate="print">
                      <a:extLst>
                        <a:ext uri="{28A0092B-C50C-407E-A947-70E740481C1C}">
                          <a14:useLocalDpi xmlns:a14="http://schemas.microsoft.com/office/drawing/2010/main" val="0"/>
                        </a:ext>
                      </a:extLst>
                    </a:blip>
                    <a:srcRect t="3842"/>
                    <a:stretch/>
                  </pic:blipFill>
                  <pic:spPr bwMode="auto">
                    <a:xfrm>
                      <a:off x="0" y="0"/>
                      <a:ext cx="5943600" cy="4078838"/>
                    </a:xfrm>
                    <a:prstGeom prst="rect">
                      <a:avLst/>
                    </a:prstGeom>
                    <a:ln>
                      <a:noFill/>
                    </a:ln>
                    <a:extLst>
                      <a:ext uri="{53640926-AAD7-44D8-BBD7-CCE9431645EC}">
                        <a14:shadowObscured xmlns:a14="http://schemas.microsoft.com/office/drawing/2010/main"/>
                      </a:ext>
                    </a:extLst>
                  </pic:spPr>
                </pic:pic>
              </a:graphicData>
            </a:graphic>
          </wp:inline>
        </w:drawing>
      </w:r>
    </w:p>
    <w:p w:rsidR="00DD1785" w:rsidRDefault="00DD1785" w:rsidP="00CB4E8E">
      <w:pPr>
        <w:spacing w:line="240" w:lineRule="auto"/>
        <w:contextualSpacing/>
        <w:rPr>
          <w:b/>
        </w:rPr>
      </w:pPr>
    </w:p>
    <w:p w:rsidR="006675E1" w:rsidRDefault="006675E1" w:rsidP="006675E1">
      <w:pPr>
        <w:spacing w:line="240" w:lineRule="auto"/>
        <w:rPr>
          <w:rFonts w:cs="Times New Roman"/>
          <w:szCs w:val="24"/>
        </w:rPr>
      </w:pPr>
      <w:r>
        <w:rPr>
          <w:rFonts w:cs="Times New Roman"/>
          <w:b/>
          <w:szCs w:val="24"/>
        </w:rPr>
        <w:t xml:space="preserve">Supplemental Figure </w:t>
      </w:r>
      <w:r w:rsidR="00C750A4">
        <w:rPr>
          <w:rFonts w:cs="Times New Roman"/>
          <w:b/>
          <w:szCs w:val="24"/>
        </w:rPr>
        <w:t>3</w:t>
      </w:r>
      <w:r w:rsidR="00B57EAB">
        <w:rPr>
          <w:rFonts w:cs="Times New Roman"/>
          <w:b/>
          <w:szCs w:val="24"/>
        </w:rPr>
        <w:t>.</w:t>
      </w:r>
      <w:r>
        <w:rPr>
          <w:rFonts w:cs="Times New Roman"/>
          <w:b/>
          <w:szCs w:val="24"/>
        </w:rPr>
        <w:t xml:space="preserve"> </w:t>
      </w:r>
      <w:r w:rsidRPr="00150478">
        <w:rPr>
          <w:rFonts w:cs="Times New Roman"/>
          <w:b/>
          <w:szCs w:val="24"/>
        </w:rPr>
        <w:t>Effects of exposure to metal oxide NPs and MPs on cell viability in primary cultures of cortical neurons.</w:t>
      </w:r>
      <w:r>
        <w:rPr>
          <w:rFonts w:cs="Times New Roman"/>
          <w:b/>
          <w:szCs w:val="24"/>
        </w:rPr>
        <w:t xml:space="preserve"> </w:t>
      </w:r>
      <w:r>
        <w:rPr>
          <w:rFonts w:cs="Times New Roman"/>
          <w:szCs w:val="24"/>
        </w:rPr>
        <w:t>CeO</w:t>
      </w:r>
      <w:r w:rsidRPr="00944A20">
        <w:rPr>
          <w:rFonts w:cs="Times New Roman"/>
          <w:szCs w:val="24"/>
          <w:vertAlign w:val="subscript"/>
        </w:rPr>
        <w:t>2</w:t>
      </w:r>
      <w:r>
        <w:rPr>
          <w:rFonts w:cs="Times New Roman"/>
          <w:szCs w:val="24"/>
        </w:rPr>
        <w:t xml:space="preserve"> and TiO</w:t>
      </w:r>
      <w:r w:rsidRPr="00944A20">
        <w:rPr>
          <w:rFonts w:cs="Times New Roman"/>
          <w:szCs w:val="24"/>
          <w:vertAlign w:val="subscript"/>
        </w:rPr>
        <w:t>2</w:t>
      </w:r>
      <w:r>
        <w:rPr>
          <w:rFonts w:cs="Times New Roman"/>
          <w:szCs w:val="24"/>
        </w:rPr>
        <w:t xml:space="preserve"> NPs and MPs were tested for their effect on cell viability following 48 h of exposure.  Percent LDH Release for each NP and MP at each concentration was determined as described in the Materials and Methods in three wells from three separate cultures (n=9). Values are the Mean % of Control ± SEM. Triton X-100 (positive control) was included in two wells on each plate (n=24) to determine the maximal LDH release.  The asterisk (*) indicates a significant effect of NP compared to the dispersion media control (p&lt;0.01 after Bonferroni correction; Welsh’s two-sided t-test).</w:t>
      </w:r>
    </w:p>
    <w:p w:rsidR="006675E1" w:rsidRPr="00CB4E8E" w:rsidRDefault="006675E1" w:rsidP="00CB4E8E">
      <w:pPr>
        <w:spacing w:line="240" w:lineRule="auto"/>
        <w:contextualSpacing/>
        <w:rPr>
          <w:b/>
        </w:rPr>
      </w:pPr>
    </w:p>
    <w:sectPr w:rsidR="006675E1" w:rsidRPr="00CB4E8E" w:rsidSect="009802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23D" w:rsidRDefault="00D2323D" w:rsidP="000B547E">
      <w:pPr>
        <w:spacing w:after="0" w:line="240" w:lineRule="auto"/>
      </w:pPr>
      <w:r>
        <w:separator/>
      </w:r>
    </w:p>
  </w:endnote>
  <w:endnote w:type="continuationSeparator" w:id="0">
    <w:p w:rsidR="00D2323D" w:rsidRDefault="00D2323D" w:rsidP="000B5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59891"/>
      <w:docPartObj>
        <w:docPartGallery w:val="Page Numbers (Bottom of Page)"/>
        <w:docPartUnique/>
      </w:docPartObj>
    </w:sdtPr>
    <w:sdtEndPr>
      <w:rPr>
        <w:noProof/>
      </w:rPr>
    </w:sdtEndPr>
    <w:sdtContent>
      <w:p w:rsidR="00F41CDC" w:rsidRDefault="00F41CDC">
        <w:pPr>
          <w:pStyle w:val="Footer"/>
          <w:jc w:val="center"/>
        </w:pPr>
        <w:r>
          <w:fldChar w:fldCharType="begin"/>
        </w:r>
        <w:r>
          <w:instrText xml:space="preserve"> PAGE   \* MERGEFORMAT </w:instrText>
        </w:r>
        <w:r>
          <w:fldChar w:fldCharType="separate"/>
        </w:r>
        <w:r w:rsidR="00D10413">
          <w:rPr>
            <w:noProof/>
          </w:rPr>
          <w:t>23</w:t>
        </w:r>
        <w:r>
          <w:rPr>
            <w:noProof/>
          </w:rPr>
          <w:fldChar w:fldCharType="end"/>
        </w:r>
      </w:p>
    </w:sdtContent>
  </w:sdt>
  <w:p w:rsidR="00F41CDC" w:rsidRDefault="00F41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23D" w:rsidRDefault="00D2323D" w:rsidP="000B547E">
      <w:pPr>
        <w:spacing w:after="0" w:line="240" w:lineRule="auto"/>
      </w:pPr>
      <w:r>
        <w:separator/>
      </w:r>
    </w:p>
  </w:footnote>
  <w:footnote w:type="continuationSeparator" w:id="0">
    <w:p w:rsidR="00D2323D" w:rsidRDefault="00D2323D" w:rsidP="000B54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F9"/>
    <w:rsid w:val="00005A39"/>
    <w:rsid w:val="0002013C"/>
    <w:rsid w:val="0002392C"/>
    <w:rsid w:val="000250AC"/>
    <w:rsid w:val="00042EA1"/>
    <w:rsid w:val="00063772"/>
    <w:rsid w:val="00067118"/>
    <w:rsid w:val="00072C30"/>
    <w:rsid w:val="00073CDC"/>
    <w:rsid w:val="000832D1"/>
    <w:rsid w:val="000873B0"/>
    <w:rsid w:val="000964F3"/>
    <w:rsid w:val="000B547E"/>
    <w:rsid w:val="000B67D8"/>
    <w:rsid w:val="000B78FF"/>
    <w:rsid w:val="000F12D1"/>
    <w:rsid w:val="000F6C2C"/>
    <w:rsid w:val="001009C3"/>
    <w:rsid w:val="00103C26"/>
    <w:rsid w:val="00116EE9"/>
    <w:rsid w:val="001253DD"/>
    <w:rsid w:val="0015106E"/>
    <w:rsid w:val="001560B6"/>
    <w:rsid w:val="00161461"/>
    <w:rsid w:val="0016621A"/>
    <w:rsid w:val="00181DF8"/>
    <w:rsid w:val="001A3924"/>
    <w:rsid w:val="001C6232"/>
    <w:rsid w:val="001D792B"/>
    <w:rsid w:val="001F6CEF"/>
    <w:rsid w:val="001F6F3B"/>
    <w:rsid w:val="001F728B"/>
    <w:rsid w:val="00203321"/>
    <w:rsid w:val="00226B7B"/>
    <w:rsid w:val="002273B1"/>
    <w:rsid w:val="00254A9B"/>
    <w:rsid w:val="0029560E"/>
    <w:rsid w:val="002D2C78"/>
    <w:rsid w:val="00300440"/>
    <w:rsid w:val="00313140"/>
    <w:rsid w:val="00320038"/>
    <w:rsid w:val="00320EDE"/>
    <w:rsid w:val="00325FA6"/>
    <w:rsid w:val="0033295D"/>
    <w:rsid w:val="00335E7C"/>
    <w:rsid w:val="00344AC4"/>
    <w:rsid w:val="00355051"/>
    <w:rsid w:val="00377787"/>
    <w:rsid w:val="00377F63"/>
    <w:rsid w:val="0038435C"/>
    <w:rsid w:val="00397AD9"/>
    <w:rsid w:val="003B6438"/>
    <w:rsid w:val="003C5366"/>
    <w:rsid w:val="003E0B5D"/>
    <w:rsid w:val="003E393E"/>
    <w:rsid w:val="003E771D"/>
    <w:rsid w:val="003E780E"/>
    <w:rsid w:val="004003A1"/>
    <w:rsid w:val="00421D6E"/>
    <w:rsid w:val="0042256F"/>
    <w:rsid w:val="00423215"/>
    <w:rsid w:val="00425BB9"/>
    <w:rsid w:val="004474E2"/>
    <w:rsid w:val="004565FB"/>
    <w:rsid w:val="00460474"/>
    <w:rsid w:val="00471A11"/>
    <w:rsid w:val="004743C2"/>
    <w:rsid w:val="004D088F"/>
    <w:rsid w:val="004D186D"/>
    <w:rsid w:val="004D53BA"/>
    <w:rsid w:val="004E6DCA"/>
    <w:rsid w:val="004E7CB2"/>
    <w:rsid w:val="004F52E6"/>
    <w:rsid w:val="004F626C"/>
    <w:rsid w:val="00503F85"/>
    <w:rsid w:val="0051058B"/>
    <w:rsid w:val="005135A3"/>
    <w:rsid w:val="0051390D"/>
    <w:rsid w:val="00523B90"/>
    <w:rsid w:val="00535086"/>
    <w:rsid w:val="00543DCD"/>
    <w:rsid w:val="00566E69"/>
    <w:rsid w:val="00571EF9"/>
    <w:rsid w:val="00573EB3"/>
    <w:rsid w:val="00576E88"/>
    <w:rsid w:val="005826E2"/>
    <w:rsid w:val="005950B6"/>
    <w:rsid w:val="005A3394"/>
    <w:rsid w:val="005C421D"/>
    <w:rsid w:val="005D6BCE"/>
    <w:rsid w:val="005E7366"/>
    <w:rsid w:val="00611DA4"/>
    <w:rsid w:val="00622DC3"/>
    <w:rsid w:val="00661BFF"/>
    <w:rsid w:val="006675E1"/>
    <w:rsid w:val="006812C8"/>
    <w:rsid w:val="006A4DD7"/>
    <w:rsid w:val="006B304C"/>
    <w:rsid w:val="006E2EAC"/>
    <w:rsid w:val="0070441C"/>
    <w:rsid w:val="0071411C"/>
    <w:rsid w:val="00717AF0"/>
    <w:rsid w:val="00717E42"/>
    <w:rsid w:val="00732649"/>
    <w:rsid w:val="00753A5E"/>
    <w:rsid w:val="007B3D56"/>
    <w:rsid w:val="007D6A17"/>
    <w:rsid w:val="007F6807"/>
    <w:rsid w:val="0080204C"/>
    <w:rsid w:val="0081693F"/>
    <w:rsid w:val="00827ECA"/>
    <w:rsid w:val="008438DD"/>
    <w:rsid w:val="008656EF"/>
    <w:rsid w:val="008707B1"/>
    <w:rsid w:val="008A78EF"/>
    <w:rsid w:val="008C14B1"/>
    <w:rsid w:val="008C1D1B"/>
    <w:rsid w:val="008D307E"/>
    <w:rsid w:val="008D70C3"/>
    <w:rsid w:val="00906379"/>
    <w:rsid w:val="009068D5"/>
    <w:rsid w:val="00907EAF"/>
    <w:rsid w:val="0092391F"/>
    <w:rsid w:val="00961CEF"/>
    <w:rsid w:val="00975D53"/>
    <w:rsid w:val="009802BA"/>
    <w:rsid w:val="009870FD"/>
    <w:rsid w:val="0099208A"/>
    <w:rsid w:val="009B3229"/>
    <w:rsid w:val="009B3245"/>
    <w:rsid w:val="009F6EC6"/>
    <w:rsid w:val="00A22F54"/>
    <w:rsid w:val="00A31746"/>
    <w:rsid w:val="00A34B15"/>
    <w:rsid w:val="00A47939"/>
    <w:rsid w:val="00A52CB8"/>
    <w:rsid w:val="00A52F3C"/>
    <w:rsid w:val="00A77289"/>
    <w:rsid w:val="00AB4EFD"/>
    <w:rsid w:val="00AB6331"/>
    <w:rsid w:val="00AE631E"/>
    <w:rsid w:val="00AF3000"/>
    <w:rsid w:val="00AF5225"/>
    <w:rsid w:val="00AF7CE7"/>
    <w:rsid w:val="00B14D98"/>
    <w:rsid w:val="00B26F04"/>
    <w:rsid w:val="00B35E77"/>
    <w:rsid w:val="00B42611"/>
    <w:rsid w:val="00B463AD"/>
    <w:rsid w:val="00B57EAB"/>
    <w:rsid w:val="00BA66D7"/>
    <w:rsid w:val="00BB7E89"/>
    <w:rsid w:val="00C22631"/>
    <w:rsid w:val="00C2337D"/>
    <w:rsid w:val="00C25AB5"/>
    <w:rsid w:val="00C30A49"/>
    <w:rsid w:val="00C34CE8"/>
    <w:rsid w:val="00C3778C"/>
    <w:rsid w:val="00C7155A"/>
    <w:rsid w:val="00C750A4"/>
    <w:rsid w:val="00C9517C"/>
    <w:rsid w:val="00CA0669"/>
    <w:rsid w:val="00CB4E8E"/>
    <w:rsid w:val="00CC4B0C"/>
    <w:rsid w:val="00CC5DDD"/>
    <w:rsid w:val="00CC766D"/>
    <w:rsid w:val="00CC7AAD"/>
    <w:rsid w:val="00D053F3"/>
    <w:rsid w:val="00D064D6"/>
    <w:rsid w:val="00D10413"/>
    <w:rsid w:val="00D10C07"/>
    <w:rsid w:val="00D15C01"/>
    <w:rsid w:val="00D20D48"/>
    <w:rsid w:val="00D2323D"/>
    <w:rsid w:val="00D4595E"/>
    <w:rsid w:val="00D54853"/>
    <w:rsid w:val="00D57139"/>
    <w:rsid w:val="00D670DD"/>
    <w:rsid w:val="00D85317"/>
    <w:rsid w:val="00D86F70"/>
    <w:rsid w:val="00D940FF"/>
    <w:rsid w:val="00DB589C"/>
    <w:rsid w:val="00DD1785"/>
    <w:rsid w:val="00DD56FB"/>
    <w:rsid w:val="00DF2CE8"/>
    <w:rsid w:val="00E36970"/>
    <w:rsid w:val="00E42864"/>
    <w:rsid w:val="00E50463"/>
    <w:rsid w:val="00E567C7"/>
    <w:rsid w:val="00E61A48"/>
    <w:rsid w:val="00E71AF7"/>
    <w:rsid w:val="00E86E63"/>
    <w:rsid w:val="00E91D6A"/>
    <w:rsid w:val="00EA5481"/>
    <w:rsid w:val="00EC537B"/>
    <w:rsid w:val="00EF357B"/>
    <w:rsid w:val="00F01C61"/>
    <w:rsid w:val="00F22FDE"/>
    <w:rsid w:val="00F26FBE"/>
    <w:rsid w:val="00F37097"/>
    <w:rsid w:val="00F41CDC"/>
    <w:rsid w:val="00F5775E"/>
    <w:rsid w:val="00F67DE6"/>
    <w:rsid w:val="00F7761B"/>
    <w:rsid w:val="00F84188"/>
    <w:rsid w:val="00F9016E"/>
    <w:rsid w:val="00F91461"/>
    <w:rsid w:val="00FA079B"/>
    <w:rsid w:val="00FB5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EF9"/>
    <w:pPr>
      <w:spacing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707B1"/>
  </w:style>
  <w:style w:type="character" w:styleId="Hyperlink">
    <w:name w:val="Hyperlink"/>
    <w:basedOn w:val="DefaultParagraphFont"/>
    <w:uiPriority w:val="99"/>
    <w:unhideWhenUsed/>
    <w:rsid w:val="00AB6331"/>
    <w:rPr>
      <w:color w:val="0000FF" w:themeColor="hyperlink"/>
      <w:u w:val="single"/>
    </w:rPr>
  </w:style>
  <w:style w:type="paragraph" w:styleId="BalloonText">
    <w:name w:val="Balloon Text"/>
    <w:basedOn w:val="Normal"/>
    <w:link w:val="BalloonTextChar"/>
    <w:uiPriority w:val="99"/>
    <w:semiHidden/>
    <w:unhideWhenUsed/>
    <w:rsid w:val="00961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CEF"/>
    <w:rPr>
      <w:rFonts w:ascii="Segoe UI" w:hAnsi="Segoe UI" w:cs="Segoe UI"/>
      <w:sz w:val="18"/>
      <w:szCs w:val="18"/>
    </w:rPr>
  </w:style>
  <w:style w:type="paragraph" w:styleId="Header">
    <w:name w:val="header"/>
    <w:basedOn w:val="Normal"/>
    <w:link w:val="HeaderChar"/>
    <w:uiPriority w:val="99"/>
    <w:unhideWhenUsed/>
    <w:rsid w:val="000B5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47E"/>
    <w:rPr>
      <w:rFonts w:ascii="Times New Roman" w:hAnsi="Times New Roman"/>
      <w:sz w:val="24"/>
    </w:rPr>
  </w:style>
  <w:style w:type="paragraph" w:styleId="Footer">
    <w:name w:val="footer"/>
    <w:basedOn w:val="Normal"/>
    <w:link w:val="FooterChar"/>
    <w:uiPriority w:val="99"/>
    <w:unhideWhenUsed/>
    <w:rsid w:val="000B5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47E"/>
    <w:rPr>
      <w:rFonts w:ascii="Times New Roman" w:hAnsi="Times New Roman"/>
      <w:sz w:val="24"/>
    </w:rPr>
  </w:style>
  <w:style w:type="character" w:styleId="LineNumber">
    <w:name w:val="line number"/>
    <w:basedOn w:val="DefaultParagraphFont"/>
    <w:uiPriority w:val="99"/>
    <w:semiHidden/>
    <w:unhideWhenUsed/>
    <w:rsid w:val="009F6EC6"/>
  </w:style>
  <w:style w:type="table" w:styleId="LightShading-Accent3">
    <w:name w:val="Light Shading Accent 3"/>
    <w:basedOn w:val="TableNormal"/>
    <w:uiPriority w:val="60"/>
    <w:rsid w:val="006B304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92391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61A48"/>
    <w:rPr>
      <w:sz w:val="16"/>
      <w:szCs w:val="16"/>
    </w:rPr>
  </w:style>
  <w:style w:type="paragraph" w:styleId="CommentText">
    <w:name w:val="annotation text"/>
    <w:basedOn w:val="Normal"/>
    <w:link w:val="CommentTextChar"/>
    <w:uiPriority w:val="99"/>
    <w:semiHidden/>
    <w:unhideWhenUsed/>
    <w:rsid w:val="00E61A4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61A4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EF9"/>
    <w:pPr>
      <w:spacing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707B1"/>
  </w:style>
  <w:style w:type="character" w:styleId="Hyperlink">
    <w:name w:val="Hyperlink"/>
    <w:basedOn w:val="DefaultParagraphFont"/>
    <w:uiPriority w:val="99"/>
    <w:unhideWhenUsed/>
    <w:rsid w:val="00AB6331"/>
    <w:rPr>
      <w:color w:val="0000FF" w:themeColor="hyperlink"/>
      <w:u w:val="single"/>
    </w:rPr>
  </w:style>
  <w:style w:type="paragraph" w:styleId="BalloonText">
    <w:name w:val="Balloon Text"/>
    <w:basedOn w:val="Normal"/>
    <w:link w:val="BalloonTextChar"/>
    <w:uiPriority w:val="99"/>
    <w:semiHidden/>
    <w:unhideWhenUsed/>
    <w:rsid w:val="00961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CEF"/>
    <w:rPr>
      <w:rFonts w:ascii="Segoe UI" w:hAnsi="Segoe UI" w:cs="Segoe UI"/>
      <w:sz w:val="18"/>
      <w:szCs w:val="18"/>
    </w:rPr>
  </w:style>
  <w:style w:type="paragraph" w:styleId="Header">
    <w:name w:val="header"/>
    <w:basedOn w:val="Normal"/>
    <w:link w:val="HeaderChar"/>
    <w:uiPriority w:val="99"/>
    <w:unhideWhenUsed/>
    <w:rsid w:val="000B5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47E"/>
    <w:rPr>
      <w:rFonts w:ascii="Times New Roman" w:hAnsi="Times New Roman"/>
      <w:sz w:val="24"/>
    </w:rPr>
  </w:style>
  <w:style w:type="paragraph" w:styleId="Footer">
    <w:name w:val="footer"/>
    <w:basedOn w:val="Normal"/>
    <w:link w:val="FooterChar"/>
    <w:uiPriority w:val="99"/>
    <w:unhideWhenUsed/>
    <w:rsid w:val="000B5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47E"/>
    <w:rPr>
      <w:rFonts w:ascii="Times New Roman" w:hAnsi="Times New Roman"/>
      <w:sz w:val="24"/>
    </w:rPr>
  </w:style>
  <w:style w:type="character" w:styleId="LineNumber">
    <w:name w:val="line number"/>
    <w:basedOn w:val="DefaultParagraphFont"/>
    <w:uiPriority w:val="99"/>
    <w:semiHidden/>
    <w:unhideWhenUsed/>
    <w:rsid w:val="009F6EC6"/>
  </w:style>
  <w:style w:type="table" w:styleId="LightShading-Accent3">
    <w:name w:val="Light Shading Accent 3"/>
    <w:basedOn w:val="TableNormal"/>
    <w:uiPriority w:val="60"/>
    <w:rsid w:val="006B304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92391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61A48"/>
    <w:rPr>
      <w:sz w:val="16"/>
      <w:szCs w:val="16"/>
    </w:rPr>
  </w:style>
  <w:style w:type="paragraph" w:styleId="CommentText">
    <w:name w:val="annotation text"/>
    <w:basedOn w:val="Normal"/>
    <w:link w:val="CommentTextChar"/>
    <w:uiPriority w:val="99"/>
    <w:semiHidden/>
    <w:unhideWhenUsed/>
    <w:rsid w:val="00E61A4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61A4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9809">
      <w:bodyDiv w:val="1"/>
      <w:marLeft w:val="0"/>
      <w:marRight w:val="0"/>
      <w:marTop w:val="0"/>
      <w:marBottom w:val="0"/>
      <w:divBdr>
        <w:top w:val="none" w:sz="0" w:space="0" w:color="auto"/>
        <w:left w:val="none" w:sz="0" w:space="0" w:color="auto"/>
        <w:bottom w:val="none" w:sz="0" w:space="0" w:color="auto"/>
        <w:right w:val="none" w:sz="0" w:space="0" w:color="auto"/>
      </w:divBdr>
    </w:div>
    <w:div w:id="1503160115">
      <w:bodyDiv w:val="1"/>
      <w:marLeft w:val="0"/>
      <w:marRight w:val="0"/>
      <w:marTop w:val="0"/>
      <w:marBottom w:val="0"/>
      <w:divBdr>
        <w:top w:val="none" w:sz="0" w:space="0" w:color="auto"/>
        <w:left w:val="none" w:sz="0" w:space="0" w:color="auto"/>
        <w:bottom w:val="none" w:sz="0" w:space="0" w:color="auto"/>
        <w:right w:val="none" w:sz="0" w:space="0" w:color="auto"/>
      </w:divBdr>
    </w:div>
    <w:div w:id="1622221807">
      <w:bodyDiv w:val="1"/>
      <w:marLeft w:val="0"/>
      <w:marRight w:val="0"/>
      <w:marTop w:val="0"/>
      <w:marBottom w:val="0"/>
      <w:divBdr>
        <w:top w:val="none" w:sz="0" w:space="0" w:color="auto"/>
        <w:left w:val="none" w:sz="0" w:space="0" w:color="auto"/>
        <w:bottom w:val="none" w:sz="0" w:space="0" w:color="auto"/>
        <w:right w:val="none" w:sz="0" w:space="0" w:color="auto"/>
      </w:divBdr>
    </w:div>
    <w:div w:id="19684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nanosafetycluster.eu/uploads/QUALITY_HANDBOOK/NANOMMUNE_QHB_FINAL_2011.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CRAN.R-project.org/package=lme4"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F83955-2938-4051-B0D6-C8023668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5637</Words>
  <Characters>32132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37694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jstrickl</dc:creator>
  <cp:lastModifiedBy>Rivera, Emmanuel  M.</cp:lastModifiedBy>
  <cp:revision>4</cp:revision>
  <cp:lastPrinted>2015-08-24T18:53:00Z</cp:lastPrinted>
  <dcterms:created xsi:type="dcterms:W3CDTF">2015-10-01T18:38:00Z</dcterms:created>
  <dcterms:modified xsi:type="dcterms:W3CDTF">2016-03-11T11:39:00Z</dcterms:modified>
</cp:coreProperties>
</file>