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5" w:rsidRDefault="00E24385" w:rsidP="00E24385">
      <w:pPr>
        <w:tabs>
          <w:tab w:val="left" w:pos="4500"/>
        </w:tabs>
        <w:rPr>
          <w:noProof/>
        </w:rPr>
      </w:pPr>
    </w:p>
    <w:p w:rsidR="00E24385" w:rsidRPr="00E24385" w:rsidRDefault="00E24385" w:rsidP="00E24385">
      <w:pPr>
        <w:tabs>
          <w:tab w:val="left" w:pos="4500"/>
        </w:tabs>
        <w:rPr>
          <w:noProof/>
          <w:sz w:val="24"/>
          <w:szCs w:val="24"/>
          <w:u w:val="single"/>
        </w:rPr>
      </w:pPr>
      <w:r w:rsidRPr="00E24385">
        <w:rPr>
          <w:noProof/>
          <w:sz w:val="24"/>
          <w:szCs w:val="24"/>
          <w:u w:val="single"/>
        </w:rPr>
        <w:t xml:space="preserve">Supplementary </w:t>
      </w:r>
    </w:p>
    <w:p w:rsidR="00D624E9" w:rsidRDefault="00E24385" w:rsidP="00E24385">
      <w:pPr>
        <w:tabs>
          <w:tab w:val="left" w:pos="4500"/>
        </w:tabs>
      </w:pPr>
      <w:r>
        <w:rPr>
          <w:noProof/>
        </w:rPr>
        <w:drawing>
          <wp:inline distT="0" distB="0" distL="0" distR="0">
            <wp:extent cx="3660496" cy="3657600"/>
            <wp:effectExtent l="19050" t="0" r="0" b="0"/>
            <wp:docPr id="1" name="Picture 1" descr="C:\Users\Acer\Desktop\suppl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uppl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9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85" w:rsidRDefault="00E24385" w:rsidP="00E24385">
      <w:pPr>
        <w:tabs>
          <w:tab w:val="left" w:pos="4500"/>
        </w:tabs>
      </w:pPr>
      <w:r>
        <w:t xml:space="preserve">Figure S1: </w:t>
      </w:r>
      <w:r w:rsidRPr="00E24385">
        <w:t xml:space="preserve">Inhibition </w:t>
      </w:r>
      <w:r>
        <w:t>of thermally</w:t>
      </w:r>
      <w:r w:rsidRPr="00E24385">
        <w:t xml:space="preserve"> induced amyloid formation in HEWL by clofazimine. </w:t>
      </w:r>
      <w:r>
        <w:t xml:space="preserve">ThT </w:t>
      </w:r>
      <w:r w:rsidRPr="00E24385">
        <w:t xml:space="preserve">fluorescence intensity profile in the absence and </w:t>
      </w:r>
      <w:r>
        <w:t xml:space="preserve">in the </w:t>
      </w:r>
      <w:r w:rsidRPr="00E24385">
        <w:t>presence of increasing concentration</w:t>
      </w:r>
      <w:r>
        <w:t>s</w:t>
      </w:r>
      <w:r w:rsidRPr="00E24385">
        <w:t xml:space="preserve"> of clofazimine, cl</w:t>
      </w:r>
      <w:r>
        <w:t>ofazimine to HEWL molar ratio of 10 and 20</w:t>
      </w:r>
      <w:r w:rsidRPr="00E24385">
        <w:t xml:space="preserve">. </w:t>
      </w:r>
      <w:r>
        <w:t xml:space="preserve"> </w:t>
      </w:r>
      <w:r w:rsidR="002A183F">
        <w:t>At pH 7.4</w:t>
      </w:r>
      <w:r w:rsidRPr="00E24385">
        <w:t>.</w:t>
      </w:r>
    </w:p>
    <w:sectPr w:rsidR="00E24385" w:rsidSect="00D6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24385"/>
    <w:rsid w:val="002A183F"/>
    <w:rsid w:val="00D624E9"/>
    <w:rsid w:val="00E2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2016-06-25T06:01:00Z</dcterms:created>
  <dcterms:modified xsi:type="dcterms:W3CDTF">2016-06-25T09:15:00Z</dcterms:modified>
</cp:coreProperties>
</file>