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322F01" w14:textId="725FB26A" w:rsidR="007979DD" w:rsidRPr="007979DD" w:rsidRDefault="007979DD" w:rsidP="007979DD">
      <w:pPr>
        <w:spacing w:line="288" w:lineRule="auto"/>
        <w:jc w:val="both"/>
        <w:rPr>
          <w:rFonts w:ascii="Arial" w:hAnsi="Arial"/>
          <w:b/>
          <w:color w:val="0000FF"/>
          <w:sz w:val="20"/>
          <w:szCs w:val="20"/>
        </w:rPr>
      </w:pPr>
      <w:bookmarkStart w:id="0" w:name="_GoBack"/>
      <w:bookmarkEnd w:id="0"/>
      <w:r w:rsidRPr="007979DD">
        <w:rPr>
          <w:rFonts w:ascii="Arial" w:hAnsi="Arial"/>
          <w:b/>
          <w:color w:val="0000FF"/>
          <w:sz w:val="20"/>
          <w:szCs w:val="20"/>
        </w:rPr>
        <w:t xml:space="preserve">Krzywoszynska, A., </w:t>
      </w:r>
      <w:r w:rsidR="009A0C3A" w:rsidRPr="007979DD">
        <w:rPr>
          <w:rFonts w:ascii="Arial" w:hAnsi="Arial"/>
          <w:b/>
          <w:color w:val="0000FF"/>
          <w:sz w:val="20"/>
          <w:szCs w:val="20"/>
        </w:rPr>
        <w:t xml:space="preserve">Buckley, A., </w:t>
      </w:r>
      <w:r w:rsidRPr="007979DD">
        <w:rPr>
          <w:rFonts w:ascii="Arial" w:hAnsi="Arial"/>
          <w:b/>
          <w:color w:val="0000FF"/>
          <w:sz w:val="20"/>
          <w:szCs w:val="20"/>
        </w:rPr>
        <w:t xml:space="preserve">Birch, H., </w:t>
      </w:r>
      <w:r w:rsidR="009A0C3A" w:rsidRPr="007979DD">
        <w:rPr>
          <w:rFonts w:ascii="Arial" w:hAnsi="Arial"/>
          <w:b/>
          <w:color w:val="0000FF"/>
          <w:sz w:val="20"/>
          <w:szCs w:val="20"/>
        </w:rPr>
        <w:t>Watson</w:t>
      </w:r>
      <w:r w:rsidR="009A0C3A" w:rsidRPr="007979DD">
        <w:rPr>
          <w:rFonts w:ascii="Arial" w:hAnsi="Arial"/>
          <w:b/>
          <w:color w:val="0000FF"/>
          <w:sz w:val="20"/>
          <w:szCs w:val="20"/>
          <w:vertAlign w:val="superscript"/>
        </w:rPr>
        <w:t xml:space="preserve">, </w:t>
      </w:r>
      <w:r w:rsidR="009A0C3A" w:rsidRPr="007979DD">
        <w:rPr>
          <w:rFonts w:ascii="Arial" w:hAnsi="Arial"/>
          <w:b/>
          <w:color w:val="0000FF"/>
          <w:sz w:val="20"/>
          <w:szCs w:val="20"/>
        </w:rPr>
        <w:t>M.</w:t>
      </w:r>
      <w:r w:rsidR="009A0C3A">
        <w:rPr>
          <w:rFonts w:ascii="Arial" w:hAnsi="Arial"/>
          <w:b/>
          <w:color w:val="0000FF"/>
          <w:sz w:val="20"/>
          <w:szCs w:val="20"/>
        </w:rPr>
        <w:t xml:space="preserve">, </w:t>
      </w:r>
      <w:r w:rsidR="009A0C3A" w:rsidRPr="007979DD">
        <w:rPr>
          <w:rFonts w:ascii="Arial" w:hAnsi="Arial"/>
          <w:b/>
          <w:color w:val="0000FF"/>
          <w:sz w:val="20"/>
          <w:szCs w:val="20"/>
        </w:rPr>
        <w:t xml:space="preserve">Chiles, P., </w:t>
      </w:r>
      <w:r w:rsidR="00B10794" w:rsidRPr="007979DD">
        <w:rPr>
          <w:rFonts w:ascii="Arial" w:hAnsi="Arial"/>
          <w:b/>
          <w:color w:val="0000FF"/>
          <w:sz w:val="20"/>
          <w:szCs w:val="20"/>
        </w:rPr>
        <w:t xml:space="preserve">Mawyin, J., </w:t>
      </w:r>
      <w:r w:rsidRPr="007979DD">
        <w:rPr>
          <w:rFonts w:ascii="Arial" w:hAnsi="Arial"/>
          <w:b/>
          <w:color w:val="0000FF"/>
          <w:sz w:val="20"/>
          <w:szCs w:val="20"/>
        </w:rPr>
        <w:t xml:space="preserve">Holmes, H., </w:t>
      </w:r>
      <w:r w:rsidR="00B10794">
        <w:rPr>
          <w:rFonts w:ascii="Arial" w:hAnsi="Arial"/>
          <w:b/>
          <w:color w:val="0000FF"/>
          <w:sz w:val="20"/>
          <w:szCs w:val="20"/>
        </w:rPr>
        <w:t>and Gregson, N.</w:t>
      </w:r>
      <w:r w:rsidRPr="007979DD">
        <w:rPr>
          <w:rFonts w:ascii="Arial" w:hAnsi="Arial"/>
          <w:b/>
          <w:color w:val="0000FF"/>
          <w:sz w:val="20"/>
          <w:szCs w:val="20"/>
        </w:rPr>
        <w:t xml:space="preserve"> (2016).</w:t>
      </w:r>
      <w:r w:rsidRPr="007979DD">
        <w:rPr>
          <w:rFonts w:ascii="Arial" w:hAnsi="Arial"/>
          <w:color w:val="0000FF"/>
          <w:sz w:val="20"/>
          <w:szCs w:val="20"/>
        </w:rPr>
        <w:t xml:space="preserve"> </w:t>
      </w:r>
      <w:r w:rsidRPr="007979DD">
        <w:rPr>
          <w:rFonts w:ascii="Arial" w:hAnsi="Arial"/>
          <w:b/>
          <w:color w:val="0000FF"/>
          <w:sz w:val="20"/>
          <w:szCs w:val="20"/>
        </w:rPr>
        <w:t>Co-producing energy futures: the impacts of participatory modelling. Building Research &amp; Information. DOI:</w:t>
      </w:r>
    </w:p>
    <w:p w14:paraId="1B420BC9" w14:textId="77777777" w:rsidR="007979DD" w:rsidRDefault="007979DD" w:rsidP="007979DD">
      <w:pPr>
        <w:spacing w:line="480" w:lineRule="auto"/>
        <w:jc w:val="both"/>
        <w:rPr>
          <w:b/>
        </w:rPr>
      </w:pPr>
    </w:p>
    <w:p w14:paraId="4FCAF05D" w14:textId="5F028565" w:rsidR="007979DD" w:rsidRPr="007979DD" w:rsidRDefault="007979DD" w:rsidP="007979DD">
      <w:pPr>
        <w:spacing w:line="480" w:lineRule="auto"/>
        <w:jc w:val="both"/>
        <w:rPr>
          <w:rFonts w:ascii="Arial" w:hAnsi="Arial"/>
          <w:b/>
          <w:sz w:val="28"/>
          <w:szCs w:val="28"/>
        </w:rPr>
      </w:pPr>
      <w:r w:rsidRPr="007979DD">
        <w:rPr>
          <w:rFonts w:ascii="Arial" w:hAnsi="Arial"/>
          <w:b/>
          <w:sz w:val="28"/>
          <w:szCs w:val="28"/>
        </w:rPr>
        <w:t>SUPPLEMENTARY DATA</w:t>
      </w:r>
      <w:r w:rsidR="00550B69">
        <w:rPr>
          <w:rFonts w:ascii="Arial" w:hAnsi="Arial"/>
          <w:b/>
          <w:sz w:val="28"/>
          <w:szCs w:val="28"/>
        </w:rPr>
        <w:t>: Appendices A &amp; B</w:t>
      </w:r>
      <w:r w:rsidRPr="007979DD">
        <w:rPr>
          <w:rFonts w:ascii="Arial" w:hAnsi="Arial"/>
          <w:b/>
          <w:sz w:val="28"/>
          <w:szCs w:val="28"/>
        </w:rPr>
        <w:t xml:space="preserve"> </w:t>
      </w:r>
    </w:p>
    <w:p w14:paraId="37741187" w14:textId="77777777" w:rsidR="007979DD" w:rsidRPr="007979DD" w:rsidRDefault="007979DD" w:rsidP="007979DD">
      <w:pPr>
        <w:spacing w:line="360" w:lineRule="auto"/>
      </w:pPr>
    </w:p>
    <w:p w14:paraId="7AD1378A" w14:textId="77777777" w:rsidR="007979DD" w:rsidRDefault="007979DD"/>
    <w:p w14:paraId="6A737B02" w14:textId="77777777" w:rsidR="005F2E75" w:rsidRDefault="005F2E75">
      <w:pPr>
        <w:rPr>
          <w:rFonts w:ascii="Arial" w:hAnsi="Arial"/>
          <w:b/>
          <w:sz w:val="32"/>
          <w:szCs w:val="32"/>
        </w:rPr>
      </w:pPr>
      <w:r>
        <w:rPr>
          <w:rFonts w:ascii="Arial" w:hAnsi="Arial"/>
          <w:b/>
          <w:sz w:val="32"/>
          <w:szCs w:val="32"/>
        </w:rPr>
        <w:t>Appendix A:</w:t>
      </w:r>
    </w:p>
    <w:p w14:paraId="474C9E9F" w14:textId="5536A3CE" w:rsidR="007979DD" w:rsidRPr="007979DD" w:rsidRDefault="007979DD">
      <w:pPr>
        <w:rPr>
          <w:rFonts w:ascii="Arial" w:hAnsi="Arial"/>
          <w:b/>
          <w:sz w:val="32"/>
          <w:szCs w:val="32"/>
        </w:rPr>
      </w:pPr>
      <w:r w:rsidRPr="007979DD">
        <w:rPr>
          <w:rFonts w:ascii="Arial" w:hAnsi="Arial"/>
          <w:b/>
          <w:sz w:val="32"/>
          <w:szCs w:val="32"/>
        </w:rPr>
        <w:t>The Fi</w:t>
      </w:r>
      <w:r w:rsidR="00B51D89">
        <w:rPr>
          <w:rFonts w:ascii="Arial" w:hAnsi="Arial"/>
          <w:b/>
          <w:sz w:val="32"/>
          <w:szCs w:val="32"/>
        </w:rPr>
        <w:t>v</w:t>
      </w:r>
      <w:r w:rsidRPr="007979DD">
        <w:rPr>
          <w:rFonts w:ascii="Arial" w:hAnsi="Arial"/>
          <w:b/>
          <w:sz w:val="32"/>
          <w:szCs w:val="32"/>
        </w:rPr>
        <w:t>e Pathways</w:t>
      </w:r>
    </w:p>
    <w:p w14:paraId="616E0C68" w14:textId="77777777" w:rsidR="007979DD" w:rsidRDefault="007979DD"/>
    <w:p w14:paraId="55DED908" w14:textId="088AB3CD" w:rsidR="007A7A50" w:rsidRPr="009A0C3A" w:rsidRDefault="00FF047B" w:rsidP="009A0C3A">
      <w:pPr>
        <w:spacing w:line="288" w:lineRule="auto"/>
        <w:rPr>
          <w:rFonts w:ascii="Arial" w:hAnsi="Arial"/>
          <w:sz w:val="18"/>
          <w:szCs w:val="18"/>
        </w:rPr>
      </w:pPr>
      <w:r w:rsidRPr="009A0C3A">
        <w:rPr>
          <w:rFonts w:ascii="Arial" w:hAnsi="Arial"/>
          <w:sz w:val="18"/>
          <w:szCs w:val="18"/>
        </w:rPr>
        <w:t>Details of the work within five thematic visions for local energy futures in Stocksbridge,</w:t>
      </w:r>
      <w:r w:rsidR="009C5076">
        <w:rPr>
          <w:rFonts w:ascii="Arial" w:hAnsi="Arial"/>
          <w:sz w:val="18"/>
          <w:szCs w:val="18"/>
        </w:rPr>
        <w:t xml:space="preserve"> UK</w:t>
      </w:r>
      <w:r w:rsidRPr="009A0C3A">
        <w:rPr>
          <w:rFonts w:ascii="Arial" w:hAnsi="Arial"/>
          <w:sz w:val="18"/>
          <w:szCs w:val="18"/>
        </w:rPr>
        <w:t xml:space="preserve"> developed by the residents and academics</w:t>
      </w:r>
    </w:p>
    <w:p w14:paraId="6138ED48" w14:textId="77777777" w:rsidR="00FF047B" w:rsidRPr="009A0C3A" w:rsidRDefault="00FF047B" w:rsidP="009A0C3A">
      <w:pPr>
        <w:pStyle w:val="ListParagraph"/>
        <w:numPr>
          <w:ilvl w:val="0"/>
          <w:numId w:val="1"/>
        </w:numPr>
        <w:spacing w:line="288" w:lineRule="auto"/>
        <w:rPr>
          <w:rFonts w:ascii="Arial" w:hAnsi="Arial"/>
          <w:sz w:val="18"/>
          <w:szCs w:val="18"/>
        </w:rPr>
      </w:pPr>
      <w:r w:rsidRPr="009A0C3A">
        <w:rPr>
          <w:rFonts w:ascii="Arial" w:hAnsi="Arial"/>
          <w:sz w:val="18"/>
          <w:szCs w:val="18"/>
        </w:rPr>
        <w:t>‘Sustainable transport’ group: developing electric vehicle public transport</w:t>
      </w:r>
      <w:r w:rsidR="00D16F12" w:rsidRPr="009A0C3A">
        <w:rPr>
          <w:rFonts w:ascii="Arial" w:hAnsi="Arial"/>
          <w:sz w:val="18"/>
          <w:szCs w:val="18"/>
        </w:rPr>
        <w:t>.</w:t>
      </w:r>
    </w:p>
    <w:p w14:paraId="5FF3DA24" w14:textId="77777777" w:rsidR="00FF047B" w:rsidRPr="009A0C3A" w:rsidRDefault="00FF047B" w:rsidP="009A0C3A">
      <w:pPr>
        <w:spacing w:line="288" w:lineRule="auto"/>
        <w:rPr>
          <w:rFonts w:ascii="Arial" w:hAnsi="Arial"/>
          <w:sz w:val="18"/>
          <w:szCs w:val="18"/>
        </w:rPr>
      </w:pPr>
      <w:r w:rsidRPr="009A0C3A">
        <w:rPr>
          <w:rFonts w:ascii="Arial" w:hAnsi="Arial"/>
          <w:sz w:val="18"/>
          <w:szCs w:val="18"/>
        </w:rPr>
        <w:t>This group engaged in a re-imagining of the local public transport system. The motivation for this groups was a perceived poor connectivity between Stocksbridge and Sheffield; the challenges the topography of Stocksbridge (steep sided valley) presented to older residents; an interest in increasing cycling infrastructure. The group explored how the local transport system could be improved through the use of renewable energy</w:t>
      </w:r>
      <w:r w:rsidR="005D560B" w:rsidRPr="009A0C3A">
        <w:rPr>
          <w:rFonts w:ascii="Arial" w:hAnsi="Arial"/>
          <w:sz w:val="18"/>
          <w:szCs w:val="18"/>
        </w:rPr>
        <w:t>, and it saw some involvement from the local industry representatives</w:t>
      </w:r>
      <w:r w:rsidRPr="009A0C3A">
        <w:rPr>
          <w:rFonts w:ascii="Arial" w:hAnsi="Arial"/>
          <w:sz w:val="18"/>
          <w:szCs w:val="18"/>
        </w:rPr>
        <w:t>. The ideas explored by the group over the duration of the project included:</w:t>
      </w:r>
    </w:p>
    <w:p w14:paraId="29048201" w14:textId="77777777" w:rsidR="00FF047B" w:rsidRPr="009A0C3A" w:rsidRDefault="00FF047B" w:rsidP="009A0C3A">
      <w:pPr>
        <w:pStyle w:val="ListParagraph"/>
        <w:numPr>
          <w:ilvl w:val="0"/>
          <w:numId w:val="2"/>
        </w:numPr>
        <w:spacing w:line="288" w:lineRule="auto"/>
        <w:rPr>
          <w:rFonts w:ascii="Arial" w:hAnsi="Arial"/>
          <w:sz w:val="18"/>
          <w:szCs w:val="18"/>
        </w:rPr>
      </w:pPr>
      <w:r w:rsidRPr="009A0C3A">
        <w:rPr>
          <w:rFonts w:ascii="Arial" w:hAnsi="Arial"/>
          <w:sz w:val="18"/>
          <w:szCs w:val="18"/>
        </w:rPr>
        <w:t>The use of electric bicycles with renewable energy charging stations;</w:t>
      </w:r>
    </w:p>
    <w:p w14:paraId="2CFC1B8F" w14:textId="77777777" w:rsidR="00FF047B" w:rsidRPr="009A0C3A" w:rsidRDefault="00FF047B" w:rsidP="009A0C3A">
      <w:pPr>
        <w:pStyle w:val="ListParagraph"/>
        <w:numPr>
          <w:ilvl w:val="0"/>
          <w:numId w:val="2"/>
        </w:numPr>
        <w:spacing w:line="288" w:lineRule="auto"/>
        <w:rPr>
          <w:rFonts w:ascii="Arial" w:hAnsi="Arial"/>
          <w:sz w:val="18"/>
          <w:szCs w:val="18"/>
        </w:rPr>
      </w:pPr>
      <w:r w:rsidRPr="009A0C3A">
        <w:rPr>
          <w:rFonts w:ascii="Arial" w:hAnsi="Arial"/>
          <w:sz w:val="18"/>
          <w:szCs w:val="18"/>
        </w:rPr>
        <w:t>Introduction of renewable energy charging station for electric vehicles;</w:t>
      </w:r>
    </w:p>
    <w:p w14:paraId="5EBA0375" w14:textId="77777777" w:rsidR="00FF047B" w:rsidRPr="009A0C3A" w:rsidRDefault="00FF047B" w:rsidP="009A0C3A">
      <w:pPr>
        <w:pStyle w:val="ListParagraph"/>
        <w:numPr>
          <w:ilvl w:val="0"/>
          <w:numId w:val="2"/>
        </w:numPr>
        <w:spacing w:line="288" w:lineRule="auto"/>
        <w:rPr>
          <w:rFonts w:ascii="Arial" w:hAnsi="Arial"/>
          <w:sz w:val="18"/>
          <w:szCs w:val="18"/>
        </w:rPr>
      </w:pPr>
      <w:r w:rsidRPr="009A0C3A">
        <w:rPr>
          <w:rFonts w:ascii="Arial" w:hAnsi="Arial"/>
          <w:sz w:val="18"/>
          <w:szCs w:val="18"/>
        </w:rPr>
        <w:t>Renewable energy powered community-owned bus;</w:t>
      </w:r>
    </w:p>
    <w:p w14:paraId="2123766C" w14:textId="77777777" w:rsidR="00FF047B" w:rsidRPr="009A0C3A" w:rsidRDefault="00FF047B" w:rsidP="009A0C3A">
      <w:pPr>
        <w:pStyle w:val="ListParagraph"/>
        <w:numPr>
          <w:ilvl w:val="0"/>
          <w:numId w:val="2"/>
        </w:numPr>
        <w:spacing w:line="288" w:lineRule="auto"/>
        <w:rPr>
          <w:rFonts w:ascii="Arial" w:hAnsi="Arial"/>
          <w:sz w:val="18"/>
          <w:szCs w:val="18"/>
        </w:rPr>
      </w:pPr>
      <w:r w:rsidRPr="009A0C3A">
        <w:rPr>
          <w:rFonts w:ascii="Arial" w:hAnsi="Arial"/>
          <w:sz w:val="18"/>
          <w:szCs w:val="18"/>
        </w:rPr>
        <w:t>Renewable energy powered and community-owned volunteer taxi system.</w:t>
      </w:r>
    </w:p>
    <w:p w14:paraId="6882DBAF" w14:textId="77777777" w:rsidR="00FF047B" w:rsidRPr="009A0C3A" w:rsidRDefault="00D16F12" w:rsidP="009A0C3A">
      <w:pPr>
        <w:spacing w:line="288" w:lineRule="auto"/>
        <w:rPr>
          <w:rFonts w:ascii="Arial" w:hAnsi="Arial"/>
          <w:sz w:val="18"/>
          <w:szCs w:val="18"/>
        </w:rPr>
      </w:pPr>
      <w:r w:rsidRPr="009A0C3A">
        <w:rPr>
          <w:rFonts w:ascii="Arial" w:hAnsi="Arial"/>
          <w:sz w:val="18"/>
          <w:szCs w:val="18"/>
        </w:rPr>
        <w:t xml:space="preserve">No </w:t>
      </w:r>
      <w:r w:rsidR="00FF047B" w:rsidRPr="009A0C3A">
        <w:rPr>
          <w:rFonts w:ascii="Arial" w:hAnsi="Arial"/>
          <w:sz w:val="18"/>
          <w:szCs w:val="18"/>
        </w:rPr>
        <w:t>coherent vision for a future renewable-energy powered transport in Stocksbridge</w:t>
      </w:r>
      <w:r w:rsidRPr="009A0C3A">
        <w:rPr>
          <w:rFonts w:ascii="Arial" w:hAnsi="Arial"/>
          <w:sz w:val="18"/>
          <w:szCs w:val="18"/>
        </w:rPr>
        <w:t xml:space="preserve"> emerged out of these discussions</w:t>
      </w:r>
      <w:r w:rsidR="00FF047B" w:rsidRPr="009A0C3A">
        <w:rPr>
          <w:rFonts w:ascii="Arial" w:hAnsi="Arial"/>
          <w:sz w:val="18"/>
          <w:szCs w:val="18"/>
        </w:rPr>
        <w:t>.</w:t>
      </w:r>
      <w:r w:rsidRPr="009A0C3A">
        <w:rPr>
          <w:rFonts w:ascii="Arial" w:hAnsi="Arial"/>
          <w:sz w:val="18"/>
          <w:szCs w:val="18"/>
        </w:rPr>
        <w:t xml:space="preserve"> </w:t>
      </w:r>
      <w:r w:rsidR="00FF047B" w:rsidRPr="009A0C3A">
        <w:rPr>
          <w:rFonts w:ascii="Arial" w:hAnsi="Arial"/>
          <w:sz w:val="18"/>
          <w:szCs w:val="18"/>
        </w:rPr>
        <w:t>In time the participants’ interest in this initiative waned</w:t>
      </w:r>
      <w:r w:rsidR="003F10C6" w:rsidRPr="009A0C3A">
        <w:rPr>
          <w:rFonts w:ascii="Arial" w:hAnsi="Arial"/>
          <w:sz w:val="18"/>
          <w:szCs w:val="18"/>
        </w:rPr>
        <w:t>; the transport theme</w:t>
      </w:r>
      <w:r w:rsidRPr="009A0C3A">
        <w:rPr>
          <w:rFonts w:ascii="Arial" w:hAnsi="Arial"/>
          <w:sz w:val="18"/>
          <w:szCs w:val="18"/>
        </w:rPr>
        <w:t xml:space="preserve"> was continued by a new participant with a pre-existing interest in revitalising the rail link between Stocksbridge and Sheffield (</w:t>
      </w:r>
      <w:hyperlink r:id="rId8" w:history="1">
        <w:r w:rsidRPr="009A0C3A">
          <w:rPr>
            <w:rStyle w:val="Hyperlink"/>
            <w:rFonts w:ascii="Arial" w:hAnsi="Arial"/>
            <w:sz w:val="18"/>
            <w:szCs w:val="18"/>
          </w:rPr>
          <w:t>http://donvalleyrailway.org/</w:t>
        </w:r>
      </w:hyperlink>
      <w:r w:rsidRPr="009A0C3A">
        <w:rPr>
          <w:rFonts w:ascii="Arial" w:hAnsi="Arial"/>
          <w:sz w:val="18"/>
          <w:szCs w:val="18"/>
        </w:rPr>
        <w:t>). This proposal was included in the final vision and included in the scale model.</w:t>
      </w:r>
      <w:r w:rsidR="00BF53F0" w:rsidRPr="009A0C3A">
        <w:rPr>
          <w:rFonts w:ascii="Arial" w:hAnsi="Arial"/>
          <w:sz w:val="18"/>
          <w:szCs w:val="18"/>
        </w:rPr>
        <w:t xml:space="preserve"> See also poster ‘Stocksbridge by train’.</w:t>
      </w:r>
    </w:p>
    <w:p w14:paraId="7F32A93A" w14:textId="77777777" w:rsidR="00D16F12" w:rsidRPr="009A0C3A" w:rsidRDefault="00D16F12" w:rsidP="009A0C3A">
      <w:pPr>
        <w:pStyle w:val="ListParagraph"/>
        <w:numPr>
          <w:ilvl w:val="0"/>
          <w:numId w:val="1"/>
        </w:numPr>
        <w:spacing w:line="288" w:lineRule="auto"/>
        <w:rPr>
          <w:rFonts w:ascii="Arial" w:hAnsi="Arial"/>
          <w:sz w:val="18"/>
          <w:szCs w:val="18"/>
        </w:rPr>
      </w:pPr>
      <w:r w:rsidRPr="009A0C3A">
        <w:rPr>
          <w:rFonts w:ascii="Arial" w:hAnsi="Arial"/>
          <w:sz w:val="18"/>
          <w:szCs w:val="18"/>
        </w:rPr>
        <w:t>‘Meals from steel’ group: local food production.</w:t>
      </w:r>
    </w:p>
    <w:p w14:paraId="55932269" w14:textId="77777777" w:rsidR="00D16F12" w:rsidRPr="009A0C3A" w:rsidRDefault="00D16F12" w:rsidP="009A0C3A">
      <w:pPr>
        <w:spacing w:line="288" w:lineRule="auto"/>
        <w:rPr>
          <w:rFonts w:ascii="Arial" w:hAnsi="Arial"/>
          <w:sz w:val="18"/>
          <w:szCs w:val="18"/>
        </w:rPr>
      </w:pPr>
      <w:r w:rsidRPr="009A0C3A">
        <w:rPr>
          <w:rFonts w:ascii="Arial" w:hAnsi="Arial"/>
          <w:sz w:val="18"/>
          <w:szCs w:val="18"/>
        </w:rPr>
        <w:t xml:space="preserve">Participants involved in this group explored ways of producing food locally, in a sustainable manner, and for the benefit of the wider community. </w:t>
      </w:r>
      <w:r w:rsidR="005D560B" w:rsidRPr="009A0C3A">
        <w:rPr>
          <w:rFonts w:ascii="Arial" w:hAnsi="Arial"/>
          <w:sz w:val="18"/>
          <w:szCs w:val="18"/>
        </w:rPr>
        <w:t>The</w:t>
      </w:r>
      <w:r w:rsidRPr="009A0C3A">
        <w:rPr>
          <w:rFonts w:ascii="Arial" w:hAnsi="Arial"/>
          <w:sz w:val="18"/>
          <w:szCs w:val="18"/>
        </w:rPr>
        <w:t xml:space="preserve"> ideas explored by this</w:t>
      </w:r>
      <w:r w:rsidR="005D560B" w:rsidRPr="009A0C3A">
        <w:rPr>
          <w:rFonts w:ascii="Arial" w:hAnsi="Arial"/>
          <w:sz w:val="18"/>
          <w:szCs w:val="18"/>
        </w:rPr>
        <w:t xml:space="preserve"> group focused on a revitalisation of non-productive industrial land through greenhouse and hydroponic cultivation. Technological involvement initially focused on semi-transparent photovoltaic panels, but was later replaced by the re-use of waste heat from the local steelworks. This group saw a strong involvement of the steelworks representatives, and produced detailed plans of desirable food production scenarios. However the composition of the group changed over time, and the food focus was in time down-played. The utilisation of waste heat was instead incorporated into the visions of the ‘energy balance’ group (see below).</w:t>
      </w:r>
      <w:r w:rsidR="00BF53F0" w:rsidRPr="009A0C3A">
        <w:rPr>
          <w:rFonts w:ascii="Arial" w:hAnsi="Arial"/>
          <w:sz w:val="18"/>
          <w:szCs w:val="18"/>
        </w:rPr>
        <w:t xml:space="preserve"> See also poster ‘Recovering heat from TATA Steel’.</w:t>
      </w:r>
    </w:p>
    <w:p w14:paraId="089BF83B" w14:textId="77777777" w:rsidR="005D560B" w:rsidRPr="009A0C3A" w:rsidRDefault="005D560B" w:rsidP="009A0C3A">
      <w:pPr>
        <w:pStyle w:val="ListParagraph"/>
        <w:numPr>
          <w:ilvl w:val="0"/>
          <w:numId w:val="1"/>
        </w:numPr>
        <w:spacing w:line="288" w:lineRule="auto"/>
        <w:rPr>
          <w:rFonts w:ascii="Arial" w:hAnsi="Arial"/>
          <w:sz w:val="18"/>
          <w:szCs w:val="18"/>
        </w:rPr>
      </w:pPr>
      <w:r w:rsidRPr="009A0C3A">
        <w:rPr>
          <w:rFonts w:ascii="Arial" w:hAnsi="Arial"/>
          <w:sz w:val="18"/>
          <w:szCs w:val="18"/>
        </w:rPr>
        <w:t>‘Sustainable community buildings’ group: increasing sustainability of local community buildings.</w:t>
      </w:r>
    </w:p>
    <w:p w14:paraId="628E99FE" w14:textId="77777777" w:rsidR="00BF53F0" w:rsidRPr="009A0C3A" w:rsidRDefault="005D560B" w:rsidP="009A0C3A">
      <w:pPr>
        <w:spacing w:line="288" w:lineRule="auto"/>
        <w:rPr>
          <w:rFonts w:ascii="Arial" w:hAnsi="Arial"/>
          <w:sz w:val="18"/>
          <w:szCs w:val="18"/>
        </w:rPr>
      </w:pPr>
      <w:r w:rsidRPr="009A0C3A">
        <w:rPr>
          <w:rFonts w:ascii="Arial" w:hAnsi="Arial"/>
          <w:sz w:val="18"/>
          <w:szCs w:val="18"/>
        </w:rPr>
        <w:t xml:space="preserve">This group engaged with the theme of increasing energy sustainability of local community buildings, specifically community halls. The work of this group was influenced by the closure and subsequent volunteer takeover of the </w:t>
      </w:r>
      <w:r w:rsidRPr="009A0C3A">
        <w:rPr>
          <w:rFonts w:ascii="Arial" w:hAnsi="Arial"/>
          <w:sz w:val="18"/>
          <w:szCs w:val="18"/>
        </w:rPr>
        <w:lastRenderedPageBreak/>
        <w:t xml:space="preserve">local leisure centre. The participants in this group </w:t>
      </w:r>
      <w:r w:rsidR="009265BD" w:rsidRPr="009A0C3A">
        <w:rPr>
          <w:rFonts w:ascii="Arial" w:hAnsi="Arial"/>
          <w:sz w:val="18"/>
          <w:szCs w:val="18"/>
        </w:rPr>
        <w:t xml:space="preserve">decided to focus their efforts on a small community hall (the Inman Pavillion) near the leisure centre, and </w:t>
      </w:r>
      <w:r w:rsidR="003F10C6" w:rsidRPr="009A0C3A">
        <w:rPr>
          <w:rFonts w:ascii="Arial" w:hAnsi="Arial"/>
          <w:sz w:val="18"/>
          <w:szCs w:val="18"/>
        </w:rPr>
        <w:t xml:space="preserve">to </w:t>
      </w:r>
      <w:r w:rsidR="009265BD" w:rsidRPr="009A0C3A">
        <w:rPr>
          <w:rFonts w:ascii="Arial" w:hAnsi="Arial"/>
          <w:sz w:val="18"/>
          <w:szCs w:val="18"/>
        </w:rPr>
        <w:t xml:space="preserve">use it as a testing ground for visioning energy sustainability solutions in order to both improve the sustainability of the hall, and provide useful ideas to the leisure centre volunteers. </w:t>
      </w:r>
      <w:r w:rsidR="00BF53F0" w:rsidRPr="009A0C3A">
        <w:rPr>
          <w:rFonts w:ascii="Arial" w:hAnsi="Arial"/>
          <w:sz w:val="18"/>
          <w:szCs w:val="18"/>
        </w:rPr>
        <w:t>The participants in this group involved the committee responsible for the upkeep of the Inman Pavillion, and engaged a group of University of Sheffield MA level architecture students to further help with the visioning process (</w:t>
      </w:r>
      <w:hyperlink r:id="rId9" w:history="1">
        <w:r w:rsidR="00BF53F0" w:rsidRPr="009A0C3A">
          <w:rPr>
            <w:rStyle w:val="Hyperlink"/>
            <w:rFonts w:ascii="Arial" w:hAnsi="Arial"/>
            <w:sz w:val="18"/>
            <w:szCs w:val="18"/>
          </w:rPr>
          <w:t>https://www.sheffield.ac.uk/architecture/march/liveprojects</w:t>
        </w:r>
      </w:hyperlink>
      <w:r w:rsidR="00BF53F0" w:rsidRPr="009A0C3A">
        <w:rPr>
          <w:rFonts w:ascii="Arial" w:hAnsi="Arial"/>
          <w:sz w:val="18"/>
          <w:szCs w:val="18"/>
        </w:rPr>
        <w:t>). Eventually one of the participants took lead in translating these ideas into reality and became actively involved in the regeneration and running of the community hall. See also poster ‘The Inman Initiative’</w:t>
      </w:r>
      <w:r w:rsidR="00705815" w:rsidRPr="009A0C3A">
        <w:rPr>
          <w:rFonts w:ascii="Arial" w:hAnsi="Arial"/>
          <w:sz w:val="18"/>
          <w:szCs w:val="18"/>
        </w:rPr>
        <w:t xml:space="preserve"> and ‘Sustainable Leisure Centre’</w:t>
      </w:r>
      <w:r w:rsidR="00BF53F0" w:rsidRPr="009A0C3A">
        <w:rPr>
          <w:rFonts w:ascii="Arial" w:hAnsi="Arial"/>
          <w:sz w:val="18"/>
          <w:szCs w:val="18"/>
        </w:rPr>
        <w:t>.</w:t>
      </w:r>
    </w:p>
    <w:p w14:paraId="13B685B6" w14:textId="77777777" w:rsidR="00BF53F0" w:rsidRPr="009A0C3A" w:rsidRDefault="00BF53F0" w:rsidP="009A0C3A">
      <w:pPr>
        <w:pStyle w:val="ListParagraph"/>
        <w:numPr>
          <w:ilvl w:val="0"/>
          <w:numId w:val="1"/>
        </w:numPr>
        <w:spacing w:line="288" w:lineRule="auto"/>
        <w:rPr>
          <w:rFonts w:ascii="Arial" w:hAnsi="Arial"/>
          <w:sz w:val="18"/>
          <w:szCs w:val="18"/>
        </w:rPr>
      </w:pPr>
      <w:r w:rsidRPr="009A0C3A">
        <w:rPr>
          <w:rFonts w:ascii="Arial" w:hAnsi="Arial"/>
          <w:sz w:val="18"/>
          <w:szCs w:val="18"/>
        </w:rPr>
        <w:t>‘Energy balance’ group: meeting local energy demand through renewable energy generation.</w:t>
      </w:r>
    </w:p>
    <w:p w14:paraId="5C3441D3" w14:textId="77777777" w:rsidR="005D560B" w:rsidRPr="009A0C3A" w:rsidRDefault="00523506" w:rsidP="009A0C3A">
      <w:pPr>
        <w:spacing w:line="288" w:lineRule="auto"/>
        <w:rPr>
          <w:rFonts w:ascii="Arial" w:hAnsi="Arial"/>
          <w:sz w:val="18"/>
          <w:szCs w:val="18"/>
        </w:rPr>
      </w:pPr>
      <w:r w:rsidRPr="009A0C3A">
        <w:rPr>
          <w:rFonts w:ascii="Arial" w:hAnsi="Arial"/>
          <w:sz w:val="18"/>
          <w:szCs w:val="18"/>
        </w:rPr>
        <w:t xml:space="preserve">Meeting local energy demand through sustainable and locally produced energy was a key interest for the participants involved in this group. </w:t>
      </w:r>
      <w:r w:rsidR="003F10C6" w:rsidRPr="009A0C3A">
        <w:rPr>
          <w:rFonts w:ascii="Arial" w:hAnsi="Arial"/>
          <w:sz w:val="18"/>
          <w:szCs w:val="18"/>
        </w:rPr>
        <w:t>The group explored the use of local natural (wind, rivers, sun, biomass) and technological (waste heat from a local steel works, heat from flooded mine shafts, local reservoir) resources for energy generation and conservation, with the aim of achieving energy independence for Stocksbridge, and increasing equitable access to energy in the town. The visions of this group was modelled using a series of numerical scenarios (see supplemental material), and their work formed the backbone of the physical model of the town. Key participants in this group went on to form Renewable Upper Don Energy, a community group which continues work on energy issues in Stocksbridge at the time of writing (</w:t>
      </w:r>
      <w:hyperlink r:id="rId10" w:history="1">
        <w:r w:rsidR="004721AA" w:rsidRPr="009A0C3A">
          <w:rPr>
            <w:rStyle w:val="Hyperlink"/>
            <w:rFonts w:ascii="Arial" w:hAnsi="Arial"/>
            <w:sz w:val="18"/>
            <w:szCs w:val="18"/>
          </w:rPr>
          <w:t>https://www.facebook.com/Rude2u/</w:t>
        </w:r>
      </w:hyperlink>
      <w:r w:rsidR="003F10C6" w:rsidRPr="009A0C3A">
        <w:rPr>
          <w:rFonts w:ascii="Arial" w:hAnsi="Arial"/>
          <w:sz w:val="18"/>
          <w:szCs w:val="18"/>
        </w:rPr>
        <w:t>).</w:t>
      </w:r>
      <w:r w:rsidR="004721AA" w:rsidRPr="009A0C3A">
        <w:rPr>
          <w:rFonts w:ascii="Arial" w:hAnsi="Arial"/>
          <w:sz w:val="18"/>
          <w:szCs w:val="18"/>
        </w:rPr>
        <w:t xml:space="preserve"> See also posters</w:t>
      </w:r>
      <w:r w:rsidR="00705815" w:rsidRPr="009A0C3A">
        <w:rPr>
          <w:rFonts w:ascii="Arial" w:hAnsi="Arial"/>
          <w:sz w:val="18"/>
          <w:szCs w:val="18"/>
        </w:rPr>
        <w:t xml:space="preserve"> ‘How can Stocksbridge become more energy independent?’, ‘What is biomass?’, ‘Ground heating’; ‘Community hydro power’; ‘Electricity from the sun’; ‘Electricity from wind power’ and ‘Zero Carbon Homes’. </w:t>
      </w:r>
    </w:p>
    <w:p w14:paraId="5BCE2A05" w14:textId="77777777" w:rsidR="003F10C6" w:rsidRPr="009A0C3A" w:rsidRDefault="003F10C6" w:rsidP="009A0C3A">
      <w:pPr>
        <w:pStyle w:val="ListParagraph"/>
        <w:numPr>
          <w:ilvl w:val="0"/>
          <w:numId w:val="1"/>
        </w:numPr>
        <w:spacing w:line="288" w:lineRule="auto"/>
        <w:rPr>
          <w:rFonts w:ascii="Arial" w:hAnsi="Arial"/>
          <w:sz w:val="18"/>
          <w:szCs w:val="18"/>
        </w:rPr>
      </w:pPr>
      <w:r w:rsidRPr="009A0C3A">
        <w:rPr>
          <w:rFonts w:ascii="Arial" w:hAnsi="Arial"/>
          <w:sz w:val="18"/>
          <w:szCs w:val="18"/>
        </w:rPr>
        <w:t>‘Education’: sustainability education in Stocksbridge</w:t>
      </w:r>
      <w:r w:rsidR="007979DD" w:rsidRPr="009A0C3A">
        <w:rPr>
          <w:rFonts w:ascii="Arial" w:hAnsi="Arial"/>
          <w:sz w:val="18"/>
          <w:szCs w:val="18"/>
        </w:rPr>
        <w:t>.</w:t>
      </w:r>
    </w:p>
    <w:p w14:paraId="0F2EF103" w14:textId="77777777" w:rsidR="003F10C6" w:rsidRPr="009A0C3A" w:rsidRDefault="00A71BED" w:rsidP="009A0C3A">
      <w:pPr>
        <w:spacing w:line="288" w:lineRule="auto"/>
        <w:rPr>
          <w:rFonts w:ascii="Arial" w:hAnsi="Arial"/>
          <w:sz w:val="18"/>
          <w:szCs w:val="18"/>
        </w:rPr>
      </w:pPr>
      <w:r w:rsidRPr="009A0C3A">
        <w:rPr>
          <w:rFonts w:ascii="Arial" w:hAnsi="Arial"/>
          <w:sz w:val="18"/>
          <w:szCs w:val="18"/>
        </w:rPr>
        <w:t xml:space="preserve">This group was concerned with enhancing awareness and practices of energy sustainability in Stocksbridge through adult and child education. Early on in the project the participants of this group redefined their role as exploring the potential for communicating the visions being developed in the other four </w:t>
      </w:r>
      <w:r w:rsidR="003D7347" w:rsidRPr="009A0C3A">
        <w:rPr>
          <w:rFonts w:ascii="Arial" w:hAnsi="Arial"/>
          <w:sz w:val="18"/>
          <w:szCs w:val="18"/>
        </w:rPr>
        <w:t>projects</w:t>
      </w:r>
      <w:r w:rsidRPr="009A0C3A">
        <w:rPr>
          <w:rFonts w:ascii="Arial" w:hAnsi="Arial"/>
          <w:sz w:val="18"/>
          <w:szCs w:val="18"/>
        </w:rPr>
        <w:t xml:space="preserve">. </w:t>
      </w:r>
    </w:p>
    <w:p w14:paraId="16E0C8D9" w14:textId="77777777" w:rsidR="00892719" w:rsidRDefault="00892719"/>
    <w:p w14:paraId="6677C639" w14:textId="77777777" w:rsidR="009A0C3A" w:rsidRDefault="009A0C3A"/>
    <w:p w14:paraId="1BFC62BC" w14:textId="3C647A99" w:rsidR="009A0C3A" w:rsidRDefault="009A0C3A">
      <w:r>
        <w:br w:type="page"/>
      </w:r>
    </w:p>
    <w:p w14:paraId="03DEAA1A" w14:textId="77777777" w:rsidR="005F2E75" w:rsidRDefault="005F2E75" w:rsidP="009A0C3A">
      <w:pPr>
        <w:tabs>
          <w:tab w:val="left" w:pos="426"/>
        </w:tabs>
        <w:spacing w:line="26" w:lineRule="atLeast"/>
        <w:jc w:val="both"/>
        <w:rPr>
          <w:rFonts w:ascii="Arial" w:hAnsi="Arial"/>
          <w:b/>
          <w:sz w:val="32"/>
          <w:szCs w:val="32"/>
        </w:rPr>
      </w:pPr>
      <w:r>
        <w:rPr>
          <w:rFonts w:ascii="Arial" w:hAnsi="Arial"/>
          <w:b/>
          <w:sz w:val="32"/>
          <w:szCs w:val="32"/>
        </w:rPr>
        <w:lastRenderedPageBreak/>
        <w:t>Appendix B:</w:t>
      </w:r>
    </w:p>
    <w:p w14:paraId="031B8404" w14:textId="10306005" w:rsidR="009A0C3A" w:rsidRDefault="009A0C3A" w:rsidP="009A0C3A">
      <w:pPr>
        <w:tabs>
          <w:tab w:val="left" w:pos="426"/>
        </w:tabs>
        <w:spacing w:line="26" w:lineRule="atLeast"/>
        <w:jc w:val="both"/>
        <w:rPr>
          <w:rFonts w:ascii="Arial" w:hAnsi="Arial"/>
          <w:b/>
          <w:sz w:val="32"/>
          <w:szCs w:val="32"/>
        </w:rPr>
      </w:pPr>
      <w:r w:rsidRPr="009A0C3A">
        <w:rPr>
          <w:rFonts w:ascii="Arial" w:hAnsi="Arial"/>
          <w:b/>
          <w:sz w:val="32"/>
          <w:szCs w:val="32"/>
        </w:rPr>
        <w:t xml:space="preserve">Modelling community energy: </w:t>
      </w:r>
    </w:p>
    <w:p w14:paraId="4DBFBEB2" w14:textId="51A43816" w:rsidR="009A0C3A" w:rsidRPr="009A0C3A" w:rsidRDefault="009A0C3A" w:rsidP="009A0C3A">
      <w:pPr>
        <w:tabs>
          <w:tab w:val="left" w:pos="426"/>
        </w:tabs>
        <w:spacing w:line="26" w:lineRule="atLeast"/>
        <w:jc w:val="both"/>
        <w:rPr>
          <w:rFonts w:ascii="Arial" w:hAnsi="Arial"/>
          <w:sz w:val="32"/>
          <w:szCs w:val="32"/>
        </w:rPr>
      </w:pPr>
      <w:r w:rsidRPr="009A0C3A">
        <w:rPr>
          <w:rFonts w:ascii="Arial" w:hAnsi="Arial"/>
          <w:b/>
          <w:sz w:val="32"/>
          <w:szCs w:val="32"/>
        </w:rPr>
        <w:t>the energy independence model</w:t>
      </w:r>
    </w:p>
    <w:p w14:paraId="4956E430" w14:textId="77777777" w:rsidR="009A0C3A" w:rsidRDefault="009A0C3A" w:rsidP="009A0C3A">
      <w:pPr>
        <w:autoSpaceDE w:val="0"/>
        <w:autoSpaceDN w:val="0"/>
        <w:adjustRightInd w:val="0"/>
        <w:spacing w:after="0" w:line="288" w:lineRule="auto"/>
        <w:jc w:val="both"/>
        <w:rPr>
          <w:sz w:val="16"/>
          <w:szCs w:val="16"/>
          <w:lang w:val="en-US"/>
        </w:rPr>
      </w:pPr>
    </w:p>
    <w:p w14:paraId="5003A468"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r w:rsidRPr="00AD750D">
        <w:rPr>
          <w:rFonts w:ascii="Arial" w:hAnsi="Arial"/>
          <w:sz w:val="18"/>
          <w:szCs w:val="18"/>
          <w:lang w:val="en-US"/>
        </w:rPr>
        <w:t>A numerical model to investigate the potential for locally generated electricity from wind and solar PV to fulfill local electricity demand was created</w:t>
      </w:r>
      <w:r w:rsidRPr="00AD750D">
        <w:rPr>
          <w:rFonts w:ascii="Arial" w:hAnsi="Arial"/>
          <w:sz w:val="18"/>
          <w:szCs w:val="18"/>
        </w:rPr>
        <w:t xml:space="preserve">. </w:t>
      </w:r>
      <w:r w:rsidRPr="00AD750D">
        <w:rPr>
          <w:rFonts w:ascii="Arial" w:hAnsi="Arial"/>
          <w:sz w:val="18"/>
          <w:szCs w:val="18"/>
          <w:lang w:val="en-US"/>
        </w:rPr>
        <w:t xml:space="preserve">Representative half hourly time series of electricity generation for different wind and PV installations (constituted with different turbine sizes) were constructed. Half hourly wind speed and irradiance data were taken from the local UK Royal Meteorological Office ground based weather measurement station. State of the art load factors (for photovoltaic panels) </w:t>
      </w:r>
      <w:r w:rsidRPr="00AD750D">
        <w:rPr>
          <w:rFonts w:ascii="Arial" w:hAnsi="Arial"/>
          <w:sz w:val="18"/>
          <w:szCs w:val="18"/>
          <w:lang w:val="en-US"/>
        </w:rPr>
        <w:fldChar w:fldCharType="begin"/>
      </w:r>
      <w:r w:rsidRPr="00AD750D">
        <w:rPr>
          <w:rFonts w:ascii="Arial" w:hAnsi="Arial"/>
          <w:sz w:val="18"/>
          <w:szCs w:val="18"/>
          <w:lang w:val="en-US"/>
        </w:rPr>
        <w:instrText xml:space="preserve"> ADDIN EN.CITE &lt;EndNote&gt;&lt;Cite&gt;&lt;Author&gt;Taylor&lt;/Author&gt;&lt;Year&gt;2013&lt;/Year&gt;&lt;RecNum&gt;341&lt;/RecNum&gt;&lt;DisplayText&gt;(Taylor, Leloux, Everard, Briggs, &amp;amp; Buckley, 2013)&lt;/DisplayText&gt;&lt;record&gt;&lt;rec-number&gt;341&lt;/rec-number&gt;&lt;foreign-keys&gt;&lt;key app="EN" db-id="zpxf2xwtkpartte55p6vas5eprzxf9vd92pa" timestamp="1452185526"&gt;341&lt;/key&gt;&lt;/foreign-keys&gt;&lt;ref-type name="Journal Article"&gt;17&lt;/ref-type&gt;&lt;contributors&gt;&lt;authors&gt;&lt;author&gt;Taylor, Jamie&lt;/author&gt;&lt;author&gt;Leloux, Jonathan&lt;/author&gt;&lt;author&gt;Everard, Aldous M&lt;/author&gt;&lt;author&gt;Briggs, Julian&lt;/author&gt;&lt;author&gt;Buckley, Alastair&lt;/author&gt;&lt;/authors&gt;&lt;/contributors&gt;&lt;titles&gt;&lt;title&gt;Monitoring thousands of distributed PV systems in the UK: Energy production and performance&lt;/title&gt;&lt;/titles&gt;&lt;dates&gt;&lt;year&gt;2013&lt;/year&gt;&lt;/dates&gt;&lt;urls&gt;&lt;/urls&gt;&lt;/record&gt;&lt;/Cite&gt;&lt;/EndNote&gt;</w:instrText>
      </w:r>
      <w:r w:rsidRPr="00AD750D">
        <w:rPr>
          <w:rFonts w:ascii="Arial" w:hAnsi="Arial"/>
          <w:sz w:val="18"/>
          <w:szCs w:val="18"/>
          <w:lang w:val="en-US"/>
        </w:rPr>
        <w:fldChar w:fldCharType="separate"/>
      </w:r>
      <w:r w:rsidRPr="00AD750D">
        <w:rPr>
          <w:rFonts w:ascii="Arial" w:hAnsi="Arial"/>
          <w:noProof/>
          <w:sz w:val="18"/>
          <w:szCs w:val="18"/>
          <w:lang w:val="en-US"/>
        </w:rPr>
        <w:t>(Taylor, Leloux, Everard, Briggs, &amp; Buckley, 2013)</w:t>
      </w:r>
      <w:r w:rsidRPr="00AD750D">
        <w:rPr>
          <w:rFonts w:ascii="Arial" w:hAnsi="Arial"/>
          <w:sz w:val="18"/>
          <w:szCs w:val="18"/>
          <w:lang w:val="en-US"/>
        </w:rPr>
        <w:fldChar w:fldCharType="end"/>
      </w:r>
      <w:r w:rsidRPr="00AD750D">
        <w:rPr>
          <w:rFonts w:ascii="Arial" w:hAnsi="Arial"/>
          <w:sz w:val="18"/>
          <w:szCs w:val="18"/>
          <w:lang w:val="en-US"/>
        </w:rPr>
        <w:t xml:space="preserve"> and empirical algorithms for turbine performance </w:t>
      </w:r>
      <w:r w:rsidRPr="00AD750D">
        <w:rPr>
          <w:rFonts w:ascii="Arial" w:hAnsi="Arial"/>
          <w:sz w:val="18"/>
          <w:szCs w:val="18"/>
          <w:lang w:val="en-US"/>
        </w:rPr>
        <w:fldChar w:fldCharType="begin"/>
      </w:r>
      <w:r w:rsidRPr="00AD750D">
        <w:rPr>
          <w:rFonts w:ascii="Arial" w:hAnsi="Arial"/>
          <w:sz w:val="18"/>
          <w:szCs w:val="18"/>
          <w:lang w:val="en-US"/>
        </w:rPr>
        <w:instrText xml:space="preserve"> ADDIN EN.CITE &lt;EndNote&gt;&lt;Cite&gt;&lt;Author&gt;Karki&lt;/Author&gt;&lt;Year&gt;2006&lt;/Year&gt;&lt;RecNum&gt;342&lt;/RecNum&gt;&lt;DisplayText&gt;(Deshmukh &amp;amp; Deshmukh, 2008; Karki, Hu, &amp;amp; Billinton, 2006)&lt;/DisplayText&gt;&lt;record&gt;&lt;rec-number&gt;342&lt;/rec-number&gt;&lt;foreign-keys&gt;&lt;key app="EN" db-id="zpxf2xwtkpartte55p6vas5eprzxf9vd92pa" timestamp="1452185559"&gt;342&lt;/key&gt;&lt;/foreign-keys&gt;&lt;ref-type name="Journal Article"&gt;17&lt;/ref-type&gt;&lt;contributors&gt;&lt;authors&gt;&lt;author&gt;Karki, Rajesh&lt;/author&gt;&lt;author&gt;Hu, Po&lt;/author&gt;&lt;author&gt;Billinton, Roy&lt;/author&gt;&lt;/authors&gt;&lt;/contributors&gt;&lt;titles&gt;&lt;title&gt;A simplified wind power generation model for reliability evaluation&lt;/title&gt;&lt;secondary-title&gt;Energy conversion, IEEE Transactions on&lt;/secondary-title&gt;&lt;/titles&gt;&lt;periodical&gt;&lt;full-title&gt;Energy conversion, IEEE Transactions on&lt;/full-title&gt;&lt;/periodical&gt;&lt;pages&gt;533-540&lt;/pages&gt;&lt;volume&gt;21&lt;/volume&gt;&lt;number&gt;2&lt;/number&gt;&lt;dates&gt;&lt;year&gt;2006&lt;/year&gt;&lt;/dates&gt;&lt;isbn&gt;0885-8969&lt;/isbn&gt;&lt;urls&gt;&lt;/urls&gt;&lt;/record&gt;&lt;/Cite&gt;&lt;Cite&gt;&lt;Author&gt;Deshmukh&lt;/Author&gt;&lt;Year&gt;2008&lt;/Year&gt;&lt;RecNum&gt;343&lt;/RecNum&gt;&lt;record&gt;&lt;rec-number&gt;343&lt;/rec-number&gt;&lt;foreign-keys&gt;&lt;key app="EN" db-id="zpxf2xwtkpartte55p6vas5eprzxf9vd92pa" timestamp="1452185579"&gt;343&lt;/key&gt;&lt;/foreign-keys&gt;&lt;ref-type name="Journal Article"&gt;17&lt;/ref-type&gt;&lt;contributors&gt;&lt;authors&gt;&lt;author&gt;Deshmukh, MK&lt;/author&gt;&lt;author&gt;Deshmukh, SS&lt;/author&gt;&lt;/authors&gt;&lt;/contributors&gt;&lt;titles&gt;&lt;title&gt;Modeling of hybrid renewable energy systems&lt;/title&gt;&lt;secondary-title&gt;Renewable and Sustainable Energy Reviews&lt;/secondary-title&gt;&lt;/titles&gt;&lt;periodical&gt;&lt;full-title&gt;Renewable and Sustainable Energy Reviews&lt;/full-title&gt;&lt;/periodical&gt;&lt;pages&gt;235-249&lt;/pages&gt;&lt;volume&gt;12&lt;/volume&gt;&lt;number&gt;1&lt;/number&gt;&lt;dates&gt;&lt;year&gt;2008&lt;/year&gt;&lt;/dates&gt;&lt;isbn&gt;1364-0321&lt;/isbn&gt;&lt;urls&gt;&lt;/urls&gt;&lt;/record&gt;&lt;/Cite&gt;&lt;/EndNote&gt;</w:instrText>
      </w:r>
      <w:r w:rsidRPr="00AD750D">
        <w:rPr>
          <w:rFonts w:ascii="Arial" w:hAnsi="Arial"/>
          <w:sz w:val="18"/>
          <w:szCs w:val="18"/>
          <w:lang w:val="en-US"/>
        </w:rPr>
        <w:fldChar w:fldCharType="separate"/>
      </w:r>
      <w:r w:rsidRPr="00AD750D">
        <w:rPr>
          <w:rFonts w:ascii="Arial" w:hAnsi="Arial"/>
          <w:noProof/>
          <w:sz w:val="18"/>
          <w:szCs w:val="18"/>
          <w:lang w:val="en-US"/>
        </w:rPr>
        <w:t>(Deshmukh &amp; Deshmukh, 2008; Karki, Hu, &amp; Billinton, 2006)</w:t>
      </w:r>
      <w:r w:rsidRPr="00AD750D">
        <w:rPr>
          <w:rFonts w:ascii="Arial" w:hAnsi="Arial"/>
          <w:sz w:val="18"/>
          <w:szCs w:val="18"/>
          <w:lang w:val="en-US"/>
        </w:rPr>
        <w:fldChar w:fldCharType="end"/>
      </w:r>
      <w:r w:rsidRPr="00AD750D">
        <w:rPr>
          <w:rFonts w:ascii="Arial" w:hAnsi="Arial"/>
          <w:sz w:val="18"/>
          <w:szCs w:val="18"/>
          <w:lang w:val="en-US"/>
        </w:rPr>
        <w:t xml:space="preserve"> converted the raw resource data into representative power generation time series. Wind speed was also adjusted for the hub height using the algorithms of De Chant </w:t>
      </w:r>
      <w:r w:rsidRPr="00AD750D">
        <w:rPr>
          <w:rFonts w:ascii="Arial" w:hAnsi="Arial"/>
          <w:sz w:val="18"/>
          <w:szCs w:val="18"/>
          <w:lang w:val="en-US"/>
        </w:rPr>
        <w:fldChar w:fldCharType="begin"/>
      </w:r>
      <w:r w:rsidRPr="00AD750D">
        <w:rPr>
          <w:rFonts w:ascii="Arial" w:hAnsi="Arial"/>
          <w:sz w:val="18"/>
          <w:szCs w:val="18"/>
          <w:lang w:val="en-US"/>
        </w:rPr>
        <w:instrText xml:space="preserve"> ADDIN EN.CITE &lt;EndNote&gt;&lt;Cite ExcludeAuth="1"&gt;&lt;Author&gt;De Chant&lt;/Author&gt;&lt;Year&gt;2005&lt;/Year&gt;&lt;RecNum&gt;344&lt;/RecNum&gt;&lt;DisplayText&gt;(2005)&lt;/DisplayText&gt;&lt;record&gt;&lt;rec-number&gt;344&lt;/rec-number&gt;&lt;foreign-keys&gt;&lt;key app="EN" db-id="zpxf2xwtkpartte55p6vas5eprzxf9vd92pa" timestamp="1452185624"&gt;344&lt;/key&gt;&lt;/foreign-keys&gt;&lt;ref-type name="Journal Article"&gt;17&lt;/ref-type&gt;&lt;contributors&gt;&lt;authors&gt;&lt;author&gt;De Chant, Lawrence J&lt;/author&gt;&lt;/authors&gt;&lt;/contributors&gt;&lt;titles&gt;&lt;title&gt;The venerable 1/7th power law turbulent velocity profile: a classical nonlinear boundary value problem solution and its relationship to stochastic processes&lt;/title&gt;&lt;secondary-title&gt;Applied Mathematics and Computation&lt;/secondary-title&gt;&lt;/titles&gt;&lt;periodical&gt;&lt;full-title&gt;Applied Mathematics and Computation&lt;/full-title&gt;&lt;/periodical&gt;&lt;pages&gt;463-474&lt;/pages&gt;&lt;volume&gt;161&lt;/volume&gt;&lt;number&gt;2&lt;/number&gt;&lt;dates&gt;&lt;year&gt;2005&lt;/year&gt;&lt;/dates&gt;&lt;isbn&gt;0096-3003&lt;/isbn&gt;&lt;urls&gt;&lt;/urls&gt;&lt;/record&gt;&lt;/Cite&gt;&lt;/EndNote&gt;</w:instrText>
      </w:r>
      <w:r w:rsidRPr="00AD750D">
        <w:rPr>
          <w:rFonts w:ascii="Arial" w:hAnsi="Arial"/>
          <w:sz w:val="18"/>
          <w:szCs w:val="18"/>
          <w:lang w:val="en-US"/>
        </w:rPr>
        <w:fldChar w:fldCharType="separate"/>
      </w:r>
      <w:r w:rsidRPr="00AD750D">
        <w:rPr>
          <w:rFonts w:ascii="Arial" w:hAnsi="Arial"/>
          <w:sz w:val="18"/>
          <w:szCs w:val="18"/>
          <w:lang w:val="en-US"/>
        </w:rPr>
        <w:t>(2005)</w:t>
      </w:r>
      <w:r w:rsidRPr="00AD750D">
        <w:rPr>
          <w:rFonts w:ascii="Arial" w:hAnsi="Arial"/>
          <w:sz w:val="18"/>
          <w:szCs w:val="18"/>
          <w:lang w:val="en-US"/>
        </w:rPr>
        <w:fldChar w:fldCharType="end"/>
      </w:r>
      <w:r w:rsidRPr="00AD750D">
        <w:rPr>
          <w:rFonts w:ascii="Arial" w:hAnsi="Arial"/>
          <w:sz w:val="18"/>
          <w:szCs w:val="18"/>
          <w:lang w:val="en-US"/>
        </w:rPr>
        <w:t xml:space="preserve">, and a temperature dependence of the wind shear coefficient (the rate at which the wind speed increases with altitude) taken from Rehman et al. </w:t>
      </w:r>
      <w:r w:rsidRPr="00AD750D">
        <w:rPr>
          <w:rFonts w:ascii="Arial" w:hAnsi="Arial"/>
          <w:sz w:val="18"/>
          <w:szCs w:val="18"/>
          <w:lang w:val="en-US"/>
        </w:rPr>
        <w:fldChar w:fldCharType="begin"/>
      </w:r>
      <w:r w:rsidRPr="00AD750D">
        <w:rPr>
          <w:rFonts w:ascii="Arial" w:hAnsi="Arial"/>
          <w:sz w:val="18"/>
          <w:szCs w:val="18"/>
          <w:lang w:val="en-US"/>
        </w:rPr>
        <w:instrText xml:space="preserve"> ADDIN EN.CITE &lt;EndNote&gt;&lt;Cite ExcludeAuth="1"&gt;&lt;Author&gt;Rehman&lt;/Author&gt;&lt;Year&gt;2005&lt;/Year&gt;&lt;RecNum&gt;345&lt;/RecNum&gt;&lt;DisplayText&gt;(2005)&lt;/DisplayText&gt;&lt;record&gt;&lt;rec-number&gt;345&lt;/rec-number&gt;&lt;foreign-keys&gt;&lt;key app="EN" db-id="zpxf2xwtkpartte55p6vas5eprzxf9vd92pa" timestamp="1452185671"&gt;345&lt;/key&gt;&lt;/foreign-keys&gt;&lt;ref-type name="Journal Article"&gt;17&lt;/ref-type&gt;&lt;contributors&gt;&lt;authors&gt;&lt;author&gt;Rehman, Shafiqur&lt;/author&gt;&lt;author&gt;Al-Abbadi, Naif M&lt;/author&gt;&lt;/authors&gt;&lt;/contributors&gt;&lt;titles&gt;&lt;title&gt;Wind shear coefficients and their effect on energy production&lt;/title&gt;&lt;secondary-title&gt;Energy Conversion and Management&lt;/secondary-title&gt;&lt;/titles&gt;&lt;periodical&gt;&lt;full-title&gt;Energy Conversion and Management&lt;/full-title&gt;&lt;/periodical&gt;&lt;pages&gt;2578-2591&lt;/pages&gt;&lt;volume&gt;46&lt;/volume&gt;&lt;number&gt;15&lt;/number&gt;&lt;dates&gt;&lt;year&gt;2005&lt;/year&gt;&lt;/dates&gt;&lt;isbn&gt;0196-8904&lt;/isbn&gt;&lt;urls&gt;&lt;/urls&gt;&lt;/record&gt;&lt;/Cite&gt;&lt;/EndNote&gt;</w:instrText>
      </w:r>
      <w:r w:rsidRPr="00AD750D">
        <w:rPr>
          <w:rFonts w:ascii="Arial" w:hAnsi="Arial"/>
          <w:sz w:val="18"/>
          <w:szCs w:val="18"/>
          <w:lang w:val="en-US"/>
        </w:rPr>
        <w:fldChar w:fldCharType="separate"/>
      </w:r>
      <w:r w:rsidRPr="00AD750D">
        <w:rPr>
          <w:rFonts w:ascii="Arial" w:hAnsi="Arial"/>
          <w:sz w:val="18"/>
          <w:szCs w:val="18"/>
          <w:lang w:val="en-US"/>
        </w:rPr>
        <w:t>(2005)</w:t>
      </w:r>
      <w:r w:rsidRPr="00AD750D">
        <w:rPr>
          <w:rFonts w:ascii="Arial" w:hAnsi="Arial"/>
          <w:sz w:val="18"/>
          <w:szCs w:val="18"/>
          <w:lang w:val="en-US"/>
        </w:rPr>
        <w:fldChar w:fldCharType="end"/>
      </w:r>
      <w:r w:rsidRPr="00AD750D">
        <w:rPr>
          <w:rFonts w:ascii="Arial" w:hAnsi="Arial"/>
          <w:sz w:val="18"/>
          <w:szCs w:val="18"/>
          <w:lang w:val="en-US"/>
        </w:rPr>
        <w:t>.</w:t>
      </w:r>
    </w:p>
    <w:p w14:paraId="36C6F948"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r w:rsidRPr="00AD750D">
        <w:rPr>
          <w:rFonts w:ascii="Arial" w:hAnsi="Arial"/>
          <w:sz w:val="18"/>
          <w:szCs w:val="18"/>
          <w:lang w:val="en-US"/>
        </w:rPr>
        <w:t xml:space="preserve">Half hourly local aggregated commercial and domestic electricity demand data for Stocksbridge were simulated using standard UK domestic and commercial demand time series and assuming a total yearly demand in Stocksbridge of 27 GWh </w:t>
      </w:r>
      <w:r w:rsidRPr="00AD750D">
        <w:rPr>
          <w:rFonts w:ascii="Arial" w:hAnsi="Arial"/>
          <w:sz w:val="18"/>
          <w:szCs w:val="18"/>
          <w:lang w:val="en-US"/>
        </w:rPr>
        <w:fldChar w:fldCharType="begin"/>
      </w:r>
      <w:r w:rsidRPr="00AD750D">
        <w:rPr>
          <w:rFonts w:ascii="Arial" w:hAnsi="Arial"/>
          <w:sz w:val="18"/>
          <w:szCs w:val="18"/>
          <w:lang w:val="en-US"/>
        </w:rPr>
        <w:instrText xml:space="preserve"> ADDIN EN.CITE &lt;EndNote&gt;&lt;Cite&gt;&lt;Author&gt;DUKES&lt;/Author&gt;&lt;Year&gt;2013&lt;/Year&gt;&lt;RecNum&gt;346&lt;/RecNum&gt;&lt;DisplayText&gt;(DUKES, 2013)&lt;/DisplayText&gt;&lt;record&gt;&lt;rec-number&gt;346&lt;/rec-number&gt;&lt;foreign-keys&gt;&lt;key app="EN" db-id="zpxf2xwtkpartte55p6vas5eprzxf9vd92pa" timestamp="1452185826"&gt;346&lt;/key&gt;&lt;/foreign-keys&gt;&lt;ref-type name="Web Page"&gt;12&lt;/ref-type&gt;&lt;contributors&gt;&lt;authors&gt;&lt;author&gt;DUKES&lt;/author&gt;&lt;/authors&gt;&lt;/contributors&gt;&lt;titles&gt;&lt;title&gt;Electricity demand data for Super area output codes E02001611, E02001612. Digest of uk energy statistics&lt;/title&gt;&lt;/titles&gt;&lt;number&gt;01/08/2014&lt;/number&gt;&lt;dates&gt;&lt;year&gt;2013&lt;/year&gt;&lt;/dates&gt;&lt;urls&gt;&lt;related-urls&gt;&lt;url&gt;www.gov.uk/government/collections/digest-of-uk-enegy-ststistics-dukes&lt;/url&gt;&lt;/related-urls&gt;&lt;/urls&gt;&lt;/record&gt;&lt;/Cite&gt;&lt;/EndNote&gt;</w:instrText>
      </w:r>
      <w:r w:rsidRPr="00AD750D">
        <w:rPr>
          <w:rFonts w:ascii="Arial" w:hAnsi="Arial"/>
          <w:sz w:val="18"/>
          <w:szCs w:val="18"/>
          <w:lang w:val="en-US"/>
        </w:rPr>
        <w:fldChar w:fldCharType="separate"/>
      </w:r>
      <w:r w:rsidRPr="00AD750D">
        <w:rPr>
          <w:rFonts w:ascii="Arial" w:hAnsi="Arial"/>
          <w:sz w:val="18"/>
          <w:szCs w:val="18"/>
          <w:lang w:val="en-US"/>
        </w:rPr>
        <w:t>(DUKES, 2013)</w:t>
      </w:r>
      <w:r w:rsidRPr="00AD750D">
        <w:rPr>
          <w:rFonts w:ascii="Arial" w:hAnsi="Arial"/>
          <w:sz w:val="18"/>
          <w:szCs w:val="18"/>
          <w:lang w:val="en-US"/>
        </w:rPr>
        <w:fldChar w:fldCharType="end"/>
      </w:r>
      <w:r w:rsidRPr="00AD750D">
        <w:rPr>
          <w:rFonts w:ascii="Arial" w:hAnsi="Arial"/>
          <w:sz w:val="18"/>
          <w:szCs w:val="18"/>
          <w:lang w:val="en-US"/>
        </w:rPr>
        <w:t xml:space="preserve">. The assignment of demand between commercial and domestic sectors followed government records (ibid.). Subtracting the demand from the generation for each half hour of the year gives a time series of either underproduction, over production or precise matching between generation and demand. The resilience of the local renewable energy generation was then characterized hour by hour by both under production and overproduction. The total number of hours of underproduction in the year were summed to give the index “loss of load proportion” (LOLP), and the total number of hours of overproduction were summed to give the index “loss of energy proportion”, (LOEP). The overall resilience of the local electricity system was then characterized as the independence proportion (IP): </w:t>
      </w:r>
    </w:p>
    <w:p w14:paraId="0A560E49" w14:textId="77777777" w:rsidR="009A0C3A" w:rsidRPr="009A0C3A" w:rsidRDefault="009A0C3A" w:rsidP="009A0C3A">
      <w:pPr>
        <w:autoSpaceDE w:val="0"/>
        <w:autoSpaceDN w:val="0"/>
        <w:adjustRightInd w:val="0"/>
        <w:spacing w:after="0" w:line="288" w:lineRule="auto"/>
        <w:jc w:val="both"/>
        <w:rPr>
          <w:sz w:val="16"/>
          <w:szCs w:val="16"/>
          <w:lang w:val="en-US"/>
        </w:rPr>
      </w:pPr>
    </w:p>
    <w:p w14:paraId="226EB2CE" w14:textId="77777777" w:rsidR="009A0C3A" w:rsidRPr="009A0C3A" w:rsidRDefault="009A0C3A" w:rsidP="009A0C3A">
      <w:pPr>
        <w:autoSpaceDE w:val="0"/>
        <w:autoSpaceDN w:val="0"/>
        <w:adjustRightInd w:val="0"/>
        <w:spacing w:after="0" w:line="288" w:lineRule="auto"/>
        <w:jc w:val="both"/>
        <w:rPr>
          <w:lang w:val="en-US"/>
        </w:rPr>
      </w:pPr>
      <m:oMath>
        <m:r>
          <w:rPr>
            <w:rFonts w:ascii="Cambria Math" w:hAnsi="Cambria Math"/>
            <w:lang w:val="en-US"/>
          </w:rPr>
          <m:t>IP=1-LOLP-LOEP</m:t>
        </m:r>
      </m:oMath>
      <w:r w:rsidRPr="009A0C3A">
        <w:rPr>
          <w:rFonts w:eastAsiaTheme="minorEastAsia"/>
          <w:lang w:val="en-US"/>
        </w:rPr>
        <w:tab/>
      </w:r>
      <w:r w:rsidRPr="009A0C3A">
        <w:rPr>
          <w:rFonts w:eastAsiaTheme="minorEastAsia"/>
          <w:lang w:val="en-US"/>
        </w:rPr>
        <w:tab/>
        <w:t>[1]</w:t>
      </w:r>
    </w:p>
    <w:p w14:paraId="0BCE49BA" w14:textId="77777777" w:rsidR="009A0C3A" w:rsidRPr="009A0C3A" w:rsidRDefault="009A0C3A" w:rsidP="009A0C3A">
      <w:pPr>
        <w:autoSpaceDE w:val="0"/>
        <w:autoSpaceDN w:val="0"/>
        <w:adjustRightInd w:val="0"/>
        <w:spacing w:after="0" w:line="288" w:lineRule="auto"/>
        <w:jc w:val="both"/>
        <w:rPr>
          <w:sz w:val="16"/>
          <w:szCs w:val="16"/>
          <w:lang w:val="en-US"/>
        </w:rPr>
      </w:pPr>
    </w:p>
    <w:p w14:paraId="03EF2397" w14:textId="77777777" w:rsidR="009A0C3A" w:rsidRPr="00AD750D" w:rsidRDefault="009A0C3A" w:rsidP="009A0C3A">
      <w:pPr>
        <w:autoSpaceDE w:val="0"/>
        <w:autoSpaceDN w:val="0"/>
        <w:adjustRightInd w:val="0"/>
        <w:spacing w:after="0" w:line="288" w:lineRule="auto"/>
        <w:jc w:val="both"/>
        <w:rPr>
          <w:rFonts w:ascii="Arial" w:hAnsi="Arial"/>
          <w:color w:val="FF0000"/>
          <w:sz w:val="18"/>
          <w:szCs w:val="18"/>
          <w:lang w:val="en-US"/>
        </w:rPr>
      </w:pPr>
      <w:r w:rsidRPr="00AD750D">
        <w:rPr>
          <w:rFonts w:ascii="Arial" w:hAnsi="Arial"/>
          <w:sz w:val="18"/>
          <w:szCs w:val="18"/>
          <w:lang w:val="en-US"/>
        </w:rPr>
        <w:t xml:space="preserve">IP was calculated for different PV and wind deployment scenarios (see Table 1) with varied locations, technologies and mix of solar and wind generation. Alternative resilience indices using integrated energy either not-used or not-produced can also be calculated, but for community based resilience it was deemed more appropriate to calculate the proportion of time, rather than energy for which the system is independent. </w:t>
      </w:r>
    </w:p>
    <w:p w14:paraId="0835021E" w14:textId="77777777" w:rsidR="009A0C3A" w:rsidRPr="00AD750D" w:rsidRDefault="009A0C3A" w:rsidP="009A0C3A">
      <w:pPr>
        <w:autoSpaceDE w:val="0"/>
        <w:autoSpaceDN w:val="0"/>
        <w:adjustRightInd w:val="0"/>
        <w:spacing w:after="0" w:line="288" w:lineRule="auto"/>
        <w:jc w:val="both"/>
        <w:rPr>
          <w:rFonts w:ascii="Arial" w:hAnsi="Arial"/>
          <w:sz w:val="18"/>
          <w:szCs w:val="18"/>
        </w:rPr>
      </w:pPr>
      <w:r w:rsidRPr="00AD750D">
        <w:rPr>
          <w:rFonts w:ascii="Arial" w:hAnsi="Arial"/>
          <w:sz w:val="18"/>
          <w:szCs w:val="18"/>
          <w:lang w:val="en-US"/>
        </w:rPr>
        <w:t xml:space="preserve">However, in addition to the deployment of solar and PV, battery (Lead acid (PBA) and Lithium ion (LION)) and pumped hydro storage was incorporated into the model. Building on existing resources indicated by the participating residents, the pumped hydro storage was proposed through the adaptation of a cylindrical water storage tank sited at the top of the steep south-facing slope of the Stocksbridge valley (see location D in figure S1). In the case of storage being included, a time step simulation was used where half hourly overproduction of energy was stored for use at times of under production. Loss of load and loss of energy then occur only once the battery is either depleted or fully charged. The additional energy losses for the charging and discharging processes were calculated as appropriate for the particular storage technologies </w:t>
      </w:r>
      <w:r w:rsidRPr="00AD750D">
        <w:rPr>
          <w:rFonts w:ascii="Arial" w:hAnsi="Arial"/>
          <w:sz w:val="18"/>
          <w:szCs w:val="18"/>
        </w:rPr>
        <w:t xml:space="preserve">(self-citation to be inserted after review). </w:t>
      </w:r>
    </w:p>
    <w:p w14:paraId="749EFD74"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p>
    <w:p w14:paraId="126E5310"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r w:rsidRPr="00AD750D">
        <w:rPr>
          <w:rFonts w:ascii="Arial" w:hAnsi="Arial"/>
          <w:sz w:val="18"/>
          <w:szCs w:val="18"/>
          <w:lang w:val="en-US"/>
        </w:rPr>
        <w:t xml:space="preserve">The incorporation of energy storage brought the additional problem of how to optimize the size of storage for a particular deployment scenario (see table S1). Optimization was done by considering the overall lifecycle energy costs (the embodied energy of a particular scenario) compared with the local energy generated and then used in a particular scenario. For different deployment scenarios and different storage sizes, along with the calculation of independence proportion (IP), the lifecycle data was used to calculate an energy return on investment (EROI) for the particular scenario. </w:t>
      </w:r>
    </w:p>
    <w:p w14:paraId="2D755379" w14:textId="77777777" w:rsidR="009A0C3A" w:rsidRPr="009A0C3A" w:rsidRDefault="009A0C3A" w:rsidP="009A0C3A">
      <w:pPr>
        <w:autoSpaceDE w:val="0"/>
        <w:autoSpaceDN w:val="0"/>
        <w:adjustRightInd w:val="0"/>
        <w:spacing w:after="0" w:line="288" w:lineRule="auto"/>
        <w:jc w:val="both"/>
        <w:rPr>
          <w:sz w:val="16"/>
          <w:szCs w:val="16"/>
          <w:lang w:val="en-US"/>
        </w:rPr>
      </w:pPr>
    </w:p>
    <w:p w14:paraId="09100773" w14:textId="77777777" w:rsidR="009A0C3A" w:rsidRPr="009A0C3A" w:rsidRDefault="009A0C3A" w:rsidP="009A0C3A">
      <w:pPr>
        <w:autoSpaceDE w:val="0"/>
        <w:autoSpaceDN w:val="0"/>
        <w:adjustRightInd w:val="0"/>
        <w:spacing w:after="0" w:line="288" w:lineRule="auto"/>
        <w:jc w:val="both"/>
        <w:rPr>
          <w:lang w:val="en-US"/>
        </w:rPr>
      </w:pPr>
      <m:oMath>
        <m:r>
          <w:rPr>
            <w:rFonts w:ascii="Cambria Math" w:hAnsi="Cambria Math"/>
            <w:lang w:val="en-US"/>
          </w:rPr>
          <m:t>EROI=</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used</m:t>
                </m:r>
              </m:sub>
            </m:sSub>
          </m:num>
          <m:den>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in</m:t>
                </m:r>
              </m:sub>
            </m:s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G</m:t>
                </m:r>
              </m:sub>
            </m:sSub>
          </m:den>
        </m:f>
      </m:oMath>
      <w:r w:rsidRPr="009A0C3A">
        <w:rPr>
          <w:rFonts w:eastAsiaTheme="minorEastAsia"/>
          <w:lang w:val="en-US"/>
        </w:rPr>
        <w:tab/>
      </w:r>
      <w:r w:rsidRPr="009A0C3A">
        <w:rPr>
          <w:rFonts w:eastAsiaTheme="minorEastAsia"/>
          <w:lang w:val="en-US"/>
        </w:rPr>
        <w:tab/>
      </w:r>
      <w:r w:rsidRPr="009A0C3A">
        <w:rPr>
          <w:rFonts w:eastAsiaTheme="minorEastAsia"/>
          <w:lang w:val="en-US"/>
        </w:rPr>
        <w:tab/>
      </w:r>
      <w:r w:rsidRPr="009A0C3A">
        <w:rPr>
          <w:rFonts w:eastAsiaTheme="minorEastAsia"/>
          <w:lang w:val="en-US"/>
        </w:rPr>
        <w:tab/>
        <w:t>[2]</w:t>
      </w:r>
    </w:p>
    <w:p w14:paraId="46FA8CFC" w14:textId="77777777" w:rsidR="009A0C3A" w:rsidRPr="009A0C3A" w:rsidRDefault="009A0C3A" w:rsidP="009A0C3A">
      <w:pPr>
        <w:autoSpaceDE w:val="0"/>
        <w:autoSpaceDN w:val="0"/>
        <w:adjustRightInd w:val="0"/>
        <w:spacing w:after="0" w:line="288" w:lineRule="auto"/>
        <w:jc w:val="both"/>
        <w:rPr>
          <w:rFonts w:eastAsiaTheme="minorEastAsia"/>
          <w:sz w:val="16"/>
          <w:szCs w:val="16"/>
          <w:lang w:val="en-US"/>
        </w:rPr>
      </w:pPr>
    </w:p>
    <w:p w14:paraId="14FF80F5" w14:textId="77777777" w:rsidR="009A0C3A" w:rsidRPr="00AD750D" w:rsidRDefault="009A0C3A" w:rsidP="009A0C3A">
      <w:pPr>
        <w:autoSpaceDE w:val="0"/>
        <w:autoSpaceDN w:val="0"/>
        <w:adjustRightInd w:val="0"/>
        <w:spacing w:after="0" w:line="288" w:lineRule="auto"/>
        <w:jc w:val="both"/>
        <w:rPr>
          <w:rFonts w:ascii="Arial" w:eastAsiaTheme="minorEastAsia" w:hAnsi="Arial"/>
          <w:sz w:val="18"/>
          <w:szCs w:val="18"/>
          <w:lang w:val="en-US"/>
        </w:rPr>
      </w:pPr>
      <w:r w:rsidRPr="00AD750D">
        <w:rPr>
          <w:rFonts w:ascii="Arial" w:eastAsiaTheme="minorEastAsia" w:hAnsi="Arial"/>
          <w:sz w:val="18"/>
          <w:szCs w:val="18"/>
          <w:lang w:val="en-US"/>
        </w:rPr>
        <w:t xml:space="preserve">Where </w:t>
      </w:r>
      <w:r w:rsidRPr="00AD750D">
        <w:rPr>
          <w:rFonts w:ascii="Arial" w:eastAsiaTheme="minorEastAsia" w:hAnsi="Arial" w:cs="Times New Roman"/>
          <w:i/>
          <w:sz w:val="18"/>
          <w:szCs w:val="18"/>
          <w:lang w:val="en-US"/>
        </w:rPr>
        <w:t>E</w:t>
      </w:r>
      <w:r w:rsidRPr="00AD750D">
        <w:rPr>
          <w:rFonts w:ascii="Arial" w:eastAsiaTheme="minorEastAsia" w:hAnsi="Arial" w:cs="Times New Roman"/>
          <w:i/>
          <w:sz w:val="18"/>
          <w:szCs w:val="18"/>
          <w:vertAlign w:val="subscript"/>
          <w:lang w:val="en-US"/>
        </w:rPr>
        <w:t>used</w:t>
      </w:r>
      <w:r w:rsidRPr="00AD750D">
        <w:rPr>
          <w:rFonts w:ascii="Arial" w:eastAsiaTheme="minorEastAsia" w:hAnsi="Arial"/>
          <w:sz w:val="18"/>
          <w:szCs w:val="18"/>
          <w:vertAlign w:val="subscript"/>
          <w:lang w:val="en-US"/>
        </w:rPr>
        <w:t xml:space="preserve"> </w:t>
      </w:r>
      <w:r w:rsidRPr="00AD750D">
        <w:rPr>
          <w:rFonts w:ascii="Arial" w:eastAsiaTheme="minorEastAsia" w:hAnsi="Arial"/>
          <w:sz w:val="18"/>
          <w:szCs w:val="18"/>
          <w:lang w:val="en-US"/>
        </w:rPr>
        <w:t xml:space="preserve"> is the energy used locally, </w:t>
      </w:r>
      <w:r w:rsidRPr="00AD750D">
        <w:rPr>
          <w:rFonts w:ascii="Arial" w:eastAsiaTheme="minorEastAsia" w:hAnsi="Arial" w:cs="Times New Roman"/>
          <w:i/>
          <w:sz w:val="18"/>
          <w:szCs w:val="18"/>
          <w:lang w:val="en-US"/>
        </w:rPr>
        <w:t>E</w:t>
      </w:r>
      <w:r w:rsidRPr="00AD750D">
        <w:rPr>
          <w:rFonts w:ascii="Arial" w:eastAsiaTheme="minorEastAsia" w:hAnsi="Arial" w:cs="Times New Roman"/>
          <w:i/>
          <w:sz w:val="18"/>
          <w:szCs w:val="18"/>
          <w:vertAlign w:val="subscript"/>
          <w:lang w:val="en-US"/>
        </w:rPr>
        <w:t>in</w:t>
      </w:r>
      <w:r w:rsidRPr="00AD750D">
        <w:rPr>
          <w:rFonts w:ascii="Arial" w:eastAsiaTheme="minorEastAsia" w:hAnsi="Arial"/>
          <w:sz w:val="18"/>
          <w:szCs w:val="18"/>
          <w:vertAlign w:val="subscript"/>
          <w:lang w:val="en-US"/>
        </w:rPr>
        <w:t xml:space="preserve"> </w:t>
      </w:r>
      <w:r w:rsidRPr="00AD750D">
        <w:rPr>
          <w:rFonts w:ascii="Arial" w:eastAsiaTheme="minorEastAsia" w:hAnsi="Arial"/>
          <w:sz w:val="18"/>
          <w:szCs w:val="18"/>
          <w:lang w:val="en-US"/>
        </w:rPr>
        <w:t xml:space="preserve"> is the lifecycle embodied energy and </w:t>
      </w:r>
      <w:r w:rsidRPr="00AD750D">
        <w:rPr>
          <w:rFonts w:ascii="Arial" w:eastAsiaTheme="minorEastAsia" w:hAnsi="Arial" w:cs="Times New Roman"/>
          <w:i/>
          <w:sz w:val="18"/>
          <w:szCs w:val="18"/>
          <w:lang w:val="en-US"/>
        </w:rPr>
        <w:t>n</w:t>
      </w:r>
      <w:r w:rsidRPr="00AD750D">
        <w:rPr>
          <w:rFonts w:ascii="Arial" w:eastAsiaTheme="minorEastAsia" w:hAnsi="Arial" w:cs="Times New Roman"/>
          <w:i/>
          <w:sz w:val="18"/>
          <w:szCs w:val="18"/>
          <w:vertAlign w:val="subscript"/>
          <w:lang w:val="en-US"/>
        </w:rPr>
        <w:t>G</w:t>
      </w:r>
      <w:r w:rsidRPr="00AD750D">
        <w:rPr>
          <w:rFonts w:ascii="Arial" w:eastAsiaTheme="minorEastAsia" w:hAnsi="Arial"/>
          <w:sz w:val="18"/>
          <w:szCs w:val="18"/>
          <w:vertAlign w:val="subscript"/>
          <w:lang w:val="en-US"/>
        </w:rPr>
        <w:t xml:space="preserve">  </w:t>
      </w:r>
      <w:r w:rsidRPr="00AD750D">
        <w:rPr>
          <w:rFonts w:ascii="Arial" w:eastAsiaTheme="minorEastAsia" w:hAnsi="Arial"/>
          <w:sz w:val="18"/>
          <w:szCs w:val="18"/>
          <w:lang w:val="en-US"/>
        </w:rPr>
        <w:t xml:space="preserve">is the average efficiency of the EU-25 electricity grid </w:t>
      </w:r>
      <w:r w:rsidRPr="00AD750D">
        <w:rPr>
          <w:rFonts w:ascii="Arial" w:eastAsiaTheme="minorEastAsia" w:hAnsi="Arial"/>
          <w:sz w:val="18"/>
          <w:szCs w:val="18"/>
          <w:lang w:val="en-US"/>
        </w:rPr>
        <w:fldChar w:fldCharType="begin"/>
      </w:r>
      <w:r w:rsidRPr="00AD750D">
        <w:rPr>
          <w:rFonts w:ascii="Arial" w:eastAsiaTheme="minorEastAsia" w:hAnsi="Arial"/>
          <w:sz w:val="18"/>
          <w:szCs w:val="18"/>
          <w:lang w:val="en-US"/>
        </w:rPr>
        <w:instrText xml:space="preserve"> ADDIN EN.CITE &lt;EndNote&gt;&lt;Cite&gt;&lt;Author&gt;Raugei&lt;/Author&gt;&lt;Year&gt;2012&lt;/Year&gt;&lt;RecNum&gt;347&lt;/RecNum&gt;&lt;DisplayText&gt;(Raugei, Fullana-i-Palmer, &amp;amp; Fthenakis, 2012)&lt;/DisplayText&gt;&lt;record&gt;&lt;rec-number&gt;347&lt;/rec-number&gt;&lt;foreign-keys&gt;&lt;key app="EN" db-id="zpxf2xwtkpartte55p6vas5eprzxf9vd92pa" timestamp="1452186184"&gt;347&lt;/key&gt;&lt;/foreign-keys&gt;&lt;ref-type name="Journal Article"&gt;17&lt;/ref-type&gt;&lt;contributors&gt;&lt;authors&gt;&lt;author&gt;Raugei, Marco&lt;/author&gt;&lt;author&gt;Fullana-i-Palmer, Pere&lt;/author&gt;&lt;author&gt;Fthenakis, Vasilis&lt;/author&gt;&lt;/authors&gt;&lt;/contributors&gt;&lt;titles&gt;&lt;title&gt;The energy return on energy investment (EROI) of photovoltaics: Methodology and comparisons with fossil fuel life cycles&lt;/title&gt;&lt;secondary-title&gt;Energy Policy&lt;/secondary-title&gt;&lt;/titles&gt;&lt;periodical&gt;&lt;full-title&gt;Energy policy&lt;/full-title&gt;&lt;/periodical&gt;&lt;pages&gt;576-582&lt;/pages&gt;&lt;volume&gt;45&lt;/volume&gt;&lt;dates&gt;&lt;year&gt;2012&lt;/year&gt;&lt;/dates&gt;&lt;isbn&gt;0301-4215&lt;/isbn&gt;&lt;urls&gt;&lt;/urls&gt;&lt;/record&gt;&lt;/Cite&gt;&lt;/EndNote&gt;</w:instrText>
      </w:r>
      <w:r w:rsidRPr="00AD750D">
        <w:rPr>
          <w:rFonts w:ascii="Arial" w:eastAsiaTheme="minorEastAsia" w:hAnsi="Arial"/>
          <w:sz w:val="18"/>
          <w:szCs w:val="18"/>
          <w:lang w:val="en-US"/>
        </w:rPr>
        <w:fldChar w:fldCharType="separate"/>
      </w:r>
      <w:r w:rsidRPr="00AD750D">
        <w:rPr>
          <w:rFonts w:ascii="Arial" w:eastAsiaTheme="minorEastAsia" w:hAnsi="Arial"/>
          <w:noProof/>
          <w:sz w:val="18"/>
          <w:szCs w:val="18"/>
          <w:lang w:val="en-US"/>
        </w:rPr>
        <w:t>(Raugei, Fullana-i-Palmer, &amp; Fthenakis, 2012)</w:t>
      </w:r>
      <w:r w:rsidRPr="00AD750D">
        <w:rPr>
          <w:rFonts w:ascii="Arial" w:eastAsiaTheme="minorEastAsia" w:hAnsi="Arial"/>
          <w:sz w:val="18"/>
          <w:szCs w:val="18"/>
          <w:lang w:val="en-US"/>
        </w:rPr>
        <w:fldChar w:fldCharType="end"/>
      </w:r>
      <w:r w:rsidRPr="00AD750D">
        <w:rPr>
          <w:rFonts w:ascii="Arial" w:eastAsiaTheme="minorEastAsia" w:hAnsi="Arial"/>
          <w:sz w:val="18"/>
          <w:szCs w:val="18"/>
          <w:lang w:val="en-US"/>
        </w:rPr>
        <w:t xml:space="preserve"> (to scale the embodied energy used to </w:t>
      </w:r>
      <w:r w:rsidRPr="00AD750D">
        <w:rPr>
          <w:rFonts w:ascii="Arial" w:eastAsiaTheme="minorEastAsia" w:hAnsi="Arial"/>
          <w:sz w:val="18"/>
          <w:szCs w:val="18"/>
          <w:lang w:val="en-US"/>
        </w:rPr>
        <w:lastRenderedPageBreak/>
        <w:t>produce the technology appropriately; the scaling does not affect the size of the storage capacity determined through the optimization).</w:t>
      </w:r>
    </w:p>
    <w:p w14:paraId="2902EF94" w14:textId="77777777" w:rsidR="009A0C3A" w:rsidRPr="009A0C3A" w:rsidRDefault="009A0C3A" w:rsidP="009A0C3A">
      <w:pPr>
        <w:autoSpaceDE w:val="0"/>
        <w:autoSpaceDN w:val="0"/>
        <w:adjustRightInd w:val="0"/>
        <w:spacing w:after="0" w:line="288" w:lineRule="auto"/>
        <w:jc w:val="both"/>
        <w:rPr>
          <w:sz w:val="16"/>
          <w:szCs w:val="16"/>
          <w:lang w:val="en-US"/>
        </w:rPr>
      </w:pPr>
    </w:p>
    <w:p w14:paraId="70ADB98F" w14:textId="77777777" w:rsidR="009A0C3A" w:rsidRPr="009A0C3A" w:rsidRDefault="009A0C3A" w:rsidP="009A0C3A">
      <w:pPr>
        <w:autoSpaceDE w:val="0"/>
        <w:autoSpaceDN w:val="0"/>
        <w:adjustRightInd w:val="0"/>
        <w:spacing w:after="0" w:line="288" w:lineRule="auto"/>
        <w:jc w:val="both"/>
        <w:rPr>
          <w:sz w:val="16"/>
          <w:szCs w:val="16"/>
          <w:lang w:val="en-US"/>
        </w:rPr>
      </w:pPr>
      <w:r w:rsidRPr="009A0C3A">
        <w:rPr>
          <w:sz w:val="16"/>
          <w:szCs w:val="16"/>
        </w:rPr>
        <w:object w:dxaOrig="10473" w:dyaOrig="5664" w14:anchorId="645FE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244pt" o:ole="">
            <v:imagedata r:id="rId11" o:title=""/>
          </v:shape>
          <o:OLEObject Type="Embed" ProgID="CorelPHOTOPAINT.Image.17" ShapeID="_x0000_i1025" DrawAspect="Content" ObjectID="_1529492251" r:id="rId12"/>
        </w:object>
      </w:r>
    </w:p>
    <w:p w14:paraId="53B49703"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r w:rsidRPr="00AD750D">
        <w:rPr>
          <w:rFonts w:ascii="Arial" w:hAnsi="Arial"/>
          <w:b/>
          <w:sz w:val="18"/>
          <w:szCs w:val="18"/>
          <w:lang w:val="en-US"/>
        </w:rPr>
        <w:t>Figure S1.</w:t>
      </w:r>
      <w:r w:rsidRPr="00AD750D">
        <w:rPr>
          <w:rFonts w:ascii="Arial" w:hAnsi="Arial"/>
          <w:sz w:val="18"/>
          <w:szCs w:val="18"/>
          <w:lang w:val="en-US"/>
        </w:rPr>
        <w:t xml:space="preserve"> Aerial photograph of Stocksbridge town showing different deployment locations. A – Locations for PV roofs, B – locations for wind turbines, C- locations for PV fields, D – location of pumped hydro storage. Reproduced from Google maps. </w:t>
      </w:r>
    </w:p>
    <w:p w14:paraId="521235DD"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p>
    <w:p w14:paraId="1FA94F15"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p>
    <w:p w14:paraId="3D4B8C68" w14:textId="7694E660" w:rsidR="009A0C3A" w:rsidRPr="00AD750D" w:rsidRDefault="009A0C3A" w:rsidP="009A0C3A">
      <w:pPr>
        <w:autoSpaceDE w:val="0"/>
        <w:autoSpaceDN w:val="0"/>
        <w:adjustRightInd w:val="0"/>
        <w:spacing w:after="0" w:line="288" w:lineRule="auto"/>
        <w:jc w:val="both"/>
        <w:rPr>
          <w:rFonts w:ascii="Arial" w:hAnsi="Arial"/>
          <w:sz w:val="18"/>
          <w:szCs w:val="18"/>
          <w:lang w:val="en-US"/>
        </w:rPr>
      </w:pPr>
      <w:r w:rsidRPr="00AD750D">
        <w:rPr>
          <w:rFonts w:ascii="Arial" w:hAnsi="Arial"/>
          <w:b/>
          <w:sz w:val="18"/>
          <w:szCs w:val="18"/>
          <w:lang w:val="en-US"/>
        </w:rPr>
        <w:t>Table S1</w:t>
      </w:r>
      <w:r w:rsidRPr="00AD750D">
        <w:rPr>
          <w:rFonts w:ascii="Arial" w:hAnsi="Arial"/>
          <w:sz w:val="18"/>
          <w:szCs w:val="18"/>
          <w:lang w:val="en-US"/>
        </w:rPr>
        <w:t>. Technology deployment scenarios. The maximum possible deployment capacity of the different available technologies are shown, however the actual deployment of the technology mix was optimized for each scenario for different capacities and storage contributions as described in the text and table 2.</w:t>
      </w:r>
    </w:p>
    <w:p w14:paraId="165638F7"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p>
    <w:tbl>
      <w:tblPr>
        <w:tblStyle w:val="LightShading"/>
        <w:tblW w:w="0" w:type="auto"/>
        <w:shd w:val="clear" w:color="auto" w:fill="FFFFFF" w:themeFill="background1"/>
        <w:tblLook w:val="04A0" w:firstRow="1" w:lastRow="0" w:firstColumn="1" w:lastColumn="0" w:noHBand="0" w:noVBand="1"/>
      </w:tblPr>
      <w:tblGrid>
        <w:gridCol w:w="3361"/>
        <w:gridCol w:w="991"/>
        <w:gridCol w:w="991"/>
        <w:gridCol w:w="1133"/>
        <w:gridCol w:w="1133"/>
        <w:gridCol w:w="1417"/>
      </w:tblGrid>
      <w:tr w:rsidR="009A0C3A" w:rsidRPr="00AD750D" w14:paraId="2309F7C3" w14:textId="77777777" w:rsidTr="009A0C3A">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361" w:type="dxa"/>
            <w:tcBorders>
              <w:top w:val="nil"/>
              <w:bottom w:val="double" w:sz="4" w:space="0" w:color="auto"/>
            </w:tcBorders>
            <w:shd w:val="clear" w:color="auto" w:fill="FFFFFF" w:themeFill="background1"/>
          </w:tcPr>
          <w:p w14:paraId="04D424A4" w14:textId="77777777" w:rsidR="009A0C3A" w:rsidRPr="00AD750D" w:rsidRDefault="009A0C3A" w:rsidP="009A0C3A">
            <w:pPr>
              <w:autoSpaceDE w:val="0"/>
              <w:autoSpaceDN w:val="0"/>
              <w:adjustRightInd w:val="0"/>
              <w:spacing w:after="160" w:line="288" w:lineRule="auto"/>
              <w:jc w:val="both"/>
              <w:rPr>
                <w:rFonts w:ascii="Arial" w:hAnsi="Arial"/>
                <w:sz w:val="18"/>
                <w:szCs w:val="18"/>
                <w:lang w:val="en-US"/>
              </w:rPr>
            </w:pPr>
            <w:r w:rsidRPr="00AD750D">
              <w:rPr>
                <w:rFonts w:ascii="Arial" w:hAnsi="Arial"/>
                <w:sz w:val="18"/>
                <w:szCs w:val="18"/>
                <w:lang w:val="en-US"/>
              </w:rPr>
              <w:t xml:space="preserve">Maximum capacities </w:t>
            </w:r>
          </w:p>
          <w:p w14:paraId="598E50F0" w14:textId="77777777" w:rsidR="009A0C3A" w:rsidRPr="00AD750D" w:rsidRDefault="009A0C3A" w:rsidP="009A0C3A">
            <w:pPr>
              <w:autoSpaceDE w:val="0"/>
              <w:autoSpaceDN w:val="0"/>
              <w:adjustRightInd w:val="0"/>
              <w:spacing w:after="160" w:line="288" w:lineRule="auto"/>
              <w:jc w:val="both"/>
              <w:rPr>
                <w:rFonts w:ascii="Arial" w:hAnsi="Arial"/>
                <w:sz w:val="18"/>
                <w:szCs w:val="18"/>
                <w:lang w:val="en-US"/>
              </w:rPr>
            </w:pPr>
            <w:r w:rsidRPr="00AD750D">
              <w:rPr>
                <w:rFonts w:ascii="Arial" w:hAnsi="Arial"/>
                <w:sz w:val="18"/>
                <w:szCs w:val="18"/>
                <w:lang w:val="en-US"/>
              </w:rPr>
              <w:t>Scenarios</w:t>
            </w:r>
          </w:p>
        </w:tc>
        <w:tc>
          <w:tcPr>
            <w:tcW w:w="991" w:type="dxa"/>
            <w:tcBorders>
              <w:top w:val="nil"/>
              <w:bottom w:val="double" w:sz="4" w:space="0" w:color="auto"/>
            </w:tcBorders>
            <w:shd w:val="clear" w:color="auto" w:fill="FFFFFF" w:themeFill="background1"/>
          </w:tcPr>
          <w:p w14:paraId="43C3EB38" w14:textId="77777777" w:rsidR="009A0C3A" w:rsidRPr="00AD750D" w:rsidRDefault="009A0C3A" w:rsidP="009A0C3A">
            <w:pPr>
              <w:autoSpaceDE w:val="0"/>
              <w:autoSpaceDN w:val="0"/>
              <w:adjustRightInd w:val="0"/>
              <w:spacing w:after="160"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Wind / MWp</w:t>
            </w:r>
          </w:p>
        </w:tc>
        <w:tc>
          <w:tcPr>
            <w:tcW w:w="991" w:type="dxa"/>
            <w:tcBorders>
              <w:top w:val="nil"/>
              <w:bottom w:val="double" w:sz="4" w:space="0" w:color="auto"/>
            </w:tcBorders>
            <w:shd w:val="clear" w:color="auto" w:fill="FFFFFF" w:themeFill="background1"/>
          </w:tcPr>
          <w:p w14:paraId="4E2389A0" w14:textId="77777777" w:rsidR="009A0C3A" w:rsidRPr="00AD750D" w:rsidRDefault="009A0C3A" w:rsidP="009A0C3A">
            <w:pPr>
              <w:autoSpaceDE w:val="0"/>
              <w:autoSpaceDN w:val="0"/>
              <w:adjustRightInd w:val="0"/>
              <w:spacing w:after="160"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PV roofs / MWp</w:t>
            </w:r>
          </w:p>
        </w:tc>
        <w:tc>
          <w:tcPr>
            <w:tcW w:w="1133" w:type="dxa"/>
            <w:tcBorders>
              <w:top w:val="nil"/>
              <w:bottom w:val="double" w:sz="4" w:space="0" w:color="auto"/>
            </w:tcBorders>
            <w:shd w:val="clear" w:color="auto" w:fill="FFFFFF" w:themeFill="background1"/>
          </w:tcPr>
          <w:p w14:paraId="4463A780" w14:textId="77777777" w:rsidR="009A0C3A" w:rsidRPr="00AD750D" w:rsidRDefault="009A0C3A" w:rsidP="009A0C3A">
            <w:pPr>
              <w:autoSpaceDE w:val="0"/>
              <w:autoSpaceDN w:val="0"/>
              <w:adjustRightInd w:val="0"/>
              <w:spacing w:after="160"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PV fields / MWp</w:t>
            </w:r>
          </w:p>
        </w:tc>
        <w:tc>
          <w:tcPr>
            <w:tcW w:w="1133" w:type="dxa"/>
            <w:tcBorders>
              <w:top w:val="nil"/>
              <w:bottom w:val="double" w:sz="4" w:space="0" w:color="auto"/>
            </w:tcBorders>
            <w:shd w:val="clear" w:color="auto" w:fill="FFFFFF" w:themeFill="background1"/>
          </w:tcPr>
          <w:p w14:paraId="3E1DB450" w14:textId="77777777" w:rsidR="009A0C3A" w:rsidRPr="00AD750D" w:rsidRDefault="009A0C3A" w:rsidP="009A0C3A">
            <w:pPr>
              <w:autoSpaceDE w:val="0"/>
              <w:autoSpaceDN w:val="0"/>
              <w:adjustRightInd w:val="0"/>
              <w:spacing w:after="160"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Total land use / Ha</w:t>
            </w:r>
          </w:p>
        </w:tc>
        <w:tc>
          <w:tcPr>
            <w:tcW w:w="1417" w:type="dxa"/>
            <w:tcBorders>
              <w:top w:val="nil"/>
              <w:bottom w:val="double" w:sz="4" w:space="0" w:color="auto"/>
            </w:tcBorders>
            <w:shd w:val="clear" w:color="auto" w:fill="FFFFFF" w:themeFill="background1"/>
          </w:tcPr>
          <w:p w14:paraId="149B4099" w14:textId="77777777" w:rsidR="009A0C3A" w:rsidRPr="00AD750D" w:rsidRDefault="009A0C3A" w:rsidP="009A0C3A">
            <w:pPr>
              <w:autoSpaceDE w:val="0"/>
              <w:autoSpaceDN w:val="0"/>
              <w:adjustRightInd w:val="0"/>
              <w:spacing w:after="160"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Total capacity / MWp</w:t>
            </w:r>
          </w:p>
        </w:tc>
      </w:tr>
      <w:tr w:rsidR="009A0C3A" w:rsidRPr="00AD750D" w14:paraId="0C40F057" w14:textId="77777777" w:rsidTr="009A0C3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361" w:type="dxa"/>
            <w:shd w:val="clear" w:color="auto" w:fill="FFFFFF" w:themeFill="background1"/>
          </w:tcPr>
          <w:p w14:paraId="5072C6EF" w14:textId="77777777" w:rsidR="009A0C3A" w:rsidRPr="00AD750D" w:rsidRDefault="009A0C3A" w:rsidP="009A0C3A">
            <w:pPr>
              <w:shd w:val="clear" w:color="auto" w:fill="FFFFFF" w:themeFill="background1"/>
              <w:autoSpaceDE w:val="0"/>
              <w:autoSpaceDN w:val="0"/>
              <w:adjustRightInd w:val="0"/>
              <w:spacing w:after="160" w:line="288" w:lineRule="auto"/>
              <w:jc w:val="both"/>
              <w:rPr>
                <w:rFonts w:ascii="Arial" w:hAnsi="Arial"/>
                <w:sz w:val="18"/>
                <w:szCs w:val="18"/>
                <w:lang w:val="en-US"/>
              </w:rPr>
            </w:pPr>
            <w:r w:rsidRPr="00AD750D">
              <w:rPr>
                <w:rFonts w:ascii="Arial" w:hAnsi="Arial"/>
                <w:sz w:val="18"/>
                <w:szCs w:val="18"/>
                <w:lang w:val="en-US"/>
              </w:rPr>
              <w:t>Wind 1: Small 100 kW turbines</w:t>
            </w:r>
          </w:p>
        </w:tc>
        <w:tc>
          <w:tcPr>
            <w:tcW w:w="991" w:type="dxa"/>
            <w:shd w:val="clear" w:color="auto" w:fill="FFFFFF" w:themeFill="background1"/>
          </w:tcPr>
          <w:p w14:paraId="5E46A985"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7.2</w:t>
            </w:r>
          </w:p>
        </w:tc>
        <w:tc>
          <w:tcPr>
            <w:tcW w:w="991" w:type="dxa"/>
            <w:shd w:val="clear" w:color="auto" w:fill="FFFFFF" w:themeFill="background1"/>
          </w:tcPr>
          <w:p w14:paraId="57E24655"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2</w:t>
            </w:r>
          </w:p>
        </w:tc>
        <w:tc>
          <w:tcPr>
            <w:tcW w:w="1133" w:type="dxa"/>
            <w:shd w:val="clear" w:color="auto" w:fill="FFFFFF" w:themeFill="background1"/>
          </w:tcPr>
          <w:p w14:paraId="1EB0FDC1"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w:t>
            </w:r>
          </w:p>
        </w:tc>
        <w:tc>
          <w:tcPr>
            <w:tcW w:w="1133" w:type="dxa"/>
            <w:shd w:val="clear" w:color="auto" w:fill="FFFFFF" w:themeFill="background1"/>
          </w:tcPr>
          <w:p w14:paraId="0703848C"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49</w:t>
            </w:r>
          </w:p>
        </w:tc>
        <w:tc>
          <w:tcPr>
            <w:tcW w:w="1417" w:type="dxa"/>
            <w:shd w:val="clear" w:color="auto" w:fill="FFFFFF" w:themeFill="background1"/>
          </w:tcPr>
          <w:p w14:paraId="2D00A183"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9.2</w:t>
            </w:r>
          </w:p>
        </w:tc>
      </w:tr>
      <w:tr w:rsidR="009A0C3A" w:rsidRPr="00AD750D" w14:paraId="12518CBD" w14:textId="77777777" w:rsidTr="009A0C3A">
        <w:tc>
          <w:tcPr>
            <w:cnfStyle w:val="001000000000" w:firstRow="0" w:lastRow="0" w:firstColumn="1" w:lastColumn="0" w:oddVBand="0" w:evenVBand="0" w:oddHBand="0" w:evenHBand="0" w:firstRowFirstColumn="0" w:firstRowLastColumn="0" w:lastRowFirstColumn="0" w:lastRowLastColumn="0"/>
            <w:tcW w:w="3361" w:type="dxa"/>
            <w:shd w:val="clear" w:color="auto" w:fill="FFFFFF" w:themeFill="background1"/>
          </w:tcPr>
          <w:p w14:paraId="3250F39A" w14:textId="77777777" w:rsidR="009A0C3A" w:rsidRPr="00AD750D" w:rsidRDefault="009A0C3A" w:rsidP="009A0C3A">
            <w:pPr>
              <w:shd w:val="clear" w:color="auto" w:fill="FFFFFF" w:themeFill="background1"/>
              <w:autoSpaceDE w:val="0"/>
              <w:autoSpaceDN w:val="0"/>
              <w:adjustRightInd w:val="0"/>
              <w:spacing w:after="160" w:line="288" w:lineRule="auto"/>
              <w:jc w:val="both"/>
              <w:rPr>
                <w:rFonts w:ascii="Arial" w:hAnsi="Arial"/>
                <w:sz w:val="18"/>
                <w:szCs w:val="18"/>
                <w:lang w:val="en-US"/>
              </w:rPr>
            </w:pPr>
            <w:r w:rsidRPr="00AD750D">
              <w:rPr>
                <w:rFonts w:ascii="Arial" w:hAnsi="Arial"/>
                <w:sz w:val="18"/>
                <w:szCs w:val="18"/>
                <w:lang w:val="en-US"/>
              </w:rPr>
              <w:t>Wind 2: Medium 500 kW turbines</w:t>
            </w:r>
          </w:p>
        </w:tc>
        <w:tc>
          <w:tcPr>
            <w:tcW w:w="991" w:type="dxa"/>
            <w:shd w:val="clear" w:color="auto" w:fill="FFFFFF" w:themeFill="background1"/>
          </w:tcPr>
          <w:p w14:paraId="669E250C"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10</w:t>
            </w:r>
          </w:p>
        </w:tc>
        <w:tc>
          <w:tcPr>
            <w:tcW w:w="991" w:type="dxa"/>
            <w:shd w:val="clear" w:color="auto" w:fill="FFFFFF" w:themeFill="background1"/>
          </w:tcPr>
          <w:p w14:paraId="5C002FD9"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2</w:t>
            </w:r>
          </w:p>
        </w:tc>
        <w:tc>
          <w:tcPr>
            <w:tcW w:w="1133" w:type="dxa"/>
            <w:shd w:val="clear" w:color="auto" w:fill="FFFFFF" w:themeFill="background1"/>
          </w:tcPr>
          <w:p w14:paraId="0E3886A8"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w:t>
            </w:r>
          </w:p>
        </w:tc>
        <w:tc>
          <w:tcPr>
            <w:tcW w:w="1133" w:type="dxa"/>
            <w:shd w:val="clear" w:color="auto" w:fill="FFFFFF" w:themeFill="background1"/>
          </w:tcPr>
          <w:p w14:paraId="299280F2"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50</w:t>
            </w:r>
          </w:p>
        </w:tc>
        <w:tc>
          <w:tcPr>
            <w:tcW w:w="1417" w:type="dxa"/>
            <w:shd w:val="clear" w:color="auto" w:fill="FFFFFF" w:themeFill="background1"/>
          </w:tcPr>
          <w:p w14:paraId="74699A4E"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12</w:t>
            </w:r>
          </w:p>
        </w:tc>
      </w:tr>
      <w:tr w:rsidR="009A0C3A" w:rsidRPr="00AD750D" w14:paraId="17FC680D" w14:textId="77777777" w:rsidTr="009A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shd w:val="clear" w:color="auto" w:fill="FFFFFF" w:themeFill="background1"/>
          </w:tcPr>
          <w:p w14:paraId="5D90DF70" w14:textId="77777777" w:rsidR="009A0C3A" w:rsidRPr="00AD750D" w:rsidRDefault="009A0C3A" w:rsidP="009A0C3A">
            <w:pPr>
              <w:shd w:val="clear" w:color="auto" w:fill="FFFFFF" w:themeFill="background1"/>
              <w:autoSpaceDE w:val="0"/>
              <w:autoSpaceDN w:val="0"/>
              <w:adjustRightInd w:val="0"/>
              <w:spacing w:after="160" w:line="288" w:lineRule="auto"/>
              <w:jc w:val="both"/>
              <w:rPr>
                <w:rFonts w:ascii="Arial" w:hAnsi="Arial"/>
                <w:sz w:val="18"/>
                <w:szCs w:val="18"/>
                <w:lang w:val="en-US"/>
              </w:rPr>
            </w:pPr>
            <w:r w:rsidRPr="00AD750D">
              <w:rPr>
                <w:rFonts w:ascii="Arial" w:hAnsi="Arial"/>
                <w:sz w:val="18"/>
                <w:szCs w:val="18"/>
                <w:lang w:val="en-US"/>
              </w:rPr>
              <w:t>Wind 3: Large 1.2 MW turbines</w:t>
            </w:r>
          </w:p>
        </w:tc>
        <w:tc>
          <w:tcPr>
            <w:tcW w:w="991" w:type="dxa"/>
            <w:shd w:val="clear" w:color="auto" w:fill="FFFFFF" w:themeFill="background1"/>
          </w:tcPr>
          <w:p w14:paraId="19D8AF0C"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7.2</w:t>
            </w:r>
          </w:p>
        </w:tc>
        <w:tc>
          <w:tcPr>
            <w:tcW w:w="991" w:type="dxa"/>
            <w:shd w:val="clear" w:color="auto" w:fill="FFFFFF" w:themeFill="background1"/>
          </w:tcPr>
          <w:p w14:paraId="28C00D4B"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2</w:t>
            </w:r>
          </w:p>
        </w:tc>
        <w:tc>
          <w:tcPr>
            <w:tcW w:w="1133" w:type="dxa"/>
            <w:shd w:val="clear" w:color="auto" w:fill="FFFFFF" w:themeFill="background1"/>
          </w:tcPr>
          <w:p w14:paraId="6ACAB6FB"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w:t>
            </w:r>
          </w:p>
        </w:tc>
        <w:tc>
          <w:tcPr>
            <w:tcW w:w="1133" w:type="dxa"/>
            <w:shd w:val="clear" w:color="auto" w:fill="FFFFFF" w:themeFill="background1"/>
          </w:tcPr>
          <w:p w14:paraId="7DDAB8FC"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34</w:t>
            </w:r>
          </w:p>
        </w:tc>
        <w:tc>
          <w:tcPr>
            <w:tcW w:w="1417" w:type="dxa"/>
            <w:shd w:val="clear" w:color="auto" w:fill="FFFFFF" w:themeFill="background1"/>
          </w:tcPr>
          <w:p w14:paraId="4AF79ADA"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9.2</w:t>
            </w:r>
          </w:p>
        </w:tc>
      </w:tr>
      <w:tr w:rsidR="009A0C3A" w:rsidRPr="00AD750D" w14:paraId="79E90969" w14:textId="77777777" w:rsidTr="009A0C3A">
        <w:tc>
          <w:tcPr>
            <w:cnfStyle w:val="001000000000" w:firstRow="0" w:lastRow="0" w:firstColumn="1" w:lastColumn="0" w:oddVBand="0" w:evenVBand="0" w:oddHBand="0" w:evenHBand="0" w:firstRowFirstColumn="0" w:firstRowLastColumn="0" w:lastRowFirstColumn="0" w:lastRowLastColumn="0"/>
            <w:tcW w:w="3361" w:type="dxa"/>
            <w:shd w:val="clear" w:color="auto" w:fill="FFFFFF" w:themeFill="background1"/>
          </w:tcPr>
          <w:p w14:paraId="49307FCE" w14:textId="77777777" w:rsidR="009A0C3A" w:rsidRPr="00AD750D" w:rsidRDefault="009A0C3A" w:rsidP="009A0C3A">
            <w:pPr>
              <w:shd w:val="clear" w:color="auto" w:fill="FFFFFF" w:themeFill="background1"/>
              <w:autoSpaceDE w:val="0"/>
              <w:autoSpaceDN w:val="0"/>
              <w:adjustRightInd w:val="0"/>
              <w:spacing w:after="160" w:line="288" w:lineRule="auto"/>
              <w:jc w:val="both"/>
              <w:rPr>
                <w:rFonts w:ascii="Arial" w:hAnsi="Arial"/>
                <w:sz w:val="18"/>
                <w:szCs w:val="18"/>
                <w:lang w:val="en-US"/>
              </w:rPr>
            </w:pPr>
            <w:r w:rsidRPr="00AD750D">
              <w:rPr>
                <w:rFonts w:ascii="Arial" w:hAnsi="Arial"/>
                <w:sz w:val="18"/>
                <w:szCs w:val="18"/>
                <w:lang w:val="en-US"/>
              </w:rPr>
              <w:t>PV (only): Roofs and fields</w:t>
            </w:r>
          </w:p>
        </w:tc>
        <w:tc>
          <w:tcPr>
            <w:tcW w:w="991" w:type="dxa"/>
            <w:shd w:val="clear" w:color="auto" w:fill="FFFFFF" w:themeFill="background1"/>
          </w:tcPr>
          <w:p w14:paraId="64A3EDCE"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w:t>
            </w:r>
          </w:p>
        </w:tc>
        <w:tc>
          <w:tcPr>
            <w:tcW w:w="991" w:type="dxa"/>
            <w:shd w:val="clear" w:color="auto" w:fill="FFFFFF" w:themeFill="background1"/>
          </w:tcPr>
          <w:p w14:paraId="7FE6EE38"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2</w:t>
            </w:r>
          </w:p>
        </w:tc>
        <w:tc>
          <w:tcPr>
            <w:tcW w:w="1133" w:type="dxa"/>
            <w:shd w:val="clear" w:color="auto" w:fill="FFFFFF" w:themeFill="background1"/>
          </w:tcPr>
          <w:p w14:paraId="594DDA3F"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54</w:t>
            </w:r>
          </w:p>
        </w:tc>
        <w:tc>
          <w:tcPr>
            <w:tcW w:w="1133" w:type="dxa"/>
            <w:shd w:val="clear" w:color="auto" w:fill="FFFFFF" w:themeFill="background1"/>
          </w:tcPr>
          <w:p w14:paraId="1ABA7F20"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40</w:t>
            </w:r>
          </w:p>
        </w:tc>
        <w:tc>
          <w:tcPr>
            <w:tcW w:w="1417" w:type="dxa"/>
            <w:shd w:val="clear" w:color="auto" w:fill="FFFFFF" w:themeFill="background1"/>
          </w:tcPr>
          <w:p w14:paraId="7FABB91A"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56</w:t>
            </w:r>
          </w:p>
        </w:tc>
      </w:tr>
      <w:tr w:rsidR="009A0C3A" w:rsidRPr="00AD750D" w14:paraId="0C4F1525" w14:textId="77777777" w:rsidTr="009A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shd w:val="clear" w:color="auto" w:fill="FFFFFF" w:themeFill="background1"/>
          </w:tcPr>
          <w:p w14:paraId="7C1B01CB" w14:textId="77777777" w:rsidR="009A0C3A" w:rsidRPr="00AD750D" w:rsidRDefault="009A0C3A" w:rsidP="009A0C3A">
            <w:pPr>
              <w:shd w:val="clear" w:color="auto" w:fill="FFFFFF" w:themeFill="background1"/>
              <w:autoSpaceDE w:val="0"/>
              <w:autoSpaceDN w:val="0"/>
              <w:adjustRightInd w:val="0"/>
              <w:spacing w:after="160" w:line="288" w:lineRule="auto"/>
              <w:jc w:val="both"/>
              <w:rPr>
                <w:rFonts w:ascii="Arial" w:hAnsi="Arial"/>
                <w:sz w:val="18"/>
                <w:szCs w:val="18"/>
                <w:lang w:val="en-US"/>
              </w:rPr>
            </w:pPr>
            <w:r w:rsidRPr="00AD750D">
              <w:rPr>
                <w:rFonts w:ascii="Arial" w:hAnsi="Arial"/>
                <w:sz w:val="18"/>
                <w:szCs w:val="18"/>
                <w:lang w:val="en-US"/>
              </w:rPr>
              <w:t>Hybrid: PV roofs, fields and 500 kW turbines</w:t>
            </w:r>
          </w:p>
        </w:tc>
        <w:tc>
          <w:tcPr>
            <w:tcW w:w="991" w:type="dxa"/>
            <w:shd w:val="clear" w:color="auto" w:fill="FFFFFF" w:themeFill="background1"/>
          </w:tcPr>
          <w:p w14:paraId="3320C44E"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10</w:t>
            </w:r>
          </w:p>
        </w:tc>
        <w:tc>
          <w:tcPr>
            <w:tcW w:w="991" w:type="dxa"/>
            <w:shd w:val="clear" w:color="auto" w:fill="FFFFFF" w:themeFill="background1"/>
          </w:tcPr>
          <w:p w14:paraId="0B17AC0C"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2</w:t>
            </w:r>
          </w:p>
        </w:tc>
        <w:tc>
          <w:tcPr>
            <w:tcW w:w="1133" w:type="dxa"/>
            <w:shd w:val="clear" w:color="auto" w:fill="FFFFFF" w:themeFill="background1"/>
          </w:tcPr>
          <w:p w14:paraId="262FF551"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13</w:t>
            </w:r>
          </w:p>
        </w:tc>
        <w:tc>
          <w:tcPr>
            <w:tcW w:w="1133" w:type="dxa"/>
            <w:shd w:val="clear" w:color="auto" w:fill="FFFFFF" w:themeFill="background1"/>
          </w:tcPr>
          <w:p w14:paraId="18E2FDAB"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60</w:t>
            </w:r>
          </w:p>
        </w:tc>
        <w:tc>
          <w:tcPr>
            <w:tcW w:w="1417" w:type="dxa"/>
            <w:shd w:val="clear" w:color="auto" w:fill="FFFFFF" w:themeFill="background1"/>
          </w:tcPr>
          <w:p w14:paraId="572A4969" w14:textId="77777777" w:rsidR="009A0C3A" w:rsidRPr="00AD750D" w:rsidRDefault="009A0C3A" w:rsidP="009A0C3A">
            <w:pPr>
              <w:shd w:val="clear" w:color="auto" w:fill="FFFFFF" w:themeFill="background1"/>
              <w:autoSpaceDE w:val="0"/>
              <w:autoSpaceDN w:val="0"/>
              <w:adjustRightInd w:val="0"/>
              <w:spacing w:after="1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25</w:t>
            </w:r>
          </w:p>
        </w:tc>
      </w:tr>
    </w:tbl>
    <w:p w14:paraId="50EAD14E"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p>
    <w:p w14:paraId="5B6C8543" w14:textId="77777777" w:rsidR="009A0C3A" w:rsidRPr="009A0C3A" w:rsidRDefault="009A0C3A" w:rsidP="009A0C3A">
      <w:pPr>
        <w:autoSpaceDE w:val="0"/>
        <w:autoSpaceDN w:val="0"/>
        <w:adjustRightInd w:val="0"/>
        <w:spacing w:after="0" w:line="288" w:lineRule="auto"/>
        <w:jc w:val="both"/>
        <w:rPr>
          <w:sz w:val="16"/>
          <w:szCs w:val="16"/>
          <w:lang w:val="en-US"/>
        </w:rPr>
      </w:pPr>
    </w:p>
    <w:p w14:paraId="6D4132B4" w14:textId="77777777" w:rsidR="009A0C3A" w:rsidRPr="009A0C3A" w:rsidRDefault="009A0C3A" w:rsidP="009A0C3A">
      <w:pPr>
        <w:spacing w:line="288" w:lineRule="auto"/>
        <w:rPr>
          <w:sz w:val="16"/>
          <w:szCs w:val="16"/>
          <w:lang w:val="en-US"/>
        </w:rPr>
      </w:pPr>
      <w:r w:rsidRPr="009A0C3A">
        <w:rPr>
          <w:sz w:val="16"/>
          <w:szCs w:val="16"/>
          <w:lang w:val="en-US"/>
        </w:rPr>
        <w:br w:type="page"/>
      </w:r>
    </w:p>
    <w:p w14:paraId="79431BA6" w14:textId="6E033A92" w:rsidR="009A0C3A" w:rsidRPr="00AD750D" w:rsidRDefault="009A0C3A" w:rsidP="009A0C3A">
      <w:pPr>
        <w:autoSpaceDE w:val="0"/>
        <w:autoSpaceDN w:val="0"/>
        <w:adjustRightInd w:val="0"/>
        <w:spacing w:after="0" w:line="288" w:lineRule="auto"/>
        <w:jc w:val="both"/>
        <w:rPr>
          <w:rFonts w:ascii="Arial" w:hAnsi="Arial"/>
          <w:sz w:val="18"/>
          <w:szCs w:val="18"/>
          <w:lang w:val="en-US"/>
        </w:rPr>
      </w:pPr>
      <w:r w:rsidRPr="00AD750D">
        <w:rPr>
          <w:rFonts w:ascii="Arial" w:hAnsi="Arial"/>
          <w:b/>
          <w:sz w:val="18"/>
          <w:szCs w:val="18"/>
          <w:lang w:val="en-US"/>
        </w:rPr>
        <w:lastRenderedPageBreak/>
        <w:t>Table S2.</w:t>
      </w:r>
      <w:r w:rsidRPr="00AD750D">
        <w:rPr>
          <w:rFonts w:ascii="Arial" w:hAnsi="Arial"/>
          <w:sz w:val="18"/>
          <w:szCs w:val="18"/>
          <w:lang w:val="en-US"/>
        </w:rPr>
        <w:t xml:space="preserve"> Operating characteristics of the different storage technologies considered.</w:t>
      </w:r>
    </w:p>
    <w:p w14:paraId="1E889DAD"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p>
    <w:tbl>
      <w:tblPr>
        <w:tblStyle w:val="LightShading"/>
        <w:tblW w:w="0" w:type="auto"/>
        <w:shd w:val="clear" w:color="auto" w:fill="FFFFFF" w:themeFill="background1"/>
        <w:tblLook w:val="04A0" w:firstRow="1" w:lastRow="0" w:firstColumn="1" w:lastColumn="0" w:noHBand="0" w:noVBand="1"/>
      </w:tblPr>
      <w:tblGrid>
        <w:gridCol w:w="3004"/>
        <w:gridCol w:w="2067"/>
        <w:gridCol w:w="1940"/>
        <w:gridCol w:w="2015"/>
      </w:tblGrid>
      <w:tr w:rsidR="009A0C3A" w:rsidRPr="00AD750D" w14:paraId="5CFADE38" w14:textId="77777777" w:rsidTr="009A0C3A">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004" w:type="dxa"/>
            <w:tcBorders>
              <w:top w:val="nil"/>
              <w:bottom w:val="double" w:sz="4" w:space="0" w:color="auto"/>
            </w:tcBorders>
            <w:shd w:val="clear" w:color="auto" w:fill="FFFFFF" w:themeFill="background1"/>
          </w:tcPr>
          <w:p w14:paraId="7A15BEC0"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p>
          <w:p w14:paraId="2F43C1D7"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p>
        </w:tc>
        <w:tc>
          <w:tcPr>
            <w:tcW w:w="2067" w:type="dxa"/>
            <w:tcBorders>
              <w:top w:val="nil"/>
              <w:bottom w:val="double" w:sz="4" w:space="0" w:color="auto"/>
            </w:tcBorders>
            <w:shd w:val="clear" w:color="auto" w:fill="FFFFFF" w:themeFill="background1"/>
          </w:tcPr>
          <w:p w14:paraId="557012C5"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 xml:space="preserve">Lead acid </w:t>
            </w:r>
          </w:p>
          <w:p w14:paraId="478CFC36"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(PbA)</w:t>
            </w:r>
          </w:p>
        </w:tc>
        <w:tc>
          <w:tcPr>
            <w:tcW w:w="1940" w:type="dxa"/>
            <w:tcBorders>
              <w:top w:val="nil"/>
              <w:bottom w:val="double" w:sz="4" w:space="0" w:color="auto"/>
            </w:tcBorders>
            <w:shd w:val="clear" w:color="auto" w:fill="FFFFFF" w:themeFill="background1"/>
          </w:tcPr>
          <w:p w14:paraId="06B48BFF"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 xml:space="preserve">Lithium ion </w:t>
            </w:r>
          </w:p>
          <w:p w14:paraId="576B6A16"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(Li-ion)</w:t>
            </w:r>
          </w:p>
        </w:tc>
        <w:tc>
          <w:tcPr>
            <w:tcW w:w="2015" w:type="dxa"/>
            <w:tcBorders>
              <w:top w:val="nil"/>
              <w:bottom w:val="double" w:sz="4" w:space="0" w:color="auto"/>
            </w:tcBorders>
            <w:shd w:val="clear" w:color="auto" w:fill="FFFFFF" w:themeFill="background1"/>
          </w:tcPr>
          <w:p w14:paraId="4ED1AD86"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Pumped hydro (PHS)</w:t>
            </w:r>
          </w:p>
        </w:tc>
      </w:tr>
      <w:tr w:rsidR="009A0C3A" w:rsidRPr="00AD750D" w14:paraId="2E7E67A8" w14:textId="77777777" w:rsidTr="009A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shd w:val="clear" w:color="auto" w:fill="FFFFFF" w:themeFill="background1"/>
          </w:tcPr>
          <w:p w14:paraId="1F2C03CE"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Efficiency</w:t>
            </w:r>
          </w:p>
        </w:tc>
        <w:tc>
          <w:tcPr>
            <w:tcW w:w="2067" w:type="dxa"/>
            <w:shd w:val="clear" w:color="auto" w:fill="FFFFFF" w:themeFill="background1"/>
          </w:tcPr>
          <w:p w14:paraId="769ABA2B"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vertAlign w:val="superscript"/>
                <w:lang w:val="en-US"/>
              </w:rPr>
            </w:pPr>
            <w:r w:rsidRPr="00AD750D">
              <w:rPr>
                <w:rFonts w:ascii="Arial" w:hAnsi="Arial"/>
                <w:sz w:val="18"/>
                <w:szCs w:val="18"/>
                <w:lang w:val="en-US"/>
              </w:rPr>
              <w:t xml:space="preserve">75% </w:t>
            </w:r>
            <w:r w:rsidRPr="00AD750D">
              <w:rPr>
                <w:rFonts w:ascii="Arial" w:hAnsi="Arial"/>
                <w:sz w:val="18"/>
                <w:szCs w:val="18"/>
                <w:vertAlign w:val="superscript"/>
                <w:lang w:val="en-US"/>
              </w:rPr>
              <w:t>1</w:t>
            </w:r>
          </w:p>
        </w:tc>
        <w:tc>
          <w:tcPr>
            <w:tcW w:w="1940" w:type="dxa"/>
            <w:shd w:val="clear" w:color="auto" w:fill="FFFFFF" w:themeFill="background1"/>
          </w:tcPr>
          <w:p w14:paraId="28E4F6A3"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90%</w:t>
            </w:r>
          </w:p>
        </w:tc>
        <w:tc>
          <w:tcPr>
            <w:tcW w:w="2015" w:type="dxa"/>
            <w:shd w:val="clear" w:color="auto" w:fill="FFFFFF" w:themeFill="background1"/>
          </w:tcPr>
          <w:p w14:paraId="72D69E28"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75%</w:t>
            </w:r>
          </w:p>
        </w:tc>
      </w:tr>
      <w:tr w:rsidR="009A0C3A" w:rsidRPr="00AD750D" w14:paraId="02F72725" w14:textId="77777777" w:rsidTr="009A0C3A">
        <w:tc>
          <w:tcPr>
            <w:cnfStyle w:val="001000000000" w:firstRow="0" w:lastRow="0" w:firstColumn="1" w:lastColumn="0" w:oddVBand="0" w:evenVBand="0" w:oddHBand="0" w:evenHBand="0" w:firstRowFirstColumn="0" w:firstRowLastColumn="0" w:lastRowFirstColumn="0" w:lastRowLastColumn="0"/>
            <w:tcW w:w="3004" w:type="dxa"/>
            <w:shd w:val="clear" w:color="auto" w:fill="FFFFFF" w:themeFill="background1"/>
          </w:tcPr>
          <w:p w14:paraId="425B6D13"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 xml:space="preserve">Depth of discharge / % </w:t>
            </w:r>
          </w:p>
        </w:tc>
        <w:tc>
          <w:tcPr>
            <w:tcW w:w="2067" w:type="dxa"/>
            <w:shd w:val="clear" w:color="auto" w:fill="FFFFFF" w:themeFill="background1"/>
          </w:tcPr>
          <w:p w14:paraId="487451F6"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vertAlign w:val="superscript"/>
                <w:lang w:val="en-US"/>
              </w:rPr>
            </w:pPr>
            <w:r w:rsidRPr="00AD750D">
              <w:rPr>
                <w:rFonts w:ascii="Arial" w:hAnsi="Arial"/>
                <w:sz w:val="18"/>
                <w:szCs w:val="18"/>
                <w:lang w:val="en-US"/>
              </w:rPr>
              <w:t xml:space="preserve">50% </w:t>
            </w:r>
            <w:r w:rsidRPr="00AD750D">
              <w:rPr>
                <w:rFonts w:ascii="Arial" w:hAnsi="Arial"/>
                <w:sz w:val="18"/>
                <w:szCs w:val="18"/>
                <w:vertAlign w:val="superscript"/>
                <w:lang w:val="en-US"/>
              </w:rPr>
              <w:t>2</w:t>
            </w:r>
          </w:p>
        </w:tc>
        <w:tc>
          <w:tcPr>
            <w:tcW w:w="1940" w:type="dxa"/>
            <w:shd w:val="clear" w:color="auto" w:fill="FFFFFF" w:themeFill="background1"/>
          </w:tcPr>
          <w:p w14:paraId="31791EF6"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90%</w:t>
            </w:r>
          </w:p>
        </w:tc>
        <w:tc>
          <w:tcPr>
            <w:tcW w:w="2015" w:type="dxa"/>
            <w:shd w:val="clear" w:color="auto" w:fill="FFFFFF" w:themeFill="background1"/>
          </w:tcPr>
          <w:p w14:paraId="0EA59FFB"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100%</w:t>
            </w:r>
          </w:p>
        </w:tc>
      </w:tr>
      <w:tr w:rsidR="009A0C3A" w:rsidRPr="00AD750D" w14:paraId="1AB43493" w14:textId="77777777" w:rsidTr="009A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shd w:val="clear" w:color="auto" w:fill="FFFFFF" w:themeFill="background1"/>
          </w:tcPr>
          <w:p w14:paraId="5EA56A71"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Embodied energy kWh/kWh</w:t>
            </w:r>
          </w:p>
        </w:tc>
        <w:tc>
          <w:tcPr>
            <w:tcW w:w="2067" w:type="dxa"/>
            <w:shd w:val="clear" w:color="auto" w:fill="FFFFFF" w:themeFill="background1"/>
          </w:tcPr>
          <w:p w14:paraId="0AF14D25"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vertAlign w:val="superscript"/>
                <w:lang w:val="en-US"/>
              </w:rPr>
            </w:pPr>
            <w:r w:rsidRPr="00AD750D">
              <w:rPr>
                <w:rFonts w:ascii="Arial" w:hAnsi="Arial"/>
                <w:sz w:val="18"/>
                <w:szCs w:val="18"/>
                <w:lang w:val="en-US"/>
              </w:rPr>
              <w:t xml:space="preserve">321 </w:t>
            </w:r>
            <w:r w:rsidRPr="00AD750D">
              <w:rPr>
                <w:rFonts w:ascii="Arial" w:hAnsi="Arial"/>
                <w:sz w:val="18"/>
                <w:szCs w:val="18"/>
                <w:vertAlign w:val="superscript"/>
                <w:lang w:val="en-US"/>
              </w:rPr>
              <w:t>3</w:t>
            </w:r>
          </w:p>
        </w:tc>
        <w:tc>
          <w:tcPr>
            <w:tcW w:w="1940" w:type="dxa"/>
            <w:shd w:val="clear" w:color="auto" w:fill="FFFFFF" w:themeFill="background1"/>
          </w:tcPr>
          <w:p w14:paraId="6629319F"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454</w:t>
            </w:r>
          </w:p>
        </w:tc>
        <w:tc>
          <w:tcPr>
            <w:tcW w:w="2015" w:type="dxa"/>
            <w:shd w:val="clear" w:color="auto" w:fill="FFFFFF" w:themeFill="background1"/>
          </w:tcPr>
          <w:p w14:paraId="55618EE8"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vertAlign w:val="superscript"/>
                <w:lang w:val="en-US"/>
              </w:rPr>
            </w:pPr>
            <w:r w:rsidRPr="00AD750D">
              <w:rPr>
                <w:rFonts w:ascii="Arial" w:hAnsi="Arial"/>
                <w:sz w:val="18"/>
                <w:szCs w:val="18"/>
                <w:lang w:val="en-US"/>
              </w:rPr>
              <w:t>104+0.007</w:t>
            </w:r>
            <w:r w:rsidRPr="00AD750D">
              <w:rPr>
                <w:rFonts w:ascii="Arial" w:hAnsi="Arial" w:cs="Times New Roman"/>
                <w:i/>
                <w:sz w:val="18"/>
                <w:szCs w:val="18"/>
                <w:lang w:val="en-US"/>
              </w:rPr>
              <w:t>E</w:t>
            </w:r>
            <w:r w:rsidRPr="00AD750D">
              <w:rPr>
                <w:rFonts w:ascii="Arial" w:hAnsi="Arial"/>
                <w:sz w:val="18"/>
                <w:szCs w:val="18"/>
                <w:lang w:val="en-US"/>
              </w:rPr>
              <w:t xml:space="preserve"> * </w:t>
            </w:r>
            <w:r w:rsidRPr="00AD750D">
              <w:rPr>
                <w:rFonts w:ascii="Arial" w:hAnsi="Arial"/>
                <w:sz w:val="18"/>
                <w:szCs w:val="18"/>
                <w:vertAlign w:val="superscript"/>
                <w:lang w:val="en-US"/>
              </w:rPr>
              <w:t>4</w:t>
            </w:r>
          </w:p>
        </w:tc>
      </w:tr>
      <w:tr w:rsidR="009A0C3A" w:rsidRPr="00AD750D" w14:paraId="6AF44AE2" w14:textId="77777777" w:rsidTr="009A0C3A">
        <w:tc>
          <w:tcPr>
            <w:cnfStyle w:val="001000000000" w:firstRow="0" w:lastRow="0" w:firstColumn="1" w:lastColumn="0" w:oddVBand="0" w:evenVBand="0" w:oddHBand="0" w:evenHBand="0" w:firstRowFirstColumn="0" w:firstRowLastColumn="0" w:lastRowFirstColumn="0" w:lastRowLastColumn="0"/>
            <w:tcW w:w="3004" w:type="dxa"/>
            <w:shd w:val="clear" w:color="auto" w:fill="FFFFFF" w:themeFill="background1"/>
          </w:tcPr>
          <w:p w14:paraId="0E519A29"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Lifetime / years</w:t>
            </w:r>
          </w:p>
        </w:tc>
        <w:tc>
          <w:tcPr>
            <w:tcW w:w="2067" w:type="dxa"/>
            <w:shd w:val="clear" w:color="auto" w:fill="FFFFFF" w:themeFill="background1"/>
          </w:tcPr>
          <w:p w14:paraId="6B93D78E"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vertAlign w:val="superscript"/>
                <w:lang w:val="en-US"/>
              </w:rPr>
            </w:pPr>
            <w:r w:rsidRPr="00AD750D">
              <w:rPr>
                <w:rFonts w:ascii="Arial" w:hAnsi="Arial"/>
                <w:sz w:val="18"/>
                <w:szCs w:val="18"/>
                <w:lang w:val="en-US"/>
              </w:rPr>
              <w:t xml:space="preserve">4 </w:t>
            </w:r>
            <w:r w:rsidRPr="00AD750D">
              <w:rPr>
                <w:rFonts w:ascii="Arial" w:hAnsi="Arial"/>
                <w:sz w:val="18"/>
                <w:szCs w:val="18"/>
                <w:vertAlign w:val="superscript"/>
                <w:lang w:val="en-US"/>
              </w:rPr>
              <w:t>1</w:t>
            </w:r>
          </w:p>
        </w:tc>
        <w:tc>
          <w:tcPr>
            <w:tcW w:w="1940" w:type="dxa"/>
            <w:shd w:val="clear" w:color="auto" w:fill="FFFFFF" w:themeFill="background1"/>
          </w:tcPr>
          <w:p w14:paraId="21C1596D"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15</w:t>
            </w:r>
          </w:p>
        </w:tc>
        <w:tc>
          <w:tcPr>
            <w:tcW w:w="2015" w:type="dxa"/>
            <w:shd w:val="clear" w:color="auto" w:fill="FFFFFF" w:themeFill="background1"/>
          </w:tcPr>
          <w:p w14:paraId="11906160"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vertAlign w:val="superscript"/>
                <w:lang w:val="en-US"/>
              </w:rPr>
            </w:pPr>
            <w:r w:rsidRPr="00AD750D">
              <w:rPr>
                <w:rFonts w:ascii="Arial" w:hAnsi="Arial"/>
                <w:sz w:val="18"/>
                <w:szCs w:val="18"/>
                <w:lang w:val="en-US"/>
              </w:rPr>
              <w:t xml:space="preserve">60 </w:t>
            </w:r>
            <w:r w:rsidRPr="00AD750D">
              <w:rPr>
                <w:rFonts w:ascii="Arial" w:hAnsi="Arial"/>
                <w:sz w:val="18"/>
                <w:szCs w:val="18"/>
                <w:vertAlign w:val="superscript"/>
                <w:lang w:val="en-US"/>
              </w:rPr>
              <w:t>4</w:t>
            </w:r>
          </w:p>
        </w:tc>
      </w:tr>
    </w:tbl>
    <w:p w14:paraId="38E9A3FB"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r w:rsidRPr="00AD750D">
        <w:rPr>
          <w:rFonts w:ascii="Arial" w:hAnsi="Arial"/>
          <w:sz w:val="18"/>
          <w:szCs w:val="18"/>
          <w:vertAlign w:val="superscript"/>
          <w:lang w:val="en-US"/>
        </w:rPr>
        <w:t xml:space="preserve">1 </w:t>
      </w:r>
      <w:r w:rsidRPr="00AD750D">
        <w:rPr>
          <w:rFonts w:ascii="Arial" w:hAnsi="Arial"/>
          <w:sz w:val="18"/>
          <w:szCs w:val="18"/>
          <w:lang w:val="en-US"/>
        </w:rPr>
        <w:t xml:space="preserve">Ryadh et al. (2005), </w:t>
      </w:r>
      <w:r w:rsidRPr="00AD750D">
        <w:rPr>
          <w:rFonts w:ascii="Arial" w:hAnsi="Arial"/>
          <w:sz w:val="18"/>
          <w:szCs w:val="18"/>
          <w:vertAlign w:val="superscript"/>
          <w:lang w:val="en-US"/>
        </w:rPr>
        <w:t xml:space="preserve">2 </w:t>
      </w:r>
      <w:r w:rsidRPr="00AD750D">
        <w:rPr>
          <w:rFonts w:ascii="Arial" w:hAnsi="Arial"/>
          <w:sz w:val="18"/>
          <w:szCs w:val="18"/>
          <w:lang w:val="en-US"/>
        </w:rPr>
        <w:t xml:space="preserve">Kaldellis (2007), </w:t>
      </w:r>
      <w:r w:rsidRPr="00AD750D">
        <w:rPr>
          <w:rFonts w:ascii="Arial" w:hAnsi="Arial"/>
          <w:sz w:val="18"/>
          <w:szCs w:val="18"/>
          <w:vertAlign w:val="superscript"/>
          <w:lang w:val="en-US"/>
        </w:rPr>
        <w:t xml:space="preserve">3 </w:t>
      </w:r>
      <w:r w:rsidRPr="00AD750D">
        <w:rPr>
          <w:rFonts w:ascii="Arial" w:hAnsi="Arial"/>
          <w:sz w:val="18"/>
          <w:szCs w:val="18"/>
          <w:lang w:val="en-US"/>
        </w:rPr>
        <w:t xml:space="preserve">Barnhart et al. (2013), </w:t>
      </w:r>
      <w:r w:rsidRPr="00AD750D">
        <w:rPr>
          <w:rFonts w:ascii="Arial" w:hAnsi="Arial"/>
          <w:sz w:val="18"/>
          <w:szCs w:val="18"/>
          <w:vertAlign w:val="superscript"/>
          <w:lang w:val="en-US"/>
        </w:rPr>
        <w:t xml:space="preserve">4 </w:t>
      </w:r>
      <w:r w:rsidRPr="00AD750D">
        <w:rPr>
          <w:rFonts w:ascii="Arial" w:hAnsi="Arial"/>
          <w:sz w:val="18"/>
          <w:szCs w:val="18"/>
          <w:lang w:val="en-US"/>
        </w:rPr>
        <w:t xml:space="preserve">Denholm (2004), * where </w:t>
      </w:r>
      <w:r w:rsidRPr="00AD750D">
        <w:rPr>
          <w:rFonts w:ascii="Arial" w:hAnsi="Arial" w:cs="Times New Roman"/>
          <w:i/>
          <w:sz w:val="18"/>
          <w:szCs w:val="18"/>
          <w:lang w:val="en-US"/>
        </w:rPr>
        <w:t>E</w:t>
      </w:r>
      <w:r w:rsidRPr="00AD750D">
        <w:rPr>
          <w:rFonts w:ascii="Arial" w:hAnsi="Arial"/>
          <w:sz w:val="18"/>
          <w:szCs w:val="18"/>
          <w:lang w:val="en-US"/>
        </w:rPr>
        <w:t xml:space="preserve"> is the energy cycled over full lifetime in kWh</w:t>
      </w:r>
    </w:p>
    <w:p w14:paraId="7644B2F7" w14:textId="77777777" w:rsidR="009A0C3A" w:rsidRDefault="009A0C3A" w:rsidP="009A0C3A">
      <w:pPr>
        <w:spacing w:line="288" w:lineRule="auto"/>
        <w:rPr>
          <w:rFonts w:ascii="Arial" w:hAnsi="Arial"/>
          <w:sz w:val="18"/>
          <w:szCs w:val="18"/>
          <w:lang w:val="en-US"/>
        </w:rPr>
      </w:pPr>
    </w:p>
    <w:p w14:paraId="00C7A663" w14:textId="77777777" w:rsidR="00AD750D" w:rsidRPr="00AD750D" w:rsidRDefault="00AD750D" w:rsidP="009A0C3A">
      <w:pPr>
        <w:spacing w:line="288" w:lineRule="auto"/>
        <w:rPr>
          <w:rFonts w:ascii="Arial" w:hAnsi="Arial"/>
          <w:sz w:val="18"/>
          <w:szCs w:val="18"/>
          <w:lang w:val="en-US"/>
        </w:rPr>
      </w:pPr>
    </w:p>
    <w:p w14:paraId="4492A551" w14:textId="0CEAD520" w:rsidR="009A0C3A" w:rsidRPr="00AD750D" w:rsidRDefault="009A0C3A" w:rsidP="009A0C3A">
      <w:pPr>
        <w:spacing w:line="288" w:lineRule="auto"/>
        <w:rPr>
          <w:rFonts w:ascii="Arial" w:hAnsi="Arial"/>
          <w:sz w:val="18"/>
          <w:szCs w:val="18"/>
          <w:lang w:val="en-US"/>
        </w:rPr>
      </w:pPr>
      <w:r w:rsidRPr="00AD750D">
        <w:rPr>
          <w:rFonts w:ascii="Arial" w:hAnsi="Arial"/>
          <w:b/>
          <w:sz w:val="18"/>
          <w:szCs w:val="18"/>
          <w:lang w:val="en-US"/>
        </w:rPr>
        <w:t>Table S3.</w:t>
      </w:r>
      <w:r w:rsidRPr="00AD750D">
        <w:rPr>
          <w:rFonts w:ascii="Arial" w:hAnsi="Arial"/>
          <w:sz w:val="18"/>
          <w:szCs w:val="18"/>
          <w:lang w:val="en-US"/>
        </w:rPr>
        <w:t xml:space="preserve"> Operating characteristics of the different wind turbines considered.</w:t>
      </w:r>
    </w:p>
    <w:tbl>
      <w:tblPr>
        <w:tblStyle w:val="LightShading"/>
        <w:tblW w:w="0" w:type="auto"/>
        <w:shd w:val="clear" w:color="auto" w:fill="FFFFFF" w:themeFill="background1"/>
        <w:tblLook w:val="04A0" w:firstRow="1" w:lastRow="0" w:firstColumn="1" w:lastColumn="0" w:noHBand="0" w:noVBand="1"/>
      </w:tblPr>
      <w:tblGrid>
        <w:gridCol w:w="3004"/>
        <w:gridCol w:w="2073"/>
        <w:gridCol w:w="1947"/>
        <w:gridCol w:w="2002"/>
      </w:tblGrid>
      <w:tr w:rsidR="009A0C3A" w:rsidRPr="00AD750D" w14:paraId="2558237C" w14:textId="77777777" w:rsidTr="009A0C3A">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004" w:type="dxa"/>
            <w:tcBorders>
              <w:top w:val="nil"/>
              <w:bottom w:val="double" w:sz="4" w:space="0" w:color="auto"/>
            </w:tcBorders>
            <w:shd w:val="clear" w:color="auto" w:fill="FFFFFF" w:themeFill="background1"/>
          </w:tcPr>
          <w:p w14:paraId="48DCEA5E"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p>
          <w:p w14:paraId="5E17FF19"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p>
        </w:tc>
        <w:tc>
          <w:tcPr>
            <w:tcW w:w="2073" w:type="dxa"/>
            <w:tcBorders>
              <w:top w:val="nil"/>
              <w:bottom w:val="double" w:sz="4" w:space="0" w:color="auto"/>
            </w:tcBorders>
            <w:shd w:val="clear" w:color="auto" w:fill="FFFFFF" w:themeFill="background1"/>
          </w:tcPr>
          <w:p w14:paraId="59A251F3"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Small 100 kW</w:t>
            </w:r>
          </w:p>
          <w:p w14:paraId="432EB862"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Air 19/100</w:t>
            </w:r>
          </w:p>
        </w:tc>
        <w:tc>
          <w:tcPr>
            <w:tcW w:w="1947" w:type="dxa"/>
            <w:tcBorders>
              <w:top w:val="nil"/>
              <w:bottom w:val="double" w:sz="4" w:space="0" w:color="auto"/>
            </w:tcBorders>
            <w:shd w:val="clear" w:color="auto" w:fill="FFFFFF" w:themeFill="background1"/>
          </w:tcPr>
          <w:p w14:paraId="72647106"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Medium 500 kW</w:t>
            </w:r>
          </w:p>
          <w:p w14:paraId="1250E2D3"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Nordtank NTK</w:t>
            </w:r>
          </w:p>
        </w:tc>
        <w:tc>
          <w:tcPr>
            <w:tcW w:w="2002" w:type="dxa"/>
            <w:tcBorders>
              <w:top w:val="nil"/>
              <w:bottom w:val="double" w:sz="4" w:space="0" w:color="auto"/>
            </w:tcBorders>
            <w:shd w:val="clear" w:color="auto" w:fill="FFFFFF" w:themeFill="background1"/>
          </w:tcPr>
          <w:p w14:paraId="441A8501"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Large 1.2 MW</w:t>
            </w:r>
          </w:p>
          <w:p w14:paraId="486D54B9"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Autoflug A 1200</w:t>
            </w:r>
          </w:p>
        </w:tc>
      </w:tr>
      <w:tr w:rsidR="009A0C3A" w:rsidRPr="00AD750D" w14:paraId="494D7D95" w14:textId="77777777" w:rsidTr="009A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shd w:val="clear" w:color="auto" w:fill="FFFFFF" w:themeFill="background1"/>
          </w:tcPr>
          <w:p w14:paraId="41562390"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Hub Height / m</w:t>
            </w:r>
          </w:p>
        </w:tc>
        <w:tc>
          <w:tcPr>
            <w:tcW w:w="2073" w:type="dxa"/>
            <w:shd w:val="clear" w:color="auto" w:fill="FFFFFF" w:themeFill="background1"/>
          </w:tcPr>
          <w:p w14:paraId="209F2B26"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vertAlign w:val="superscript"/>
                <w:lang w:val="en-US"/>
              </w:rPr>
            </w:pPr>
            <w:r w:rsidRPr="00AD750D">
              <w:rPr>
                <w:rFonts w:ascii="Arial" w:hAnsi="Arial"/>
                <w:sz w:val="18"/>
                <w:szCs w:val="18"/>
                <w:lang w:val="en-US"/>
              </w:rPr>
              <w:t>25</w:t>
            </w:r>
          </w:p>
        </w:tc>
        <w:tc>
          <w:tcPr>
            <w:tcW w:w="1947" w:type="dxa"/>
            <w:shd w:val="clear" w:color="auto" w:fill="FFFFFF" w:themeFill="background1"/>
          </w:tcPr>
          <w:p w14:paraId="1547107F"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35</w:t>
            </w:r>
          </w:p>
        </w:tc>
        <w:tc>
          <w:tcPr>
            <w:tcW w:w="2002" w:type="dxa"/>
            <w:shd w:val="clear" w:color="auto" w:fill="FFFFFF" w:themeFill="background1"/>
          </w:tcPr>
          <w:p w14:paraId="62509ABF"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60</w:t>
            </w:r>
          </w:p>
        </w:tc>
      </w:tr>
      <w:tr w:rsidR="009A0C3A" w:rsidRPr="00AD750D" w14:paraId="7A10D9C7" w14:textId="77777777" w:rsidTr="009A0C3A">
        <w:tc>
          <w:tcPr>
            <w:cnfStyle w:val="001000000000" w:firstRow="0" w:lastRow="0" w:firstColumn="1" w:lastColumn="0" w:oddVBand="0" w:evenVBand="0" w:oddHBand="0" w:evenHBand="0" w:firstRowFirstColumn="0" w:firstRowLastColumn="0" w:lastRowFirstColumn="0" w:lastRowLastColumn="0"/>
            <w:tcW w:w="3004" w:type="dxa"/>
            <w:shd w:val="clear" w:color="auto" w:fill="FFFFFF" w:themeFill="background1"/>
          </w:tcPr>
          <w:p w14:paraId="3CD7A20F"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 xml:space="preserve">Blade diameter / m </w:t>
            </w:r>
          </w:p>
        </w:tc>
        <w:tc>
          <w:tcPr>
            <w:tcW w:w="2073" w:type="dxa"/>
            <w:shd w:val="clear" w:color="auto" w:fill="FFFFFF" w:themeFill="background1"/>
          </w:tcPr>
          <w:p w14:paraId="3770E6A0"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vertAlign w:val="superscript"/>
                <w:lang w:val="en-US"/>
              </w:rPr>
            </w:pPr>
            <w:r w:rsidRPr="00AD750D">
              <w:rPr>
                <w:rFonts w:ascii="Arial" w:hAnsi="Arial"/>
                <w:sz w:val="18"/>
                <w:szCs w:val="18"/>
                <w:lang w:val="en-US"/>
              </w:rPr>
              <w:t>19</w:t>
            </w:r>
          </w:p>
        </w:tc>
        <w:tc>
          <w:tcPr>
            <w:tcW w:w="1947" w:type="dxa"/>
            <w:shd w:val="clear" w:color="auto" w:fill="FFFFFF" w:themeFill="background1"/>
          </w:tcPr>
          <w:p w14:paraId="014C656A"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37</w:t>
            </w:r>
          </w:p>
        </w:tc>
        <w:tc>
          <w:tcPr>
            <w:tcW w:w="2002" w:type="dxa"/>
            <w:shd w:val="clear" w:color="auto" w:fill="FFFFFF" w:themeFill="background1"/>
          </w:tcPr>
          <w:p w14:paraId="6ADB4C73"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61</w:t>
            </w:r>
          </w:p>
        </w:tc>
      </w:tr>
      <w:tr w:rsidR="009A0C3A" w:rsidRPr="00AD750D" w14:paraId="03B5B0CF" w14:textId="77777777" w:rsidTr="009A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shd w:val="clear" w:color="auto" w:fill="FFFFFF" w:themeFill="background1"/>
          </w:tcPr>
          <w:p w14:paraId="737F925D"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Cut-in wind speed / m/s</w:t>
            </w:r>
          </w:p>
        </w:tc>
        <w:tc>
          <w:tcPr>
            <w:tcW w:w="2073" w:type="dxa"/>
            <w:shd w:val="clear" w:color="auto" w:fill="FFFFFF" w:themeFill="background1"/>
          </w:tcPr>
          <w:p w14:paraId="001EE95C"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vertAlign w:val="superscript"/>
                <w:lang w:val="en-US"/>
              </w:rPr>
            </w:pPr>
            <w:r w:rsidRPr="00AD750D">
              <w:rPr>
                <w:rFonts w:ascii="Arial" w:hAnsi="Arial"/>
                <w:sz w:val="18"/>
                <w:szCs w:val="18"/>
                <w:lang w:val="en-US"/>
              </w:rPr>
              <w:t>3.5</w:t>
            </w:r>
          </w:p>
        </w:tc>
        <w:tc>
          <w:tcPr>
            <w:tcW w:w="1947" w:type="dxa"/>
            <w:shd w:val="clear" w:color="auto" w:fill="FFFFFF" w:themeFill="background1"/>
          </w:tcPr>
          <w:p w14:paraId="3CEB0D5E"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4</w:t>
            </w:r>
          </w:p>
        </w:tc>
        <w:tc>
          <w:tcPr>
            <w:tcW w:w="2002" w:type="dxa"/>
            <w:shd w:val="clear" w:color="auto" w:fill="FFFFFF" w:themeFill="background1"/>
          </w:tcPr>
          <w:p w14:paraId="206CA9AA"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vertAlign w:val="superscript"/>
                <w:lang w:val="en-US"/>
              </w:rPr>
            </w:pPr>
            <w:r w:rsidRPr="00AD750D">
              <w:rPr>
                <w:rFonts w:ascii="Arial" w:hAnsi="Arial"/>
                <w:sz w:val="18"/>
                <w:szCs w:val="18"/>
                <w:lang w:val="en-US"/>
              </w:rPr>
              <w:t>4</w:t>
            </w:r>
          </w:p>
        </w:tc>
      </w:tr>
      <w:tr w:rsidR="009A0C3A" w:rsidRPr="00AD750D" w14:paraId="15E17246" w14:textId="77777777" w:rsidTr="009A0C3A">
        <w:tc>
          <w:tcPr>
            <w:cnfStyle w:val="001000000000" w:firstRow="0" w:lastRow="0" w:firstColumn="1" w:lastColumn="0" w:oddVBand="0" w:evenVBand="0" w:oddHBand="0" w:evenHBand="0" w:firstRowFirstColumn="0" w:firstRowLastColumn="0" w:lastRowFirstColumn="0" w:lastRowLastColumn="0"/>
            <w:tcW w:w="3004" w:type="dxa"/>
            <w:shd w:val="clear" w:color="auto" w:fill="FFFFFF" w:themeFill="background1"/>
          </w:tcPr>
          <w:p w14:paraId="6C4CA4B4"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Rated wind speed / m/s</w:t>
            </w:r>
          </w:p>
        </w:tc>
        <w:tc>
          <w:tcPr>
            <w:tcW w:w="2073" w:type="dxa"/>
            <w:shd w:val="clear" w:color="auto" w:fill="FFFFFF" w:themeFill="background1"/>
          </w:tcPr>
          <w:p w14:paraId="53576D5F"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vertAlign w:val="superscript"/>
                <w:lang w:val="en-US"/>
              </w:rPr>
            </w:pPr>
            <w:r w:rsidRPr="00AD750D">
              <w:rPr>
                <w:rFonts w:ascii="Arial" w:hAnsi="Arial"/>
                <w:sz w:val="18"/>
                <w:szCs w:val="18"/>
                <w:lang w:val="en-US"/>
              </w:rPr>
              <w:t>14</w:t>
            </w:r>
          </w:p>
        </w:tc>
        <w:tc>
          <w:tcPr>
            <w:tcW w:w="1947" w:type="dxa"/>
            <w:shd w:val="clear" w:color="auto" w:fill="FFFFFF" w:themeFill="background1"/>
          </w:tcPr>
          <w:p w14:paraId="5C0BC993"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15</w:t>
            </w:r>
          </w:p>
        </w:tc>
        <w:tc>
          <w:tcPr>
            <w:tcW w:w="2002" w:type="dxa"/>
            <w:shd w:val="clear" w:color="auto" w:fill="FFFFFF" w:themeFill="background1"/>
          </w:tcPr>
          <w:p w14:paraId="4B40F41A"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vertAlign w:val="superscript"/>
                <w:lang w:val="en-US"/>
              </w:rPr>
            </w:pPr>
            <w:r w:rsidRPr="00AD750D">
              <w:rPr>
                <w:rFonts w:ascii="Arial" w:hAnsi="Arial"/>
                <w:sz w:val="18"/>
                <w:szCs w:val="18"/>
                <w:lang w:val="en-US"/>
              </w:rPr>
              <w:t>13</w:t>
            </w:r>
          </w:p>
        </w:tc>
      </w:tr>
      <w:tr w:rsidR="009A0C3A" w:rsidRPr="00AD750D" w14:paraId="3870C0E0" w14:textId="77777777" w:rsidTr="009A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shd w:val="clear" w:color="auto" w:fill="FFFFFF" w:themeFill="background1"/>
          </w:tcPr>
          <w:p w14:paraId="04E99F55"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Cut-out wind speed / m/s</w:t>
            </w:r>
          </w:p>
        </w:tc>
        <w:tc>
          <w:tcPr>
            <w:tcW w:w="2073" w:type="dxa"/>
            <w:shd w:val="clear" w:color="auto" w:fill="FFFFFF" w:themeFill="background1"/>
          </w:tcPr>
          <w:p w14:paraId="11922053"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24</w:t>
            </w:r>
          </w:p>
        </w:tc>
        <w:tc>
          <w:tcPr>
            <w:tcW w:w="1947" w:type="dxa"/>
            <w:shd w:val="clear" w:color="auto" w:fill="FFFFFF" w:themeFill="background1"/>
          </w:tcPr>
          <w:p w14:paraId="2DEEDC95"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25</w:t>
            </w:r>
          </w:p>
        </w:tc>
        <w:tc>
          <w:tcPr>
            <w:tcW w:w="2002" w:type="dxa"/>
            <w:shd w:val="clear" w:color="auto" w:fill="FFFFFF" w:themeFill="background1"/>
          </w:tcPr>
          <w:p w14:paraId="3F90FE18"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25</w:t>
            </w:r>
          </w:p>
        </w:tc>
      </w:tr>
      <w:tr w:rsidR="009A0C3A" w:rsidRPr="00AD750D" w14:paraId="09C8D803" w14:textId="77777777" w:rsidTr="009A0C3A">
        <w:tc>
          <w:tcPr>
            <w:cnfStyle w:val="001000000000" w:firstRow="0" w:lastRow="0" w:firstColumn="1" w:lastColumn="0" w:oddVBand="0" w:evenVBand="0" w:oddHBand="0" w:evenHBand="0" w:firstRowFirstColumn="0" w:firstRowLastColumn="0" w:lastRowFirstColumn="0" w:lastRowLastColumn="0"/>
            <w:tcW w:w="3004" w:type="dxa"/>
            <w:shd w:val="clear" w:color="auto" w:fill="FFFFFF" w:themeFill="background1"/>
          </w:tcPr>
          <w:p w14:paraId="58A42944"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Maximum number of turbines in locations B (figure 1)</w:t>
            </w:r>
          </w:p>
        </w:tc>
        <w:tc>
          <w:tcPr>
            <w:tcW w:w="2073" w:type="dxa"/>
            <w:shd w:val="clear" w:color="auto" w:fill="FFFFFF" w:themeFill="background1"/>
          </w:tcPr>
          <w:p w14:paraId="2CCFF204"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72</w:t>
            </w:r>
          </w:p>
        </w:tc>
        <w:tc>
          <w:tcPr>
            <w:tcW w:w="1947" w:type="dxa"/>
            <w:shd w:val="clear" w:color="auto" w:fill="FFFFFF" w:themeFill="background1"/>
          </w:tcPr>
          <w:p w14:paraId="408454E7"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29</w:t>
            </w:r>
          </w:p>
        </w:tc>
        <w:tc>
          <w:tcPr>
            <w:tcW w:w="2002" w:type="dxa"/>
            <w:shd w:val="clear" w:color="auto" w:fill="FFFFFF" w:themeFill="background1"/>
          </w:tcPr>
          <w:p w14:paraId="2FB9E667"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6</w:t>
            </w:r>
          </w:p>
        </w:tc>
      </w:tr>
    </w:tbl>
    <w:p w14:paraId="79138F5A" w14:textId="77777777" w:rsidR="009A0C3A" w:rsidRPr="00AD750D" w:rsidRDefault="009A0C3A" w:rsidP="009A0C3A">
      <w:pPr>
        <w:autoSpaceDE w:val="0"/>
        <w:autoSpaceDN w:val="0"/>
        <w:adjustRightInd w:val="0"/>
        <w:spacing w:after="0" w:line="288" w:lineRule="auto"/>
        <w:rPr>
          <w:rFonts w:ascii="Arial" w:hAnsi="Arial"/>
          <w:sz w:val="18"/>
          <w:szCs w:val="18"/>
          <w:lang w:val="en-US"/>
        </w:rPr>
      </w:pPr>
    </w:p>
    <w:p w14:paraId="360F3742" w14:textId="77777777" w:rsidR="00AD750D" w:rsidRDefault="00AD750D" w:rsidP="009A0C3A">
      <w:pPr>
        <w:autoSpaceDE w:val="0"/>
        <w:autoSpaceDN w:val="0"/>
        <w:adjustRightInd w:val="0"/>
        <w:spacing w:after="0" w:line="288" w:lineRule="auto"/>
        <w:jc w:val="both"/>
        <w:rPr>
          <w:rFonts w:ascii="Arial" w:hAnsi="Arial"/>
          <w:sz w:val="18"/>
          <w:szCs w:val="18"/>
          <w:lang w:val="en-US"/>
        </w:rPr>
      </w:pPr>
    </w:p>
    <w:p w14:paraId="0646DB6A" w14:textId="77777777" w:rsidR="00AD750D" w:rsidRDefault="00AD750D" w:rsidP="009A0C3A">
      <w:pPr>
        <w:autoSpaceDE w:val="0"/>
        <w:autoSpaceDN w:val="0"/>
        <w:adjustRightInd w:val="0"/>
        <w:spacing w:after="0" w:line="288" w:lineRule="auto"/>
        <w:jc w:val="both"/>
        <w:rPr>
          <w:rFonts w:ascii="Arial" w:hAnsi="Arial"/>
          <w:sz w:val="18"/>
          <w:szCs w:val="18"/>
          <w:lang w:val="en-US"/>
        </w:rPr>
      </w:pPr>
    </w:p>
    <w:p w14:paraId="7E6F6C99"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r w:rsidRPr="00AD750D">
        <w:rPr>
          <w:rFonts w:ascii="Arial" w:hAnsi="Arial"/>
          <w:sz w:val="18"/>
          <w:szCs w:val="18"/>
          <w:lang w:val="en-US"/>
        </w:rPr>
        <w:t xml:space="preserve">The product </w:t>
      </w:r>
      <w:r w:rsidRPr="00AD750D">
        <w:rPr>
          <w:rFonts w:ascii="Arial" w:hAnsi="Arial" w:cs="Times New Roman"/>
          <w:i/>
          <w:sz w:val="18"/>
          <w:szCs w:val="18"/>
          <w:lang w:val="en-US"/>
        </w:rPr>
        <w:t>IP</w:t>
      </w:r>
      <w:r w:rsidRPr="00AD750D">
        <w:rPr>
          <w:rFonts w:ascii="Arial" w:hAnsi="Arial"/>
          <w:sz w:val="18"/>
          <w:szCs w:val="18"/>
          <w:lang w:val="en-US"/>
        </w:rPr>
        <w:t xml:space="preserve"> and </w:t>
      </w:r>
      <w:r w:rsidRPr="00AD750D">
        <w:rPr>
          <w:rFonts w:ascii="Arial" w:hAnsi="Arial" w:cs="Times New Roman"/>
          <w:i/>
          <w:sz w:val="18"/>
          <w:szCs w:val="18"/>
          <w:lang w:val="en-US"/>
        </w:rPr>
        <w:t>EROI</w:t>
      </w:r>
      <w:r w:rsidRPr="00AD750D">
        <w:rPr>
          <w:rFonts w:ascii="Arial" w:hAnsi="Arial"/>
          <w:sz w:val="18"/>
          <w:szCs w:val="18"/>
          <w:lang w:val="en-US"/>
        </w:rPr>
        <w:t xml:space="preserve"> was then used to optimize the storage capacity for each scenario. Since IP increases towards a limit with increasing storage capacity, and EROI reduces to zero with increasing storage capacity </w:t>
      </w:r>
      <w:r w:rsidRPr="00AD750D">
        <w:rPr>
          <w:rFonts w:ascii="Arial" w:hAnsi="Arial"/>
          <w:sz w:val="18"/>
          <w:szCs w:val="18"/>
        </w:rPr>
        <w:t>(self-citation to be inserted after review)</w:t>
      </w:r>
      <w:r w:rsidRPr="00AD750D">
        <w:rPr>
          <w:rFonts w:ascii="Arial" w:hAnsi="Arial"/>
          <w:sz w:val="18"/>
          <w:szCs w:val="18"/>
          <w:lang w:val="en-US"/>
        </w:rPr>
        <w:t xml:space="preserve"> the product reaches a maximum when an optimum compromise between storage and embodied energy investment is reached. </w:t>
      </w:r>
    </w:p>
    <w:p w14:paraId="13A621FF"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p>
    <w:p w14:paraId="6772E337"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r w:rsidRPr="00AD750D">
        <w:rPr>
          <w:rFonts w:ascii="Arial" w:hAnsi="Arial"/>
          <w:sz w:val="18"/>
          <w:szCs w:val="18"/>
          <w:lang w:val="en-US"/>
        </w:rPr>
        <w:t xml:space="preserve">Five different scenarios (and different storage technologies) were investigated using the numerical simulation. These scenarios reflected discussions within the ‘energy balance’ group concerning the use of both wind and PV power in Stocksbridge. The south facing slope was identified as a potentially effective space to deploy solar fields (locations C in figure S1), while there is already a substantial penetration of PV roofs (locations A in figure 1) in the town. An upper limit of 12% penetration was place on rooftop PV. The northern ridge (locations B in figure S1) bounding Stocksbridge with Barnsley parish has already been exploited by local farmers for wind turbines, and while opposition to the expansion of wind was voiced by some members of the collaboration, on balance we chose to include three different turbine sizes across these locations in the simulation work. The performance characteristics of the different sized turbines are detailed in table 2. The final land use in the scenarios is a pumped hydro storage system deployed between upper and lower artificial lakes from the valley floor to the ridge top (vertical drop of 100 m). An existing pipeline between the steelworks in the valley floor and a water storage facility on the ridge was discussed in the ‘energy balance’ group sessions and the location D in figure 1 is an expansion of this existing infrastructure. </w:t>
      </w:r>
    </w:p>
    <w:p w14:paraId="3D839BEF"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p>
    <w:p w14:paraId="7D01E953"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r w:rsidRPr="00AD750D">
        <w:rPr>
          <w:rFonts w:ascii="Arial" w:hAnsi="Arial"/>
          <w:sz w:val="18"/>
          <w:szCs w:val="18"/>
          <w:lang w:val="en-US"/>
        </w:rPr>
        <w:t xml:space="preserve">Figure S2 shows the resulting independence proportion (IP) as a function of the total generation capacity for the different scenarios and different storage technologies at the </w:t>
      </w:r>
      <w:r w:rsidRPr="00AD750D">
        <w:rPr>
          <w:rFonts w:ascii="Arial" w:hAnsi="Arial" w:cs="Times New Roman"/>
          <w:i/>
          <w:sz w:val="18"/>
          <w:szCs w:val="18"/>
          <w:lang w:val="en-US"/>
        </w:rPr>
        <w:t>EROI.IP</w:t>
      </w:r>
      <w:r w:rsidRPr="00AD750D">
        <w:rPr>
          <w:rFonts w:ascii="Arial" w:hAnsi="Arial"/>
          <w:sz w:val="18"/>
          <w:szCs w:val="18"/>
          <w:lang w:val="en-US"/>
        </w:rPr>
        <w:t xml:space="preserve"> optimized storage capacities. The wind based scenarios lead to higher independence at lower installed capacities than the PV dominant scenarios. There is not a substantial difference in independence between the small, medium or large turbines. Interestingly, looking at table 4, the energy return on investment of the small turbine scenario (EROI ~ 28) is around 20% lower than the large turbine (EROI ~ 38) scenario. The hybrid scenarios have maximum independence proportion slightly higher than the wind dominated systems and the very best IP is for the hybrid scenario with pumped hydro storage. Importantly, a local energy independence of 73% is achieved meaning a very significant contribution to the overall local energy demand through a very achievable deployment plan. The PV only scenario does not show a maximum value for IP and further deployment continues to improve independence. We believe </w:t>
      </w:r>
      <w:r w:rsidRPr="00AD750D">
        <w:rPr>
          <w:rFonts w:ascii="Arial" w:hAnsi="Arial"/>
          <w:sz w:val="18"/>
          <w:szCs w:val="18"/>
          <w:lang w:val="en-US"/>
        </w:rPr>
        <w:lastRenderedPageBreak/>
        <w:t xml:space="preserve">that the increasing PV deployment and high storage capacity starts to achieve day-night energy balancing into the shoulder seasons when PV generation starts to reduce. The significant over-production in the summer must be outweighed by the increased independence in the shoulder seasons. However (Table 4) the </w:t>
      </w:r>
      <w:r w:rsidRPr="00AD750D">
        <w:rPr>
          <w:rFonts w:ascii="Arial" w:hAnsi="Arial" w:cs="Times New Roman"/>
          <w:i/>
          <w:sz w:val="18"/>
          <w:szCs w:val="18"/>
          <w:lang w:val="en-US"/>
        </w:rPr>
        <w:t>EROI</w:t>
      </w:r>
      <w:r w:rsidRPr="00AD750D">
        <w:rPr>
          <w:rFonts w:ascii="Arial" w:hAnsi="Arial"/>
          <w:sz w:val="18"/>
          <w:szCs w:val="18"/>
          <w:lang w:val="en-US"/>
        </w:rPr>
        <w:t xml:space="preserve"> when the PV component is increased drops markedly (from approximately 30 to less than 10). In terms of both high independence and high energy return on investment, wind dominated scenarios are significantly better than solar.</w:t>
      </w:r>
    </w:p>
    <w:p w14:paraId="1709C8C4" w14:textId="77777777" w:rsidR="009A0C3A" w:rsidRDefault="009A0C3A" w:rsidP="009A0C3A">
      <w:pPr>
        <w:spacing w:line="288" w:lineRule="auto"/>
        <w:jc w:val="both"/>
        <w:rPr>
          <w:sz w:val="16"/>
          <w:szCs w:val="16"/>
          <w:lang w:val="en-US"/>
        </w:rPr>
      </w:pPr>
    </w:p>
    <w:p w14:paraId="675C34DE" w14:textId="77777777" w:rsidR="00AD750D" w:rsidRPr="009A0C3A" w:rsidRDefault="00AD750D" w:rsidP="009A0C3A">
      <w:pPr>
        <w:spacing w:line="288" w:lineRule="auto"/>
        <w:jc w:val="both"/>
        <w:rPr>
          <w:sz w:val="16"/>
          <w:szCs w:val="16"/>
          <w:lang w:val="en-US"/>
        </w:rPr>
      </w:pPr>
    </w:p>
    <w:p w14:paraId="2193E930" w14:textId="45B35441" w:rsidR="009A0C3A" w:rsidRPr="00AD750D" w:rsidRDefault="009A0C3A" w:rsidP="009A0C3A">
      <w:pPr>
        <w:autoSpaceDE w:val="0"/>
        <w:autoSpaceDN w:val="0"/>
        <w:adjustRightInd w:val="0"/>
        <w:spacing w:after="0" w:line="288" w:lineRule="auto"/>
        <w:jc w:val="both"/>
        <w:rPr>
          <w:rFonts w:ascii="Arial" w:hAnsi="Arial"/>
          <w:sz w:val="18"/>
          <w:szCs w:val="18"/>
          <w:lang w:val="en-US"/>
        </w:rPr>
      </w:pPr>
      <w:r w:rsidRPr="00AD750D">
        <w:rPr>
          <w:rFonts w:ascii="Arial" w:hAnsi="Arial"/>
          <w:b/>
          <w:sz w:val="18"/>
          <w:szCs w:val="18"/>
          <w:lang w:val="en-US"/>
        </w:rPr>
        <w:t>Table S4.</w:t>
      </w:r>
      <w:r w:rsidRPr="00AD750D">
        <w:rPr>
          <w:rFonts w:ascii="Arial" w:hAnsi="Arial"/>
          <w:sz w:val="18"/>
          <w:szCs w:val="18"/>
          <w:lang w:val="en-US"/>
        </w:rPr>
        <w:t xml:space="preserve"> Results of optimized deployment scenarios for the three different storage technologies. </w:t>
      </w:r>
    </w:p>
    <w:tbl>
      <w:tblPr>
        <w:tblStyle w:val="LightShading"/>
        <w:tblW w:w="0" w:type="auto"/>
        <w:shd w:val="clear" w:color="auto" w:fill="FFFFFF" w:themeFill="background1"/>
        <w:tblLook w:val="04A0" w:firstRow="1" w:lastRow="0" w:firstColumn="1" w:lastColumn="0" w:noHBand="0" w:noVBand="1"/>
      </w:tblPr>
      <w:tblGrid>
        <w:gridCol w:w="1668"/>
        <w:gridCol w:w="1412"/>
        <w:gridCol w:w="1540"/>
        <w:gridCol w:w="1540"/>
        <w:gridCol w:w="1541"/>
        <w:gridCol w:w="1541"/>
      </w:tblGrid>
      <w:tr w:rsidR="009A0C3A" w:rsidRPr="00AD750D" w14:paraId="63A54439" w14:textId="77777777" w:rsidTr="009A0C3A">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668" w:type="dxa"/>
            <w:tcBorders>
              <w:top w:val="nil"/>
              <w:bottom w:val="double" w:sz="4" w:space="0" w:color="auto"/>
            </w:tcBorders>
            <w:shd w:val="clear" w:color="auto" w:fill="FFFFFF" w:themeFill="background1"/>
          </w:tcPr>
          <w:p w14:paraId="42659FB8"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Scenario</w:t>
            </w:r>
          </w:p>
        </w:tc>
        <w:tc>
          <w:tcPr>
            <w:tcW w:w="1412" w:type="dxa"/>
            <w:tcBorders>
              <w:top w:val="nil"/>
              <w:bottom w:val="double" w:sz="4" w:space="0" w:color="auto"/>
            </w:tcBorders>
            <w:shd w:val="clear" w:color="auto" w:fill="FFFFFF" w:themeFill="background1"/>
          </w:tcPr>
          <w:p w14:paraId="4FAD220C"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Generation capacity / MW</w:t>
            </w:r>
          </w:p>
        </w:tc>
        <w:tc>
          <w:tcPr>
            <w:tcW w:w="1540" w:type="dxa"/>
            <w:tcBorders>
              <w:top w:val="nil"/>
              <w:bottom w:val="double" w:sz="4" w:space="0" w:color="auto"/>
            </w:tcBorders>
            <w:shd w:val="clear" w:color="auto" w:fill="FFFFFF" w:themeFill="background1"/>
          </w:tcPr>
          <w:p w14:paraId="3FFFF5C9"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EROI</w:t>
            </w:r>
          </w:p>
        </w:tc>
        <w:tc>
          <w:tcPr>
            <w:tcW w:w="1540" w:type="dxa"/>
            <w:tcBorders>
              <w:top w:val="nil"/>
              <w:bottom w:val="double" w:sz="4" w:space="0" w:color="auto"/>
            </w:tcBorders>
            <w:shd w:val="clear" w:color="auto" w:fill="FFFFFF" w:themeFill="background1"/>
          </w:tcPr>
          <w:p w14:paraId="5984E82D"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IP</w:t>
            </w:r>
          </w:p>
        </w:tc>
        <w:tc>
          <w:tcPr>
            <w:tcW w:w="1541" w:type="dxa"/>
            <w:tcBorders>
              <w:top w:val="nil"/>
              <w:bottom w:val="double" w:sz="4" w:space="0" w:color="auto"/>
            </w:tcBorders>
            <w:shd w:val="clear" w:color="auto" w:fill="FFFFFF" w:themeFill="background1"/>
          </w:tcPr>
          <w:p w14:paraId="5ACBDD1D"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Storage capacity</w:t>
            </w:r>
          </w:p>
          <w:p w14:paraId="59EE8869"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 MWh</w:t>
            </w:r>
          </w:p>
        </w:tc>
        <w:tc>
          <w:tcPr>
            <w:tcW w:w="1541" w:type="dxa"/>
            <w:tcBorders>
              <w:top w:val="nil"/>
              <w:bottom w:val="double" w:sz="4" w:space="0" w:color="auto"/>
            </w:tcBorders>
            <w:shd w:val="clear" w:color="auto" w:fill="FFFFFF" w:themeFill="background1"/>
          </w:tcPr>
          <w:p w14:paraId="2EF40D0C" w14:textId="77777777" w:rsidR="009A0C3A" w:rsidRPr="00AD750D" w:rsidRDefault="009A0C3A" w:rsidP="009A0C3A">
            <w:pPr>
              <w:autoSpaceDE w:val="0"/>
              <w:autoSpaceDN w:val="0"/>
              <w:adjustRightInd w:val="0"/>
              <w:spacing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Storage technology</w:t>
            </w:r>
          </w:p>
        </w:tc>
      </w:tr>
      <w:tr w:rsidR="009A0C3A" w:rsidRPr="00AD750D" w14:paraId="455C4D03" w14:textId="77777777" w:rsidTr="009A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563727C1"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Wind 1 – small</w:t>
            </w:r>
          </w:p>
        </w:tc>
        <w:tc>
          <w:tcPr>
            <w:tcW w:w="1412" w:type="dxa"/>
            <w:shd w:val="clear" w:color="auto" w:fill="FFFFFF" w:themeFill="background1"/>
          </w:tcPr>
          <w:p w14:paraId="1CFD0A48"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6.6</w:t>
            </w:r>
          </w:p>
        </w:tc>
        <w:tc>
          <w:tcPr>
            <w:tcW w:w="1540" w:type="dxa"/>
            <w:shd w:val="clear" w:color="auto" w:fill="FFFFFF" w:themeFill="background1"/>
          </w:tcPr>
          <w:p w14:paraId="3280269A"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38.5</w:t>
            </w:r>
          </w:p>
        </w:tc>
        <w:tc>
          <w:tcPr>
            <w:tcW w:w="1540" w:type="dxa"/>
            <w:shd w:val="clear" w:color="auto" w:fill="FFFFFF" w:themeFill="background1"/>
          </w:tcPr>
          <w:p w14:paraId="7955AF7E"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0.45</w:t>
            </w:r>
          </w:p>
        </w:tc>
        <w:tc>
          <w:tcPr>
            <w:tcW w:w="1541" w:type="dxa"/>
            <w:shd w:val="clear" w:color="auto" w:fill="FFFFFF" w:themeFill="background1"/>
          </w:tcPr>
          <w:p w14:paraId="673A74E6"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74</w:t>
            </w:r>
          </w:p>
        </w:tc>
        <w:tc>
          <w:tcPr>
            <w:tcW w:w="1541" w:type="dxa"/>
            <w:shd w:val="clear" w:color="auto" w:fill="FFFFFF" w:themeFill="background1"/>
          </w:tcPr>
          <w:p w14:paraId="48A38CC5"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PbA</w:t>
            </w:r>
          </w:p>
        </w:tc>
      </w:tr>
      <w:tr w:rsidR="009A0C3A" w:rsidRPr="00AD750D" w14:paraId="436E714C" w14:textId="77777777" w:rsidTr="009A0C3A">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01035811"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Wind 2 – med</w:t>
            </w:r>
          </w:p>
        </w:tc>
        <w:tc>
          <w:tcPr>
            <w:tcW w:w="1412" w:type="dxa"/>
            <w:shd w:val="clear" w:color="auto" w:fill="FFFFFF" w:themeFill="background1"/>
          </w:tcPr>
          <w:p w14:paraId="78562DD5"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7.2</w:t>
            </w:r>
          </w:p>
        </w:tc>
        <w:tc>
          <w:tcPr>
            <w:tcW w:w="1540" w:type="dxa"/>
            <w:tcBorders>
              <w:bottom w:val="nil"/>
            </w:tcBorders>
            <w:shd w:val="clear" w:color="auto" w:fill="FFFFFF" w:themeFill="background1"/>
          </w:tcPr>
          <w:p w14:paraId="1D294449"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27.8</w:t>
            </w:r>
          </w:p>
        </w:tc>
        <w:tc>
          <w:tcPr>
            <w:tcW w:w="1540" w:type="dxa"/>
            <w:shd w:val="clear" w:color="auto" w:fill="FFFFFF" w:themeFill="background1"/>
          </w:tcPr>
          <w:p w14:paraId="532D65EE"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0.42</w:t>
            </w:r>
          </w:p>
        </w:tc>
        <w:tc>
          <w:tcPr>
            <w:tcW w:w="1541" w:type="dxa"/>
            <w:shd w:val="clear" w:color="auto" w:fill="FFFFFF" w:themeFill="background1"/>
          </w:tcPr>
          <w:p w14:paraId="0FAC4B42"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98</w:t>
            </w:r>
          </w:p>
        </w:tc>
        <w:tc>
          <w:tcPr>
            <w:tcW w:w="1541" w:type="dxa"/>
            <w:shd w:val="clear" w:color="auto" w:fill="FFFFFF" w:themeFill="background1"/>
          </w:tcPr>
          <w:p w14:paraId="5FCFD6C0"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PbA</w:t>
            </w:r>
          </w:p>
        </w:tc>
      </w:tr>
      <w:tr w:rsidR="009A0C3A" w:rsidRPr="00AD750D" w14:paraId="6506EE59" w14:textId="77777777" w:rsidTr="009A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7EFD3983"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Wind 3 – large</w:t>
            </w:r>
          </w:p>
        </w:tc>
        <w:tc>
          <w:tcPr>
            <w:tcW w:w="1412" w:type="dxa"/>
            <w:shd w:val="clear" w:color="auto" w:fill="FFFFFF" w:themeFill="background1"/>
          </w:tcPr>
          <w:p w14:paraId="53944CAD"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7.8</w:t>
            </w:r>
          </w:p>
        </w:tc>
        <w:tc>
          <w:tcPr>
            <w:tcW w:w="1540" w:type="dxa"/>
            <w:tcBorders>
              <w:top w:val="nil"/>
            </w:tcBorders>
            <w:shd w:val="clear" w:color="auto" w:fill="FFFFFF" w:themeFill="background1"/>
          </w:tcPr>
          <w:p w14:paraId="7B4E6CE0"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26.5</w:t>
            </w:r>
          </w:p>
        </w:tc>
        <w:tc>
          <w:tcPr>
            <w:tcW w:w="1540" w:type="dxa"/>
            <w:shd w:val="clear" w:color="auto" w:fill="FFFFFF" w:themeFill="background1"/>
          </w:tcPr>
          <w:p w14:paraId="0AB3BA06"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0.44</w:t>
            </w:r>
          </w:p>
        </w:tc>
        <w:tc>
          <w:tcPr>
            <w:tcW w:w="1541" w:type="dxa"/>
            <w:shd w:val="clear" w:color="auto" w:fill="FFFFFF" w:themeFill="background1"/>
          </w:tcPr>
          <w:p w14:paraId="2BF43A58"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123</w:t>
            </w:r>
          </w:p>
        </w:tc>
        <w:tc>
          <w:tcPr>
            <w:tcW w:w="1541" w:type="dxa"/>
            <w:shd w:val="clear" w:color="auto" w:fill="FFFFFF" w:themeFill="background1"/>
          </w:tcPr>
          <w:p w14:paraId="536F045B"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PbA</w:t>
            </w:r>
          </w:p>
        </w:tc>
      </w:tr>
      <w:tr w:rsidR="009A0C3A" w:rsidRPr="00AD750D" w14:paraId="18C3F2E4" w14:textId="77777777" w:rsidTr="009A0C3A">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55F2BD9F"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PV only</w:t>
            </w:r>
          </w:p>
        </w:tc>
        <w:tc>
          <w:tcPr>
            <w:tcW w:w="1412" w:type="dxa"/>
            <w:shd w:val="clear" w:color="auto" w:fill="FFFFFF" w:themeFill="background1"/>
          </w:tcPr>
          <w:p w14:paraId="5C616F2D"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18.2</w:t>
            </w:r>
          </w:p>
        </w:tc>
        <w:tc>
          <w:tcPr>
            <w:tcW w:w="1540" w:type="dxa"/>
            <w:shd w:val="clear" w:color="auto" w:fill="FFFFFF" w:themeFill="background1"/>
          </w:tcPr>
          <w:p w14:paraId="20F2F933"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5.5</w:t>
            </w:r>
          </w:p>
        </w:tc>
        <w:tc>
          <w:tcPr>
            <w:tcW w:w="1540" w:type="dxa"/>
            <w:shd w:val="clear" w:color="auto" w:fill="FFFFFF" w:themeFill="background1"/>
          </w:tcPr>
          <w:p w14:paraId="244EE9ED"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0.43</w:t>
            </w:r>
          </w:p>
        </w:tc>
        <w:tc>
          <w:tcPr>
            <w:tcW w:w="1541" w:type="dxa"/>
            <w:shd w:val="clear" w:color="auto" w:fill="FFFFFF" w:themeFill="background1"/>
          </w:tcPr>
          <w:p w14:paraId="0270FF1F"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184</w:t>
            </w:r>
          </w:p>
        </w:tc>
        <w:tc>
          <w:tcPr>
            <w:tcW w:w="1541" w:type="dxa"/>
            <w:shd w:val="clear" w:color="auto" w:fill="FFFFFF" w:themeFill="background1"/>
          </w:tcPr>
          <w:p w14:paraId="43F7E974"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PbA</w:t>
            </w:r>
          </w:p>
        </w:tc>
      </w:tr>
      <w:tr w:rsidR="009A0C3A" w:rsidRPr="00AD750D" w14:paraId="3273F709" w14:textId="77777777" w:rsidTr="009A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bottom w:val="double" w:sz="4" w:space="0" w:color="auto"/>
            </w:tcBorders>
            <w:shd w:val="clear" w:color="auto" w:fill="FFFFFF" w:themeFill="background1"/>
          </w:tcPr>
          <w:p w14:paraId="3049E6F3"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Hybrid</w:t>
            </w:r>
          </w:p>
        </w:tc>
        <w:tc>
          <w:tcPr>
            <w:tcW w:w="1412" w:type="dxa"/>
            <w:tcBorders>
              <w:bottom w:val="double" w:sz="4" w:space="0" w:color="auto"/>
            </w:tcBorders>
            <w:shd w:val="clear" w:color="auto" w:fill="FFFFFF" w:themeFill="background1"/>
          </w:tcPr>
          <w:p w14:paraId="1E2DD51E"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13.6</w:t>
            </w:r>
          </w:p>
        </w:tc>
        <w:tc>
          <w:tcPr>
            <w:tcW w:w="1540" w:type="dxa"/>
            <w:tcBorders>
              <w:bottom w:val="double" w:sz="4" w:space="0" w:color="auto"/>
            </w:tcBorders>
            <w:shd w:val="clear" w:color="auto" w:fill="FFFFFF" w:themeFill="background1"/>
          </w:tcPr>
          <w:p w14:paraId="5F559565"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13.7</w:t>
            </w:r>
          </w:p>
        </w:tc>
        <w:tc>
          <w:tcPr>
            <w:tcW w:w="1540" w:type="dxa"/>
            <w:tcBorders>
              <w:bottom w:val="double" w:sz="4" w:space="0" w:color="auto"/>
            </w:tcBorders>
            <w:shd w:val="clear" w:color="auto" w:fill="FFFFFF" w:themeFill="background1"/>
          </w:tcPr>
          <w:p w14:paraId="7151380D"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0.56</w:t>
            </w:r>
          </w:p>
        </w:tc>
        <w:tc>
          <w:tcPr>
            <w:tcW w:w="1541" w:type="dxa"/>
            <w:tcBorders>
              <w:bottom w:val="double" w:sz="4" w:space="0" w:color="auto"/>
            </w:tcBorders>
            <w:shd w:val="clear" w:color="auto" w:fill="FFFFFF" w:themeFill="background1"/>
          </w:tcPr>
          <w:p w14:paraId="53E04E4C"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172</w:t>
            </w:r>
          </w:p>
        </w:tc>
        <w:tc>
          <w:tcPr>
            <w:tcW w:w="1541" w:type="dxa"/>
            <w:tcBorders>
              <w:bottom w:val="double" w:sz="4" w:space="0" w:color="auto"/>
            </w:tcBorders>
            <w:shd w:val="clear" w:color="auto" w:fill="FFFFFF" w:themeFill="background1"/>
          </w:tcPr>
          <w:p w14:paraId="5F2891F3"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PbA</w:t>
            </w:r>
          </w:p>
        </w:tc>
      </w:tr>
      <w:tr w:rsidR="009A0C3A" w:rsidRPr="00AD750D" w14:paraId="4BB193CB" w14:textId="77777777" w:rsidTr="009A0C3A">
        <w:tc>
          <w:tcPr>
            <w:cnfStyle w:val="001000000000" w:firstRow="0" w:lastRow="0" w:firstColumn="1" w:lastColumn="0" w:oddVBand="0" w:evenVBand="0" w:oddHBand="0" w:evenHBand="0" w:firstRowFirstColumn="0" w:firstRowLastColumn="0" w:lastRowFirstColumn="0" w:lastRowLastColumn="0"/>
            <w:tcW w:w="1668" w:type="dxa"/>
            <w:tcBorders>
              <w:top w:val="double" w:sz="4" w:space="0" w:color="auto"/>
            </w:tcBorders>
            <w:shd w:val="clear" w:color="auto" w:fill="FFFFFF" w:themeFill="background1"/>
          </w:tcPr>
          <w:p w14:paraId="25D8F35B"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Wind 1 – small</w:t>
            </w:r>
          </w:p>
        </w:tc>
        <w:tc>
          <w:tcPr>
            <w:tcW w:w="1412" w:type="dxa"/>
            <w:tcBorders>
              <w:top w:val="double" w:sz="4" w:space="0" w:color="auto"/>
            </w:tcBorders>
            <w:shd w:val="clear" w:color="auto" w:fill="FFFFFF" w:themeFill="background1"/>
          </w:tcPr>
          <w:p w14:paraId="0EFCB0CB"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6.6</w:t>
            </w:r>
          </w:p>
        </w:tc>
        <w:tc>
          <w:tcPr>
            <w:tcW w:w="1540" w:type="dxa"/>
            <w:tcBorders>
              <w:top w:val="double" w:sz="4" w:space="0" w:color="auto"/>
            </w:tcBorders>
            <w:shd w:val="clear" w:color="auto" w:fill="FFFFFF" w:themeFill="background1"/>
          </w:tcPr>
          <w:p w14:paraId="0F172135"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38.6</w:t>
            </w:r>
          </w:p>
        </w:tc>
        <w:tc>
          <w:tcPr>
            <w:tcW w:w="1540" w:type="dxa"/>
            <w:tcBorders>
              <w:top w:val="double" w:sz="4" w:space="0" w:color="auto"/>
            </w:tcBorders>
            <w:shd w:val="clear" w:color="auto" w:fill="FFFFFF" w:themeFill="background1"/>
          </w:tcPr>
          <w:p w14:paraId="0561B058"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0.49</w:t>
            </w:r>
          </w:p>
        </w:tc>
        <w:tc>
          <w:tcPr>
            <w:tcW w:w="1541" w:type="dxa"/>
            <w:tcBorders>
              <w:top w:val="double" w:sz="4" w:space="0" w:color="auto"/>
            </w:tcBorders>
            <w:shd w:val="clear" w:color="auto" w:fill="FFFFFF" w:themeFill="background1"/>
          </w:tcPr>
          <w:p w14:paraId="0FB6DB64"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37</w:t>
            </w:r>
          </w:p>
        </w:tc>
        <w:tc>
          <w:tcPr>
            <w:tcW w:w="1541" w:type="dxa"/>
            <w:tcBorders>
              <w:top w:val="double" w:sz="4" w:space="0" w:color="auto"/>
            </w:tcBorders>
            <w:shd w:val="clear" w:color="auto" w:fill="FFFFFF" w:themeFill="background1"/>
          </w:tcPr>
          <w:p w14:paraId="750B4060"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Li-ion</w:t>
            </w:r>
          </w:p>
        </w:tc>
      </w:tr>
      <w:tr w:rsidR="009A0C3A" w:rsidRPr="00AD750D" w14:paraId="56B13C7F" w14:textId="77777777" w:rsidTr="009A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767FA264"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Wind 2 – med</w:t>
            </w:r>
          </w:p>
        </w:tc>
        <w:tc>
          <w:tcPr>
            <w:tcW w:w="1412" w:type="dxa"/>
            <w:shd w:val="clear" w:color="auto" w:fill="FFFFFF" w:themeFill="background1"/>
          </w:tcPr>
          <w:p w14:paraId="1985D9C1"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7.8</w:t>
            </w:r>
          </w:p>
        </w:tc>
        <w:tc>
          <w:tcPr>
            <w:tcW w:w="1540" w:type="dxa"/>
            <w:shd w:val="clear" w:color="auto" w:fill="FFFFFF" w:themeFill="background1"/>
          </w:tcPr>
          <w:p w14:paraId="3EFF8BAB"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26.2</w:t>
            </w:r>
          </w:p>
        </w:tc>
        <w:tc>
          <w:tcPr>
            <w:tcW w:w="1540" w:type="dxa"/>
            <w:shd w:val="clear" w:color="auto" w:fill="FFFFFF" w:themeFill="background1"/>
          </w:tcPr>
          <w:p w14:paraId="6C9DEEB1"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0.49</w:t>
            </w:r>
          </w:p>
        </w:tc>
        <w:tc>
          <w:tcPr>
            <w:tcW w:w="1541" w:type="dxa"/>
            <w:shd w:val="clear" w:color="auto" w:fill="FFFFFF" w:themeFill="background1"/>
          </w:tcPr>
          <w:p w14:paraId="01DAF8C3"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61</w:t>
            </w:r>
          </w:p>
        </w:tc>
        <w:tc>
          <w:tcPr>
            <w:tcW w:w="1541" w:type="dxa"/>
            <w:shd w:val="clear" w:color="auto" w:fill="FFFFFF" w:themeFill="background1"/>
          </w:tcPr>
          <w:p w14:paraId="4885F913"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Li-ion</w:t>
            </w:r>
          </w:p>
        </w:tc>
      </w:tr>
      <w:tr w:rsidR="009A0C3A" w:rsidRPr="00AD750D" w14:paraId="409A5CDA" w14:textId="77777777" w:rsidTr="009A0C3A">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686AC8DF"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Wind 3 – large</w:t>
            </w:r>
          </w:p>
        </w:tc>
        <w:tc>
          <w:tcPr>
            <w:tcW w:w="1412" w:type="dxa"/>
            <w:shd w:val="clear" w:color="auto" w:fill="FFFFFF" w:themeFill="background1"/>
          </w:tcPr>
          <w:p w14:paraId="63A91310"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7.8</w:t>
            </w:r>
          </w:p>
        </w:tc>
        <w:tc>
          <w:tcPr>
            <w:tcW w:w="1540" w:type="dxa"/>
            <w:shd w:val="clear" w:color="auto" w:fill="FFFFFF" w:themeFill="background1"/>
          </w:tcPr>
          <w:p w14:paraId="684D36E9"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26.7</w:t>
            </w:r>
          </w:p>
        </w:tc>
        <w:tc>
          <w:tcPr>
            <w:tcW w:w="1540" w:type="dxa"/>
            <w:shd w:val="clear" w:color="auto" w:fill="FFFFFF" w:themeFill="background1"/>
          </w:tcPr>
          <w:p w14:paraId="75406A46"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0.49</w:t>
            </w:r>
          </w:p>
        </w:tc>
        <w:tc>
          <w:tcPr>
            <w:tcW w:w="1541" w:type="dxa"/>
            <w:shd w:val="clear" w:color="auto" w:fill="FFFFFF" w:themeFill="background1"/>
          </w:tcPr>
          <w:p w14:paraId="4339F345"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61</w:t>
            </w:r>
          </w:p>
        </w:tc>
        <w:tc>
          <w:tcPr>
            <w:tcW w:w="1541" w:type="dxa"/>
            <w:shd w:val="clear" w:color="auto" w:fill="FFFFFF" w:themeFill="background1"/>
          </w:tcPr>
          <w:p w14:paraId="21367104"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Li-ion</w:t>
            </w:r>
          </w:p>
        </w:tc>
      </w:tr>
      <w:tr w:rsidR="009A0C3A" w:rsidRPr="00AD750D" w14:paraId="294D0B96" w14:textId="77777777" w:rsidTr="009A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7CE8EC16"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PV only</w:t>
            </w:r>
          </w:p>
        </w:tc>
        <w:tc>
          <w:tcPr>
            <w:tcW w:w="1412" w:type="dxa"/>
            <w:shd w:val="clear" w:color="auto" w:fill="FFFFFF" w:themeFill="background1"/>
          </w:tcPr>
          <w:p w14:paraId="0EB6007B"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23.7</w:t>
            </w:r>
          </w:p>
        </w:tc>
        <w:tc>
          <w:tcPr>
            <w:tcW w:w="1540" w:type="dxa"/>
            <w:shd w:val="clear" w:color="auto" w:fill="FFFFFF" w:themeFill="background1"/>
          </w:tcPr>
          <w:p w14:paraId="773D2527"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5.5</w:t>
            </w:r>
          </w:p>
        </w:tc>
        <w:tc>
          <w:tcPr>
            <w:tcW w:w="1540" w:type="dxa"/>
            <w:shd w:val="clear" w:color="auto" w:fill="FFFFFF" w:themeFill="background1"/>
          </w:tcPr>
          <w:p w14:paraId="7FC74B64"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0.51</w:t>
            </w:r>
          </w:p>
        </w:tc>
        <w:tc>
          <w:tcPr>
            <w:tcW w:w="1541" w:type="dxa"/>
            <w:shd w:val="clear" w:color="auto" w:fill="FFFFFF" w:themeFill="background1"/>
          </w:tcPr>
          <w:p w14:paraId="1BA42FD8"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86</w:t>
            </w:r>
          </w:p>
        </w:tc>
        <w:tc>
          <w:tcPr>
            <w:tcW w:w="1541" w:type="dxa"/>
            <w:shd w:val="clear" w:color="auto" w:fill="FFFFFF" w:themeFill="background1"/>
          </w:tcPr>
          <w:p w14:paraId="04CC3655"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Li-ion</w:t>
            </w:r>
          </w:p>
        </w:tc>
      </w:tr>
      <w:tr w:rsidR="009A0C3A" w:rsidRPr="00AD750D" w14:paraId="4879457F" w14:textId="77777777" w:rsidTr="009A0C3A">
        <w:trPr>
          <w:trHeight w:val="207"/>
        </w:trPr>
        <w:tc>
          <w:tcPr>
            <w:cnfStyle w:val="001000000000" w:firstRow="0" w:lastRow="0" w:firstColumn="1" w:lastColumn="0" w:oddVBand="0" w:evenVBand="0" w:oddHBand="0" w:evenHBand="0" w:firstRowFirstColumn="0" w:firstRowLastColumn="0" w:lastRowFirstColumn="0" w:lastRowLastColumn="0"/>
            <w:tcW w:w="1668" w:type="dxa"/>
            <w:tcBorders>
              <w:bottom w:val="double" w:sz="4" w:space="0" w:color="auto"/>
            </w:tcBorders>
            <w:shd w:val="clear" w:color="auto" w:fill="FFFFFF" w:themeFill="background1"/>
          </w:tcPr>
          <w:p w14:paraId="0BC22F85"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Hybrid</w:t>
            </w:r>
          </w:p>
        </w:tc>
        <w:tc>
          <w:tcPr>
            <w:tcW w:w="1412" w:type="dxa"/>
            <w:tcBorders>
              <w:bottom w:val="double" w:sz="4" w:space="0" w:color="auto"/>
            </w:tcBorders>
            <w:shd w:val="clear" w:color="auto" w:fill="FFFFFF" w:themeFill="background1"/>
          </w:tcPr>
          <w:p w14:paraId="33A5B35F"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13.6</w:t>
            </w:r>
          </w:p>
        </w:tc>
        <w:tc>
          <w:tcPr>
            <w:tcW w:w="1540" w:type="dxa"/>
            <w:tcBorders>
              <w:bottom w:val="double" w:sz="4" w:space="0" w:color="auto"/>
            </w:tcBorders>
            <w:shd w:val="clear" w:color="auto" w:fill="FFFFFF" w:themeFill="background1"/>
          </w:tcPr>
          <w:p w14:paraId="76DF03DF"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14.6</w:t>
            </w:r>
          </w:p>
        </w:tc>
        <w:tc>
          <w:tcPr>
            <w:tcW w:w="1540" w:type="dxa"/>
            <w:tcBorders>
              <w:bottom w:val="double" w:sz="4" w:space="0" w:color="auto"/>
            </w:tcBorders>
            <w:shd w:val="clear" w:color="auto" w:fill="FFFFFF" w:themeFill="background1"/>
          </w:tcPr>
          <w:p w14:paraId="64A48356"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0.59</w:t>
            </w:r>
          </w:p>
        </w:tc>
        <w:tc>
          <w:tcPr>
            <w:tcW w:w="1541" w:type="dxa"/>
            <w:tcBorders>
              <w:bottom w:val="double" w:sz="4" w:space="0" w:color="auto"/>
            </w:tcBorders>
            <w:shd w:val="clear" w:color="auto" w:fill="FFFFFF" w:themeFill="background1"/>
          </w:tcPr>
          <w:p w14:paraId="164F67DD"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74</w:t>
            </w:r>
          </w:p>
        </w:tc>
        <w:tc>
          <w:tcPr>
            <w:tcW w:w="1541" w:type="dxa"/>
            <w:tcBorders>
              <w:bottom w:val="double" w:sz="4" w:space="0" w:color="auto"/>
            </w:tcBorders>
            <w:shd w:val="clear" w:color="auto" w:fill="FFFFFF" w:themeFill="background1"/>
          </w:tcPr>
          <w:p w14:paraId="7F505928"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Li-ion</w:t>
            </w:r>
          </w:p>
        </w:tc>
      </w:tr>
      <w:tr w:rsidR="009A0C3A" w:rsidRPr="00AD750D" w14:paraId="7C2D7897" w14:textId="77777777" w:rsidTr="009A0C3A">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668" w:type="dxa"/>
            <w:tcBorders>
              <w:top w:val="double" w:sz="4" w:space="0" w:color="auto"/>
            </w:tcBorders>
            <w:shd w:val="clear" w:color="auto" w:fill="FFFFFF" w:themeFill="background1"/>
          </w:tcPr>
          <w:p w14:paraId="6F6BFD9D"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Wind 1 – small</w:t>
            </w:r>
          </w:p>
        </w:tc>
        <w:tc>
          <w:tcPr>
            <w:tcW w:w="1412" w:type="dxa"/>
            <w:tcBorders>
              <w:top w:val="double" w:sz="4" w:space="0" w:color="auto"/>
            </w:tcBorders>
            <w:shd w:val="clear" w:color="auto" w:fill="FFFFFF" w:themeFill="background1"/>
          </w:tcPr>
          <w:p w14:paraId="1CED6021"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7.8</w:t>
            </w:r>
          </w:p>
        </w:tc>
        <w:tc>
          <w:tcPr>
            <w:tcW w:w="1540" w:type="dxa"/>
            <w:tcBorders>
              <w:top w:val="double" w:sz="4" w:space="0" w:color="auto"/>
            </w:tcBorders>
            <w:shd w:val="clear" w:color="auto" w:fill="FFFFFF" w:themeFill="background1"/>
          </w:tcPr>
          <w:p w14:paraId="598DA1A3"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40.2</w:t>
            </w:r>
          </w:p>
        </w:tc>
        <w:tc>
          <w:tcPr>
            <w:tcW w:w="1540" w:type="dxa"/>
            <w:tcBorders>
              <w:top w:val="double" w:sz="4" w:space="0" w:color="auto"/>
            </w:tcBorders>
            <w:shd w:val="clear" w:color="auto" w:fill="FFFFFF" w:themeFill="background1"/>
          </w:tcPr>
          <w:p w14:paraId="297EC747"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0.67</w:t>
            </w:r>
          </w:p>
        </w:tc>
        <w:tc>
          <w:tcPr>
            <w:tcW w:w="1541" w:type="dxa"/>
            <w:tcBorders>
              <w:top w:val="double" w:sz="4" w:space="0" w:color="auto"/>
            </w:tcBorders>
            <w:shd w:val="clear" w:color="auto" w:fill="FFFFFF" w:themeFill="background1"/>
          </w:tcPr>
          <w:p w14:paraId="7FAFB931"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108</w:t>
            </w:r>
          </w:p>
        </w:tc>
        <w:tc>
          <w:tcPr>
            <w:tcW w:w="1541" w:type="dxa"/>
            <w:tcBorders>
              <w:top w:val="double" w:sz="4" w:space="0" w:color="auto"/>
            </w:tcBorders>
            <w:shd w:val="clear" w:color="auto" w:fill="FFFFFF" w:themeFill="background1"/>
          </w:tcPr>
          <w:p w14:paraId="13609B2B"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PHS</w:t>
            </w:r>
          </w:p>
        </w:tc>
      </w:tr>
      <w:tr w:rsidR="009A0C3A" w:rsidRPr="00AD750D" w14:paraId="4D184F06" w14:textId="77777777" w:rsidTr="009A0C3A">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77782CFE"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Wind 2 – med</w:t>
            </w:r>
          </w:p>
        </w:tc>
        <w:tc>
          <w:tcPr>
            <w:tcW w:w="1412" w:type="dxa"/>
            <w:shd w:val="clear" w:color="auto" w:fill="FFFFFF" w:themeFill="background1"/>
          </w:tcPr>
          <w:p w14:paraId="5862FB17"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8.4</w:t>
            </w:r>
          </w:p>
        </w:tc>
        <w:tc>
          <w:tcPr>
            <w:tcW w:w="1540" w:type="dxa"/>
            <w:shd w:val="clear" w:color="auto" w:fill="FFFFFF" w:themeFill="background1"/>
          </w:tcPr>
          <w:p w14:paraId="68479412"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30.4</w:t>
            </w:r>
          </w:p>
        </w:tc>
        <w:tc>
          <w:tcPr>
            <w:tcW w:w="1540" w:type="dxa"/>
            <w:shd w:val="clear" w:color="auto" w:fill="FFFFFF" w:themeFill="background1"/>
          </w:tcPr>
          <w:p w14:paraId="1D0853E7"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0.61</w:t>
            </w:r>
          </w:p>
        </w:tc>
        <w:tc>
          <w:tcPr>
            <w:tcW w:w="1541" w:type="dxa"/>
            <w:shd w:val="clear" w:color="auto" w:fill="FFFFFF" w:themeFill="background1"/>
          </w:tcPr>
          <w:p w14:paraId="638784D4"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120</w:t>
            </w:r>
          </w:p>
        </w:tc>
        <w:tc>
          <w:tcPr>
            <w:tcW w:w="1541" w:type="dxa"/>
            <w:shd w:val="clear" w:color="auto" w:fill="FFFFFF" w:themeFill="background1"/>
          </w:tcPr>
          <w:p w14:paraId="60FFB6E5"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PHS</w:t>
            </w:r>
          </w:p>
        </w:tc>
      </w:tr>
      <w:tr w:rsidR="009A0C3A" w:rsidRPr="00AD750D" w14:paraId="6C5DACE8" w14:textId="77777777" w:rsidTr="009A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389C7F3C"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Wind 3 - large</w:t>
            </w:r>
          </w:p>
        </w:tc>
        <w:tc>
          <w:tcPr>
            <w:tcW w:w="1412" w:type="dxa"/>
            <w:shd w:val="clear" w:color="auto" w:fill="FFFFFF" w:themeFill="background1"/>
          </w:tcPr>
          <w:p w14:paraId="66C9E368"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8.8</w:t>
            </w:r>
          </w:p>
        </w:tc>
        <w:tc>
          <w:tcPr>
            <w:tcW w:w="1540" w:type="dxa"/>
            <w:shd w:val="clear" w:color="auto" w:fill="FFFFFF" w:themeFill="background1"/>
          </w:tcPr>
          <w:p w14:paraId="6A25F8FA"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31.6</w:t>
            </w:r>
          </w:p>
        </w:tc>
        <w:tc>
          <w:tcPr>
            <w:tcW w:w="1540" w:type="dxa"/>
            <w:shd w:val="clear" w:color="auto" w:fill="FFFFFF" w:themeFill="background1"/>
          </w:tcPr>
          <w:p w14:paraId="4DCD73C0"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0.61</w:t>
            </w:r>
          </w:p>
        </w:tc>
        <w:tc>
          <w:tcPr>
            <w:tcW w:w="1541" w:type="dxa"/>
            <w:shd w:val="clear" w:color="auto" w:fill="FFFFFF" w:themeFill="background1"/>
          </w:tcPr>
          <w:p w14:paraId="5DDE59ED"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108</w:t>
            </w:r>
          </w:p>
        </w:tc>
        <w:tc>
          <w:tcPr>
            <w:tcW w:w="1541" w:type="dxa"/>
            <w:shd w:val="clear" w:color="auto" w:fill="FFFFFF" w:themeFill="background1"/>
          </w:tcPr>
          <w:p w14:paraId="362CB662"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PHS</w:t>
            </w:r>
          </w:p>
        </w:tc>
      </w:tr>
      <w:tr w:rsidR="009A0C3A" w:rsidRPr="00AD750D" w14:paraId="25A95AF8" w14:textId="77777777" w:rsidTr="009A0C3A">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60BF4248"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PV only</w:t>
            </w:r>
          </w:p>
        </w:tc>
        <w:tc>
          <w:tcPr>
            <w:tcW w:w="1412" w:type="dxa"/>
            <w:shd w:val="clear" w:color="auto" w:fill="FFFFFF" w:themeFill="background1"/>
          </w:tcPr>
          <w:p w14:paraId="245EA3B1"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18.2</w:t>
            </w:r>
          </w:p>
        </w:tc>
        <w:tc>
          <w:tcPr>
            <w:tcW w:w="1540" w:type="dxa"/>
            <w:shd w:val="clear" w:color="auto" w:fill="FFFFFF" w:themeFill="background1"/>
          </w:tcPr>
          <w:p w14:paraId="5DBA877A"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6.1</w:t>
            </w:r>
          </w:p>
        </w:tc>
        <w:tc>
          <w:tcPr>
            <w:tcW w:w="1540" w:type="dxa"/>
            <w:shd w:val="clear" w:color="auto" w:fill="FFFFFF" w:themeFill="background1"/>
          </w:tcPr>
          <w:p w14:paraId="57EC4CC7"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0.45</w:t>
            </w:r>
          </w:p>
        </w:tc>
        <w:tc>
          <w:tcPr>
            <w:tcW w:w="1541" w:type="dxa"/>
            <w:shd w:val="clear" w:color="auto" w:fill="FFFFFF" w:themeFill="background1"/>
          </w:tcPr>
          <w:p w14:paraId="1F4A58FE"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96</w:t>
            </w:r>
          </w:p>
        </w:tc>
        <w:tc>
          <w:tcPr>
            <w:tcW w:w="1541" w:type="dxa"/>
            <w:shd w:val="clear" w:color="auto" w:fill="FFFFFF" w:themeFill="background1"/>
          </w:tcPr>
          <w:p w14:paraId="0244D4EE" w14:textId="77777777" w:rsidR="009A0C3A" w:rsidRPr="00AD750D" w:rsidRDefault="009A0C3A" w:rsidP="009A0C3A">
            <w:pPr>
              <w:autoSpaceDE w:val="0"/>
              <w:autoSpaceDN w:val="0"/>
              <w:adjustRightInd w:val="0"/>
              <w:spacing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PHS</w:t>
            </w:r>
          </w:p>
        </w:tc>
      </w:tr>
      <w:tr w:rsidR="009A0C3A" w:rsidRPr="00AD750D" w14:paraId="329F87E4" w14:textId="77777777" w:rsidTr="009A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6D13B1E3" w14:textId="77777777" w:rsidR="009A0C3A" w:rsidRPr="00AD750D" w:rsidRDefault="009A0C3A" w:rsidP="009A0C3A">
            <w:pPr>
              <w:autoSpaceDE w:val="0"/>
              <w:autoSpaceDN w:val="0"/>
              <w:adjustRightInd w:val="0"/>
              <w:spacing w:line="288" w:lineRule="auto"/>
              <w:jc w:val="both"/>
              <w:rPr>
                <w:rFonts w:ascii="Arial" w:hAnsi="Arial"/>
                <w:sz w:val="18"/>
                <w:szCs w:val="18"/>
                <w:lang w:val="en-US"/>
              </w:rPr>
            </w:pPr>
            <w:r w:rsidRPr="00AD750D">
              <w:rPr>
                <w:rFonts w:ascii="Arial" w:hAnsi="Arial"/>
                <w:sz w:val="18"/>
                <w:szCs w:val="18"/>
                <w:lang w:val="en-US"/>
              </w:rPr>
              <w:t>Hybrid</w:t>
            </w:r>
          </w:p>
        </w:tc>
        <w:tc>
          <w:tcPr>
            <w:tcW w:w="1412" w:type="dxa"/>
            <w:shd w:val="clear" w:color="auto" w:fill="FFFFFF" w:themeFill="background1"/>
          </w:tcPr>
          <w:p w14:paraId="279C417C"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13.6</w:t>
            </w:r>
          </w:p>
        </w:tc>
        <w:tc>
          <w:tcPr>
            <w:tcW w:w="1540" w:type="dxa"/>
            <w:shd w:val="clear" w:color="auto" w:fill="FFFFFF" w:themeFill="background1"/>
          </w:tcPr>
          <w:p w14:paraId="3088FACE"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15.8</w:t>
            </w:r>
          </w:p>
        </w:tc>
        <w:tc>
          <w:tcPr>
            <w:tcW w:w="1540" w:type="dxa"/>
            <w:shd w:val="clear" w:color="auto" w:fill="FFFFFF" w:themeFill="background1"/>
          </w:tcPr>
          <w:p w14:paraId="120A72A0"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0.67</w:t>
            </w:r>
          </w:p>
        </w:tc>
        <w:tc>
          <w:tcPr>
            <w:tcW w:w="1541" w:type="dxa"/>
            <w:shd w:val="clear" w:color="auto" w:fill="FFFFFF" w:themeFill="background1"/>
          </w:tcPr>
          <w:p w14:paraId="35DC2A09"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132</w:t>
            </w:r>
          </w:p>
        </w:tc>
        <w:tc>
          <w:tcPr>
            <w:tcW w:w="1541" w:type="dxa"/>
            <w:shd w:val="clear" w:color="auto" w:fill="FFFFFF" w:themeFill="background1"/>
          </w:tcPr>
          <w:p w14:paraId="5A4560CD" w14:textId="77777777" w:rsidR="009A0C3A" w:rsidRPr="00AD750D" w:rsidRDefault="009A0C3A" w:rsidP="009A0C3A">
            <w:pPr>
              <w:autoSpaceDE w:val="0"/>
              <w:autoSpaceDN w:val="0"/>
              <w:adjustRightInd w:val="0"/>
              <w:spacing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sz w:val="18"/>
                <w:szCs w:val="18"/>
                <w:lang w:val="en-US"/>
              </w:rPr>
            </w:pPr>
            <w:r w:rsidRPr="00AD750D">
              <w:rPr>
                <w:rFonts w:ascii="Arial" w:hAnsi="Arial"/>
                <w:sz w:val="18"/>
                <w:szCs w:val="18"/>
                <w:lang w:val="en-US"/>
              </w:rPr>
              <w:t>PHS</w:t>
            </w:r>
          </w:p>
        </w:tc>
      </w:tr>
    </w:tbl>
    <w:p w14:paraId="2D2D137D" w14:textId="77777777" w:rsidR="009A0C3A" w:rsidRDefault="009A0C3A" w:rsidP="009A0C3A">
      <w:pPr>
        <w:autoSpaceDE w:val="0"/>
        <w:autoSpaceDN w:val="0"/>
        <w:adjustRightInd w:val="0"/>
        <w:spacing w:after="0" w:line="288" w:lineRule="auto"/>
        <w:jc w:val="both"/>
        <w:rPr>
          <w:rFonts w:ascii="Arial" w:hAnsi="Arial"/>
          <w:sz w:val="18"/>
          <w:szCs w:val="18"/>
          <w:lang w:val="en-US"/>
        </w:rPr>
      </w:pPr>
    </w:p>
    <w:p w14:paraId="5765194C" w14:textId="77777777" w:rsidR="00AD750D" w:rsidRDefault="00AD750D" w:rsidP="009A0C3A">
      <w:pPr>
        <w:autoSpaceDE w:val="0"/>
        <w:autoSpaceDN w:val="0"/>
        <w:adjustRightInd w:val="0"/>
        <w:spacing w:after="0" w:line="288" w:lineRule="auto"/>
        <w:jc w:val="both"/>
        <w:rPr>
          <w:rFonts w:ascii="Arial" w:hAnsi="Arial"/>
          <w:sz w:val="18"/>
          <w:szCs w:val="18"/>
          <w:lang w:val="en-US"/>
        </w:rPr>
      </w:pPr>
    </w:p>
    <w:p w14:paraId="5C8861BB" w14:textId="77777777" w:rsidR="00AD750D" w:rsidRPr="00AD750D" w:rsidRDefault="00AD750D" w:rsidP="009A0C3A">
      <w:pPr>
        <w:autoSpaceDE w:val="0"/>
        <w:autoSpaceDN w:val="0"/>
        <w:adjustRightInd w:val="0"/>
        <w:spacing w:after="0" w:line="288" w:lineRule="auto"/>
        <w:jc w:val="both"/>
        <w:rPr>
          <w:rFonts w:ascii="Arial" w:hAnsi="Arial"/>
          <w:sz w:val="18"/>
          <w:szCs w:val="18"/>
          <w:lang w:val="en-US"/>
        </w:rPr>
      </w:pPr>
    </w:p>
    <w:p w14:paraId="35517E33"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r w:rsidRPr="00AD750D">
        <w:rPr>
          <w:rFonts w:ascii="Arial" w:hAnsi="Arial"/>
          <w:noProof/>
          <w:sz w:val="18"/>
          <w:szCs w:val="18"/>
          <w:lang w:eastAsia="en-GB"/>
        </w:rPr>
        <w:drawing>
          <wp:inline distT="0" distB="0" distL="0" distR="0" wp14:anchorId="1599BA6C" wp14:editId="45917370">
            <wp:extent cx="2843880" cy="222637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i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0311" cy="2231406"/>
                    </a:xfrm>
                    <a:prstGeom prst="rect">
                      <a:avLst/>
                    </a:prstGeom>
                  </pic:spPr>
                </pic:pic>
              </a:graphicData>
            </a:graphic>
          </wp:inline>
        </w:drawing>
      </w:r>
      <w:r w:rsidRPr="00AD750D">
        <w:rPr>
          <w:rFonts w:ascii="Arial" w:hAnsi="Arial"/>
          <w:noProof/>
          <w:sz w:val="18"/>
          <w:szCs w:val="18"/>
          <w:lang w:eastAsia="en-GB"/>
        </w:rPr>
        <w:drawing>
          <wp:inline distT="0" distB="0" distL="0" distR="0" wp14:anchorId="78065DFC" wp14:editId="275085A2">
            <wp:extent cx="2860243" cy="22525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_ero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3455" cy="2255083"/>
                    </a:xfrm>
                    <a:prstGeom prst="rect">
                      <a:avLst/>
                    </a:prstGeom>
                  </pic:spPr>
                </pic:pic>
              </a:graphicData>
            </a:graphic>
          </wp:inline>
        </w:drawing>
      </w:r>
    </w:p>
    <w:p w14:paraId="12633190" w14:textId="77777777" w:rsidR="009A0C3A" w:rsidRPr="00AD750D" w:rsidRDefault="009A0C3A" w:rsidP="009A0C3A">
      <w:pPr>
        <w:autoSpaceDE w:val="0"/>
        <w:autoSpaceDN w:val="0"/>
        <w:adjustRightInd w:val="0"/>
        <w:spacing w:after="0" w:line="288" w:lineRule="auto"/>
        <w:jc w:val="both"/>
        <w:rPr>
          <w:rFonts w:ascii="Arial" w:hAnsi="Arial"/>
          <w:sz w:val="18"/>
          <w:szCs w:val="18"/>
          <w:lang w:val="en-US"/>
        </w:rPr>
      </w:pPr>
    </w:p>
    <w:p w14:paraId="615D974A" w14:textId="77777777" w:rsidR="00AD750D" w:rsidRDefault="009A0C3A" w:rsidP="009A0C3A">
      <w:pPr>
        <w:autoSpaceDE w:val="0"/>
        <w:autoSpaceDN w:val="0"/>
        <w:adjustRightInd w:val="0"/>
        <w:spacing w:after="0" w:line="288" w:lineRule="auto"/>
        <w:jc w:val="both"/>
        <w:rPr>
          <w:rFonts w:ascii="Arial" w:hAnsi="Arial"/>
          <w:sz w:val="18"/>
          <w:szCs w:val="18"/>
          <w:lang w:val="en-US"/>
        </w:rPr>
      </w:pPr>
      <w:r w:rsidRPr="00AD750D">
        <w:rPr>
          <w:rFonts w:ascii="Arial" w:hAnsi="Arial"/>
          <w:b/>
          <w:sz w:val="18"/>
          <w:szCs w:val="18"/>
          <w:lang w:val="en-US"/>
        </w:rPr>
        <w:t>Figure S2.</w:t>
      </w:r>
      <w:r w:rsidRPr="00AD750D">
        <w:rPr>
          <w:rFonts w:ascii="Arial" w:hAnsi="Arial"/>
          <w:sz w:val="18"/>
          <w:szCs w:val="18"/>
          <w:lang w:val="en-US"/>
        </w:rPr>
        <w:t xml:space="preserve"> The relationship between the independence proportion (IP), energy used return on investment (EROI) and the total installed capacity for particular deployment scenarios and storage technologies. </w:t>
      </w:r>
    </w:p>
    <w:p w14:paraId="02711C49" w14:textId="5E81D683" w:rsidR="009A0C3A" w:rsidRPr="00AD750D" w:rsidRDefault="009A0C3A" w:rsidP="009A0C3A">
      <w:pPr>
        <w:autoSpaceDE w:val="0"/>
        <w:autoSpaceDN w:val="0"/>
        <w:adjustRightInd w:val="0"/>
        <w:spacing w:after="0" w:line="288" w:lineRule="auto"/>
        <w:jc w:val="both"/>
        <w:rPr>
          <w:rFonts w:ascii="Arial" w:hAnsi="Arial"/>
          <w:sz w:val="18"/>
          <w:szCs w:val="18"/>
          <w:lang w:val="en-US"/>
        </w:rPr>
      </w:pPr>
      <w:r w:rsidRPr="00AD750D">
        <w:rPr>
          <w:rFonts w:ascii="Arial" w:hAnsi="Arial"/>
          <w:b/>
          <w:sz w:val="18"/>
          <w:szCs w:val="18"/>
          <w:lang w:val="en-US"/>
        </w:rPr>
        <w:t>Left:</w:t>
      </w:r>
      <w:r w:rsidRPr="00AD750D">
        <w:rPr>
          <w:rFonts w:ascii="Arial" w:hAnsi="Arial"/>
          <w:sz w:val="18"/>
          <w:szCs w:val="18"/>
          <w:lang w:val="en-US"/>
        </w:rPr>
        <w:t xml:space="preserve"> The higher storage capacity of pumped hydro (at lower energy cost) leads to higher overall independence. Wind dominated scenarios reach higher independence at lower installed capacities dues to higher load factors. </w:t>
      </w:r>
      <w:r w:rsidRPr="00AD750D">
        <w:rPr>
          <w:rFonts w:ascii="Arial" w:hAnsi="Arial"/>
          <w:b/>
          <w:sz w:val="18"/>
          <w:szCs w:val="18"/>
          <w:lang w:val="en-US"/>
        </w:rPr>
        <w:t>Right:</w:t>
      </w:r>
      <w:r w:rsidRPr="00AD750D">
        <w:rPr>
          <w:rFonts w:ascii="Arial" w:hAnsi="Arial"/>
          <w:sz w:val="18"/>
          <w:szCs w:val="18"/>
          <w:lang w:val="en-US"/>
        </w:rPr>
        <w:t xml:space="preserve"> Significantly higher EROI is reached by wind dominant scenarios.</w:t>
      </w:r>
    </w:p>
    <w:p w14:paraId="1ED9994A" w14:textId="1CDA62BC" w:rsidR="00AD750D" w:rsidRDefault="00AD750D">
      <w:pPr>
        <w:rPr>
          <w:sz w:val="16"/>
          <w:szCs w:val="16"/>
          <w:lang w:val="en-US"/>
        </w:rPr>
      </w:pPr>
      <w:r>
        <w:rPr>
          <w:sz w:val="16"/>
          <w:szCs w:val="16"/>
          <w:lang w:val="en-US"/>
        </w:rPr>
        <w:br w:type="page"/>
      </w:r>
    </w:p>
    <w:p w14:paraId="010A7847" w14:textId="77777777" w:rsidR="00AD750D" w:rsidRPr="009A0C3A" w:rsidRDefault="00AD750D" w:rsidP="009A0C3A">
      <w:pPr>
        <w:autoSpaceDE w:val="0"/>
        <w:autoSpaceDN w:val="0"/>
        <w:adjustRightInd w:val="0"/>
        <w:spacing w:after="0" w:line="288" w:lineRule="auto"/>
        <w:jc w:val="both"/>
        <w:rPr>
          <w:sz w:val="16"/>
          <w:szCs w:val="16"/>
          <w:lang w:val="en-US"/>
        </w:rPr>
      </w:pPr>
    </w:p>
    <w:p w14:paraId="4856CE1F" w14:textId="77777777" w:rsidR="009A0C3A" w:rsidRPr="00AD750D" w:rsidRDefault="009A0C3A" w:rsidP="009A0C3A">
      <w:pPr>
        <w:spacing w:line="288" w:lineRule="auto"/>
        <w:jc w:val="both"/>
        <w:rPr>
          <w:rFonts w:ascii="Arial" w:hAnsi="Arial"/>
          <w:sz w:val="16"/>
          <w:szCs w:val="16"/>
        </w:rPr>
      </w:pPr>
      <w:r w:rsidRPr="009A0C3A">
        <w:rPr>
          <w:b/>
          <w:sz w:val="24"/>
          <w:szCs w:val="24"/>
          <w:lang w:val="en-US"/>
        </w:rPr>
        <w:t>References</w:t>
      </w:r>
      <w:r w:rsidRPr="00AD750D">
        <w:rPr>
          <w:rFonts w:ascii="Arial" w:hAnsi="Arial"/>
          <w:noProof/>
          <w:sz w:val="16"/>
          <w:szCs w:val="16"/>
          <w:lang w:val="en-US"/>
        </w:rPr>
        <w:fldChar w:fldCharType="begin"/>
      </w:r>
      <w:r w:rsidRPr="00AD750D">
        <w:rPr>
          <w:rFonts w:ascii="Arial" w:hAnsi="Arial"/>
          <w:sz w:val="16"/>
          <w:szCs w:val="16"/>
        </w:rPr>
        <w:instrText xml:space="preserve"> ADDIN EN.REFLIST </w:instrText>
      </w:r>
      <w:r w:rsidRPr="00AD750D">
        <w:rPr>
          <w:rFonts w:ascii="Arial" w:hAnsi="Arial"/>
          <w:noProof/>
          <w:sz w:val="16"/>
          <w:szCs w:val="16"/>
          <w:lang w:val="en-US"/>
        </w:rPr>
        <w:fldChar w:fldCharType="separate"/>
      </w:r>
      <w:r w:rsidRPr="00AD750D">
        <w:rPr>
          <w:rFonts w:ascii="Arial" w:hAnsi="Arial"/>
          <w:sz w:val="16"/>
          <w:szCs w:val="16"/>
        </w:rPr>
        <w:t xml:space="preserve"> </w:t>
      </w:r>
    </w:p>
    <w:p w14:paraId="452E5E8B" w14:textId="77777777" w:rsidR="009A0C3A" w:rsidRPr="00AD750D" w:rsidRDefault="009A0C3A" w:rsidP="009A0C3A">
      <w:pPr>
        <w:pStyle w:val="EndNoteBibliography"/>
        <w:spacing w:after="0" w:line="288" w:lineRule="auto"/>
        <w:ind w:left="720" w:hanging="720"/>
        <w:rPr>
          <w:rFonts w:ascii="Arial" w:hAnsi="Arial"/>
          <w:sz w:val="16"/>
          <w:szCs w:val="16"/>
        </w:rPr>
      </w:pPr>
      <w:r w:rsidRPr="00AD750D">
        <w:rPr>
          <w:rFonts w:ascii="Arial" w:hAnsi="Arial"/>
          <w:sz w:val="16"/>
          <w:szCs w:val="16"/>
        </w:rPr>
        <w:t xml:space="preserve">De Chant, L. J. (2005). The venerable 1/7th power law turbulent velocity profile: a classical nonlinear boundary value problem solution and its relationship to stochastic processes. </w:t>
      </w:r>
      <w:r w:rsidRPr="00AD750D">
        <w:rPr>
          <w:rFonts w:ascii="Arial" w:hAnsi="Arial"/>
          <w:i/>
          <w:sz w:val="16"/>
          <w:szCs w:val="16"/>
        </w:rPr>
        <w:t>Applied Mathematics and Computation, 161</w:t>
      </w:r>
      <w:r w:rsidRPr="00AD750D">
        <w:rPr>
          <w:rFonts w:ascii="Arial" w:hAnsi="Arial"/>
          <w:sz w:val="16"/>
          <w:szCs w:val="16"/>
        </w:rPr>
        <w:t xml:space="preserve">(2), 463-474. </w:t>
      </w:r>
    </w:p>
    <w:p w14:paraId="1EEDDED4" w14:textId="77777777" w:rsidR="009A0C3A" w:rsidRPr="00AD750D" w:rsidRDefault="009A0C3A" w:rsidP="009A0C3A">
      <w:pPr>
        <w:pStyle w:val="EndNoteBibliography"/>
        <w:spacing w:after="0" w:line="288" w:lineRule="auto"/>
        <w:ind w:left="720" w:hanging="720"/>
        <w:rPr>
          <w:rFonts w:ascii="Arial" w:hAnsi="Arial"/>
          <w:sz w:val="16"/>
          <w:szCs w:val="16"/>
        </w:rPr>
      </w:pPr>
      <w:r w:rsidRPr="00AD750D">
        <w:rPr>
          <w:rFonts w:ascii="Arial" w:hAnsi="Arial"/>
          <w:sz w:val="16"/>
          <w:szCs w:val="16"/>
        </w:rPr>
        <w:t xml:space="preserve">Deshmukh, M., &amp; Deshmukh, S. (2008). Modeling of hybrid renewable energy systems. </w:t>
      </w:r>
      <w:r w:rsidRPr="00AD750D">
        <w:rPr>
          <w:rFonts w:ascii="Arial" w:hAnsi="Arial"/>
          <w:i/>
          <w:sz w:val="16"/>
          <w:szCs w:val="16"/>
        </w:rPr>
        <w:t>Renewable and Sustainable Energy Reviews, 12</w:t>
      </w:r>
      <w:r w:rsidRPr="00AD750D">
        <w:rPr>
          <w:rFonts w:ascii="Arial" w:hAnsi="Arial"/>
          <w:sz w:val="16"/>
          <w:szCs w:val="16"/>
        </w:rPr>
        <w:t xml:space="preserve">(1), 235-249. </w:t>
      </w:r>
    </w:p>
    <w:p w14:paraId="268A26CF" w14:textId="77777777" w:rsidR="009A0C3A" w:rsidRPr="00AD750D" w:rsidRDefault="009A0C3A" w:rsidP="009A0C3A">
      <w:pPr>
        <w:pStyle w:val="EndNoteBibliography"/>
        <w:spacing w:after="0" w:line="288" w:lineRule="auto"/>
        <w:ind w:left="720" w:hanging="720"/>
        <w:rPr>
          <w:rFonts w:ascii="Arial" w:hAnsi="Arial"/>
          <w:sz w:val="16"/>
          <w:szCs w:val="16"/>
        </w:rPr>
      </w:pPr>
      <w:r w:rsidRPr="00AD750D">
        <w:rPr>
          <w:rFonts w:ascii="Arial" w:hAnsi="Arial"/>
          <w:sz w:val="16"/>
          <w:szCs w:val="16"/>
        </w:rPr>
        <w:t xml:space="preserve">Karki, R., Hu, P., &amp; Billinton, R. (2006). A simplified wind power generation model for reliability evaluation. </w:t>
      </w:r>
      <w:r w:rsidRPr="00AD750D">
        <w:rPr>
          <w:rFonts w:ascii="Arial" w:hAnsi="Arial"/>
          <w:i/>
          <w:sz w:val="16"/>
          <w:szCs w:val="16"/>
        </w:rPr>
        <w:t>Energy conversion, IEEE Transactions on, 21</w:t>
      </w:r>
      <w:r w:rsidRPr="00AD750D">
        <w:rPr>
          <w:rFonts w:ascii="Arial" w:hAnsi="Arial"/>
          <w:sz w:val="16"/>
          <w:szCs w:val="16"/>
        </w:rPr>
        <w:t xml:space="preserve">(2), 533-540. </w:t>
      </w:r>
    </w:p>
    <w:p w14:paraId="1CFFAB18" w14:textId="77777777" w:rsidR="009A0C3A" w:rsidRPr="00AD750D" w:rsidRDefault="009A0C3A" w:rsidP="009A0C3A">
      <w:pPr>
        <w:pStyle w:val="EndNoteBibliography"/>
        <w:spacing w:after="0" w:line="288" w:lineRule="auto"/>
        <w:ind w:left="720" w:hanging="720"/>
        <w:rPr>
          <w:rFonts w:ascii="Arial" w:hAnsi="Arial"/>
          <w:sz w:val="16"/>
          <w:szCs w:val="16"/>
        </w:rPr>
      </w:pPr>
      <w:r w:rsidRPr="00AD750D">
        <w:rPr>
          <w:rFonts w:ascii="Arial" w:hAnsi="Arial"/>
          <w:sz w:val="16"/>
          <w:szCs w:val="16"/>
        </w:rPr>
        <w:t xml:space="preserve">Raugei, M., Fullana-i-Palmer, P., &amp; Fthenakis, V. (2012). The energy return on energy investment (EROI) of photovoltaics: Methodology and comparisons with fossil fuel life cycles. </w:t>
      </w:r>
      <w:r w:rsidRPr="00AD750D">
        <w:rPr>
          <w:rFonts w:ascii="Arial" w:hAnsi="Arial"/>
          <w:i/>
          <w:sz w:val="16"/>
          <w:szCs w:val="16"/>
        </w:rPr>
        <w:t>Energy policy, 45</w:t>
      </w:r>
      <w:r w:rsidRPr="00AD750D">
        <w:rPr>
          <w:rFonts w:ascii="Arial" w:hAnsi="Arial"/>
          <w:sz w:val="16"/>
          <w:szCs w:val="16"/>
        </w:rPr>
        <w:t xml:space="preserve">, 576-582. </w:t>
      </w:r>
    </w:p>
    <w:p w14:paraId="17536DAC" w14:textId="77777777" w:rsidR="009A0C3A" w:rsidRPr="00AD750D" w:rsidRDefault="009A0C3A" w:rsidP="009A0C3A">
      <w:pPr>
        <w:pStyle w:val="EndNoteBibliography"/>
        <w:spacing w:after="0" w:line="288" w:lineRule="auto"/>
        <w:ind w:left="720" w:hanging="720"/>
        <w:rPr>
          <w:rFonts w:ascii="Arial" w:hAnsi="Arial"/>
          <w:sz w:val="16"/>
          <w:szCs w:val="16"/>
        </w:rPr>
      </w:pPr>
      <w:r w:rsidRPr="00AD750D">
        <w:rPr>
          <w:rFonts w:ascii="Arial" w:hAnsi="Arial"/>
          <w:sz w:val="16"/>
          <w:szCs w:val="16"/>
        </w:rPr>
        <w:t xml:space="preserve">Rehman, S., &amp; Al-Abbadi, N. M. (2005). Wind shear coefficients and their effect on energy production. </w:t>
      </w:r>
      <w:r w:rsidRPr="00AD750D">
        <w:rPr>
          <w:rFonts w:ascii="Arial" w:hAnsi="Arial"/>
          <w:i/>
          <w:sz w:val="16"/>
          <w:szCs w:val="16"/>
        </w:rPr>
        <w:t>Energy Conversion and Management, 46</w:t>
      </w:r>
      <w:r w:rsidRPr="00AD750D">
        <w:rPr>
          <w:rFonts w:ascii="Arial" w:hAnsi="Arial"/>
          <w:sz w:val="16"/>
          <w:szCs w:val="16"/>
        </w:rPr>
        <w:t xml:space="preserve">(15), 2578-2591. </w:t>
      </w:r>
    </w:p>
    <w:p w14:paraId="76A30A91" w14:textId="77777777" w:rsidR="009A0C3A" w:rsidRPr="00AD750D" w:rsidRDefault="009A0C3A" w:rsidP="009A0C3A">
      <w:pPr>
        <w:pStyle w:val="EndNoteBibliography"/>
        <w:spacing w:after="0" w:line="288" w:lineRule="auto"/>
        <w:ind w:left="720" w:hanging="720"/>
        <w:rPr>
          <w:rFonts w:ascii="Arial" w:hAnsi="Arial"/>
          <w:sz w:val="16"/>
          <w:szCs w:val="16"/>
        </w:rPr>
      </w:pPr>
      <w:r w:rsidRPr="00AD750D">
        <w:rPr>
          <w:rFonts w:ascii="Arial" w:hAnsi="Arial"/>
          <w:sz w:val="16"/>
          <w:szCs w:val="16"/>
        </w:rPr>
        <w:t xml:space="preserve">Taylor, J., Leloux, J., Everard, A. M., Briggs, J., &amp; Buckley, A. (2013). Monitoring thousands of distributed PV systems in the UK: Energy production and performance. </w:t>
      </w:r>
      <w:r w:rsidRPr="00AD750D">
        <w:rPr>
          <w:rFonts w:ascii="Arial" w:hAnsi="Arial"/>
          <w:sz w:val="16"/>
          <w:szCs w:val="16"/>
        </w:rPr>
        <w:fldChar w:fldCharType="end"/>
      </w:r>
    </w:p>
    <w:p w14:paraId="75C0112D" w14:textId="77777777" w:rsidR="009A0C3A" w:rsidRPr="00AD750D" w:rsidRDefault="009A0C3A" w:rsidP="009A0C3A">
      <w:pPr>
        <w:spacing w:line="288" w:lineRule="auto"/>
        <w:rPr>
          <w:rFonts w:ascii="Arial" w:hAnsi="Arial"/>
          <w:sz w:val="16"/>
          <w:szCs w:val="16"/>
        </w:rPr>
      </w:pPr>
    </w:p>
    <w:sectPr w:rsidR="009A0C3A" w:rsidRPr="00AD750D">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DFB63" w14:textId="77777777" w:rsidR="00BF7981" w:rsidRDefault="00BF7981" w:rsidP="00AD750D">
      <w:pPr>
        <w:spacing w:after="0" w:line="240" w:lineRule="auto"/>
      </w:pPr>
      <w:r>
        <w:separator/>
      </w:r>
    </w:p>
  </w:endnote>
  <w:endnote w:type="continuationSeparator" w:id="0">
    <w:p w14:paraId="4863A955" w14:textId="77777777" w:rsidR="00BF7981" w:rsidRDefault="00BF7981" w:rsidP="00AD7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8D684" w14:textId="77777777" w:rsidR="00B51D89" w:rsidRDefault="00B51D89" w:rsidP="00B51D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5EC503" w14:textId="77777777" w:rsidR="00B51D89" w:rsidRDefault="00B51D89" w:rsidP="00AD75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2942E" w14:textId="77777777" w:rsidR="00B51D89" w:rsidRDefault="00B51D89" w:rsidP="00B51D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4CD8">
      <w:rPr>
        <w:rStyle w:val="PageNumber"/>
        <w:noProof/>
      </w:rPr>
      <w:t>1</w:t>
    </w:r>
    <w:r>
      <w:rPr>
        <w:rStyle w:val="PageNumber"/>
      </w:rPr>
      <w:fldChar w:fldCharType="end"/>
    </w:r>
  </w:p>
  <w:p w14:paraId="412A8F91" w14:textId="77777777" w:rsidR="00B51D89" w:rsidRDefault="00B51D89" w:rsidP="00AD750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B643D2" w14:textId="77777777" w:rsidR="00BF7981" w:rsidRDefault="00BF7981" w:rsidP="00AD750D">
      <w:pPr>
        <w:spacing w:after="0" w:line="240" w:lineRule="auto"/>
      </w:pPr>
      <w:r>
        <w:separator/>
      </w:r>
    </w:p>
  </w:footnote>
  <w:footnote w:type="continuationSeparator" w:id="0">
    <w:p w14:paraId="7EEC8B0F" w14:textId="77777777" w:rsidR="00BF7981" w:rsidRDefault="00BF7981" w:rsidP="00AD75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849DD"/>
    <w:multiLevelType w:val="hybridMultilevel"/>
    <w:tmpl w:val="C632E2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5B77147"/>
    <w:multiLevelType w:val="hybridMultilevel"/>
    <w:tmpl w:val="1FC4EF96"/>
    <w:lvl w:ilvl="0" w:tplc="F702C4B0">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xf2xwtkpartte55p6vas5eprzxf9vd92pa&quot;&gt;full endnote library&lt;record-ids&gt;&lt;item&gt;410&lt;/item&gt;&lt;/record-ids&gt;&lt;/item&gt;&lt;/Libraries&gt;"/>
  </w:docVars>
  <w:rsids>
    <w:rsidRoot w:val="00892719"/>
    <w:rsid w:val="003D7347"/>
    <w:rsid w:val="003F10C6"/>
    <w:rsid w:val="004721AA"/>
    <w:rsid w:val="004E16E0"/>
    <w:rsid w:val="00523506"/>
    <w:rsid w:val="00550B69"/>
    <w:rsid w:val="005D560B"/>
    <w:rsid w:val="005F2E75"/>
    <w:rsid w:val="00705815"/>
    <w:rsid w:val="007979DD"/>
    <w:rsid w:val="007A7A50"/>
    <w:rsid w:val="00892719"/>
    <w:rsid w:val="009265BD"/>
    <w:rsid w:val="009A0C3A"/>
    <w:rsid w:val="009C5076"/>
    <w:rsid w:val="009F0B86"/>
    <w:rsid w:val="00A71BED"/>
    <w:rsid w:val="00AD750D"/>
    <w:rsid w:val="00B10794"/>
    <w:rsid w:val="00B51D89"/>
    <w:rsid w:val="00B849AB"/>
    <w:rsid w:val="00BF53F0"/>
    <w:rsid w:val="00BF7981"/>
    <w:rsid w:val="00D16F12"/>
    <w:rsid w:val="00D84CD8"/>
    <w:rsid w:val="00DA0834"/>
    <w:rsid w:val="00FF04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20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47B"/>
    <w:pPr>
      <w:ind w:left="720"/>
      <w:contextualSpacing/>
    </w:pPr>
  </w:style>
  <w:style w:type="character" w:styleId="Hyperlink">
    <w:name w:val="Hyperlink"/>
    <w:basedOn w:val="DefaultParagraphFont"/>
    <w:uiPriority w:val="99"/>
    <w:unhideWhenUsed/>
    <w:rsid w:val="00D16F12"/>
    <w:rPr>
      <w:color w:val="0563C1" w:themeColor="hyperlink"/>
      <w:u w:val="single"/>
    </w:rPr>
  </w:style>
  <w:style w:type="paragraph" w:customStyle="1" w:styleId="EndNoteBibliographyTitle">
    <w:name w:val="EndNote Bibliography Title"/>
    <w:basedOn w:val="Normal"/>
    <w:link w:val="EndNoteBibliographyTitleChar"/>
    <w:rsid w:val="00D16F12"/>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16F12"/>
    <w:rPr>
      <w:rFonts w:ascii="Calibri" w:hAnsi="Calibri"/>
      <w:noProof/>
      <w:lang w:val="en-US"/>
    </w:rPr>
  </w:style>
  <w:style w:type="paragraph" w:customStyle="1" w:styleId="EndNoteBibliography">
    <w:name w:val="EndNote Bibliography"/>
    <w:basedOn w:val="Normal"/>
    <w:link w:val="EndNoteBibliographyChar"/>
    <w:rsid w:val="00D16F12"/>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D16F12"/>
    <w:rPr>
      <w:rFonts w:ascii="Calibri" w:hAnsi="Calibri"/>
      <w:noProof/>
      <w:lang w:val="en-US"/>
    </w:rPr>
  </w:style>
  <w:style w:type="table" w:styleId="LightShading">
    <w:name w:val="Light Shading"/>
    <w:basedOn w:val="TableNormal"/>
    <w:uiPriority w:val="60"/>
    <w:rsid w:val="009A0C3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9A0C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0C3A"/>
    <w:rPr>
      <w:rFonts w:ascii="Lucida Grande" w:hAnsi="Lucida Grande" w:cs="Lucida Grande"/>
      <w:sz w:val="18"/>
      <w:szCs w:val="18"/>
    </w:rPr>
  </w:style>
  <w:style w:type="paragraph" w:styleId="Footer">
    <w:name w:val="footer"/>
    <w:basedOn w:val="Normal"/>
    <w:link w:val="FooterChar"/>
    <w:uiPriority w:val="99"/>
    <w:unhideWhenUsed/>
    <w:rsid w:val="00AD750D"/>
    <w:pPr>
      <w:tabs>
        <w:tab w:val="center" w:pos="4320"/>
        <w:tab w:val="right" w:pos="8640"/>
      </w:tabs>
      <w:spacing w:after="0" w:line="240" w:lineRule="auto"/>
    </w:pPr>
  </w:style>
  <w:style w:type="character" w:customStyle="1" w:styleId="FooterChar">
    <w:name w:val="Footer Char"/>
    <w:basedOn w:val="DefaultParagraphFont"/>
    <w:link w:val="Footer"/>
    <w:uiPriority w:val="99"/>
    <w:rsid w:val="00AD750D"/>
  </w:style>
  <w:style w:type="character" w:styleId="PageNumber">
    <w:name w:val="page number"/>
    <w:basedOn w:val="DefaultParagraphFont"/>
    <w:uiPriority w:val="99"/>
    <w:semiHidden/>
    <w:unhideWhenUsed/>
    <w:rsid w:val="00AD75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47B"/>
    <w:pPr>
      <w:ind w:left="720"/>
      <w:contextualSpacing/>
    </w:pPr>
  </w:style>
  <w:style w:type="character" w:styleId="Hyperlink">
    <w:name w:val="Hyperlink"/>
    <w:basedOn w:val="DefaultParagraphFont"/>
    <w:uiPriority w:val="99"/>
    <w:unhideWhenUsed/>
    <w:rsid w:val="00D16F12"/>
    <w:rPr>
      <w:color w:val="0563C1" w:themeColor="hyperlink"/>
      <w:u w:val="single"/>
    </w:rPr>
  </w:style>
  <w:style w:type="paragraph" w:customStyle="1" w:styleId="EndNoteBibliographyTitle">
    <w:name w:val="EndNote Bibliography Title"/>
    <w:basedOn w:val="Normal"/>
    <w:link w:val="EndNoteBibliographyTitleChar"/>
    <w:rsid w:val="00D16F12"/>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16F12"/>
    <w:rPr>
      <w:rFonts w:ascii="Calibri" w:hAnsi="Calibri"/>
      <w:noProof/>
      <w:lang w:val="en-US"/>
    </w:rPr>
  </w:style>
  <w:style w:type="paragraph" w:customStyle="1" w:styleId="EndNoteBibliography">
    <w:name w:val="EndNote Bibliography"/>
    <w:basedOn w:val="Normal"/>
    <w:link w:val="EndNoteBibliographyChar"/>
    <w:rsid w:val="00D16F12"/>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D16F12"/>
    <w:rPr>
      <w:rFonts w:ascii="Calibri" w:hAnsi="Calibri"/>
      <w:noProof/>
      <w:lang w:val="en-US"/>
    </w:rPr>
  </w:style>
  <w:style w:type="table" w:styleId="LightShading">
    <w:name w:val="Light Shading"/>
    <w:basedOn w:val="TableNormal"/>
    <w:uiPriority w:val="60"/>
    <w:rsid w:val="009A0C3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9A0C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0C3A"/>
    <w:rPr>
      <w:rFonts w:ascii="Lucida Grande" w:hAnsi="Lucida Grande" w:cs="Lucida Grande"/>
      <w:sz w:val="18"/>
      <w:szCs w:val="18"/>
    </w:rPr>
  </w:style>
  <w:style w:type="paragraph" w:styleId="Footer">
    <w:name w:val="footer"/>
    <w:basedOn w:val="Normal"/>
    <w:link w:val="FooterChar"/>
    <w:uiPriority w:val="99"/>
    <w:unhideWhenUsed/>
    <w:rsid w:val="00AD750D"/>
    <w:pPr>
      <w:tabs>
        <w:tab w:val="center" w:pos="4320"/>
        <w:tab w:val="right" w:pos="8640"/>
      </w:tabs>
      <w:spacing w:after="0" w:line="240" w:lineRule="auto"/>
    </w:pPr>
  </w:style>
  <w:style w:type="character" w:customStyle="1" w:styleId="FooterChar">
    <w:name w:val="Footer Char"/>
    <w:basedOn w:val="DefaultParagraphFont"/>
    <w:link w:val="Footer"/>
    <w:uiPriority w:val="99"/>
    <w:rsid w:val="00AD750D"/>
  </w:style>
  <w:style w:type="character" w:styleId="PageNumber">
    <w:name w:val="page number"/>
    <w:basedOn w:val="DefaultParagraphFont"/>
    <w:uiPriority w:val="99"/>
    <w:semiHidden/>
    <w:unhideWhenUsed/>
    <w:rsid w:val="00AD7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nvalleyrailway.org/" TargetMode="External"/><Relationship Id="rId13" Type="http://schemas.openxmlformats.org/officeDocument/2006/relationships/image" Target="media/image2.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acebook.com/Rude2u/" TargetMode="External"/><Relationship Id="rId4" Type="http://schemas.openxmlformats.org/officeDocument/2006/relationships/settings" Target="settings.xml"/><Relationship Id="rId9" Type="http://schemas.openxmlformats.org/officeDocument/2006/relationships/hyperlink" Target="https://www.sheffield.ac.uk/architecture/march/liveprojects"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3512</Words>
  <Characters>20021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Informa PLC</Company>
  <LinksUpToDate>false</LinksUpToDate>
  <CharactersWithSpaces>23487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Krzywoszynska</dc:creator>
  <cp:lastModifiedBy>Haynes, Carolyn</cp:lastModifiedBy>
  <cp:revision>2</cp:revision>
  <dcterms:created xsi:type="dcterms:W3CDTF">2016-07-08T13:11:00Z</dcterms:created>
  <dcterms:modified xsi:type="dcterms:W3CDTF">2016-07-08T13:11:00Z</dcterms:modified>
</cp:coreProperties>
</file>