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506" w:rsidRDefault="00983506" w:rsidP="00983506">
      <w:pPr>
        <w:jc w:val="both"/>
        <w:rPr>
          <w:rFonts w:ascii="Times New Roman" w:hAnsi="Times New Roman" w:cs="Times New Roman"/>
        </w:rPr>
      </w:pPr>
      <w:r>
        <w:rPr>
          <w:rFonts w:ascii="Times New Roman" w:hAnsi="Times New Roman" w:cs="Times New Roman"/>
          <w:b/>
        </w:rPr>
        <w:t>Appendix 1</w:t>
      </w:r>
      <w:r w:rsidRPr="005B13B5">
        <w:rPr>
          <w:rFonts w:ascii="Times New Roman" w:hAnsi="Times New Roman" w:cs="Times New Roman"/>
        </w:rPr>
        <w:t>. Definition</w:t>
      </w:r>
      <w:r>
        <w:rPr>
          <w:rFonts w:ascii="Times New Roman" w:hAnsi="Times New Roman" w:cs="Times New Roman"/>
        </w:rPr>
        <w:t>s</w:t>
      </w:r>
      <w:r w:rsidRPr="005B13B5">
        <w:rPr>
          <w:rFonts w:ascii="Times New Roman" w:hAnsi="Times New Roman" w:cs="Times New Roman"/>
        </w:rPr>
        <w:t xml:space="preserve"> of infectious complications</w:t>
      </w:r>
      <w:r>
        <w:rPr>
          <w:rFonts w:ascii="Times New Roman" w:hAnsi="Times New Roman" w:cs="Times New Roman"/>
        </w:rPr>
        <w:t xml:space="preserve"> employed, based on </w:t>
      </w:r>
      <w:r w:rsidRPr="0013621D">
        <w:rPr>
          <w:rFonts w:ascii="Times New Roman" w:hAnsi="Times New Roman" w:cs="Times New Roman"/>
        </w:rPr>
        <w:t xml:space="preserve">Surviving Sepsis Campaign Guidelines, 2013 </w:t>
      </w:r>
      <w:r w:rsidRPr="0013621D">
        <w:rPr>
          <w:rFonts w:ascii="Times New Roman" w:hAnsi="Times New Roman" w:cs="Times New Roman"/>
        </w:rPr>
        <w:fldChar w:fldCharType="begin"/>
      </w:r>
      <w:r w:rsidRPr="0013621D">
        <w:rPr>
          <w:rFonts w:ascii="Times New Roman" w:hAnsi="Times New Roman" w:cs="Times New Roman"/>
        </w:rPr>
        <w:instrText xml:space="preserve"> ADDIN ZOTERO_ITEM CSL_CITATION {"citationID":"585DxLMb","properties":{"formattedCitation":"(6)","plainCitation":"(6)"},"citationItems":[{"id":538,"uris":["http://zotero.org/users/2728189/items/Z465BVPU"],"uri":["http://zotero.org/users/2728189/items/Z465BVPU"],"itemData":{"id":538,"type":"article-journal","title":"Surviving sepsis campaign: international guidelines for management of severe sepsis and septic shock: 2012","container-title":"Critical Care Medicine","page":"580-637","volume":"41","issue":"2","source":"PubMed","abstract":"OBJECTIVE: To provide an update to the \"Surviving Sepsis Campaign Guidelines for Management of Severe Sepsis and Septic Shock,\" last published in 2008.\nDESIGN: A consensus committee of 68 international experts representing 30 international organizations was convened. Nominal groups were assembled at key international meetings (for those committee members attending the conference). A formal conflict of interest policy was developed at the onset of the process and enforced throughout. The entire guidelines process was conducted independent of any industry funding. A stand-alone meeting was held for all subgroup heads, co- and vice-chairs, and selected individuals. Teleconferences and electronic-based discussion among subgroups and among the entire committee served as an integral part of the development.\nMETHODS: The authors were advised to follow the principles of the Grading of Recommendations Assessment, Development and Evaluation (GRADE) system to guide assessment of quality of evidence from high (A) to very low (D) and to determine the strength of recommendations as strong (1) or weak (2). The potential drawbacks of making strong recommendations in the presence of low-quality evidence were emphasized. Some recommendations were ungraded (UG). Recommendations were classified into three groups: 1) those directly targeting severe sepsis; 2) those targeting general care of the critically ill patient and considered high priority in severe sepsis; and 3) pediatric considerations.\nRESULTS: Key recommendations and suggestions, listed by category, include: early quantitative resuscitation of the septic patient during the first 6 hrs after recognition (1C); blood cultures before antibiotic therapy (1C); imaging studies performed promptly to confirm a potential source of infection (UG); administration of broad-spectrum antimicrobials therapy within 1 hr of recognition of septic shock (1B) and severe sepsis without septic shock (1C) as the goal of therapy; reassessment of antimicrobial therapy daily for de-escalation, when appropriate (1B); infection source control with attention to the balance of risks and benefits of the chosen method within 12 hrs of diagnosis (1C); initial fluid resuscitation with crystalloid (1B) and consideration of the addition of albumin in patients who continue to require substantial amounts of crystalloid to maintain adequate mean arterial pressure (2C) and the avoidance of hetastarch formulations (1C); initial fluid challenge in patients with sepsis-induced tissue hypoperfusion and suspicion of hypovolemia to achieve a minimum of 30 mL/kg of crystalloids (more rapid administration and greater amounts of fluid may be needed in some patients) (1C); fluid challenge technique continued as long as hemodynamic improvement, as based on either dynamic or static variables (UG); norepinephrine as the first-choice vasopressor to maintain mean arterial pressure ≥ 65 mm Hg (1B); epinephrine when an additional agent is needed to maintain adequate blood pressure (2B); vasopressin (0.03 U/min) can be added to norepinephrine to either raise mean arterial pressure to target or to decrease norepinephrine dose but should not be used as the initial vasopressor (UG); dopamine is not recommended except in highly selected circumstances (2C); dobutamine infusion administered or added to vasopressor in the presence of a) myocardial dysfunction as suggested by elevated cardiac filling pressures and low cardiac output, or b) ongoing signs of hypoperfusion despite achieving adequate intravascular volume and adequate mean arterial pressure (1C); avoiding use of intravenous hydrocortisone in adult septic shock patients if adequate fluid resuscitation and vasopressor therapy are able to restore hemodynamic stability (2C); hemoglobin target of 7-9 g/dL in the absence of tissue hypoperfusion, ischemic coronary artery disease, or acute hemorrhage (1B); low tidal volume (1A) and limitation of inspiratory plateau pressure (1B) for acute respiratory distress syndrome (ARDS); application of at least a minimal amount of positive end-expiratory pressure (PEEP) in ARDS (1B); higher rather than lower level of PEEP for patients with sepsis-induced moderate or severe ARDS (2C); recruitment maneuvers in sepsis patients with severe refractory hypoxemia due to ARDS (2C); prone positioning in sepsis-induced ARDS patients with a PaO2/FIO2 ratio of ≤ 100 mm Hg in facilities that have experience with such practices (2C); head-of-bed elevation in mechanically ventilated patients unless contraindicated (1B); a conservative fluid strategy for patients with established ARDS who do not have evidence of tissue hypoperfusion (1C); protocols for weaning and sedation (1A); minimizing use of either intermittent bolus sedation or continuous infusion sedation targeting specific titration endpoints (1B); avoidance of neuromuscular blockers if possible in the septic patient without ARDS (1C); a short course of neuromuscular blocker (no longer than 48 hrs) for patients with early ARDS and a Pao2/Fio2 &lt; 150 mm Hg (2C); a protocolized approach to blood glucose management commencing insulin dosing when two consecutive blood glucose levels are &gt; 180 mg/dL, targeting an upper blood glucose ≤ 180 mg/dL (1A); equivalency of continuous veno-venous hemofiltration or intermittent hemodialysis (2B); prophylaxis for deep vein thrombosis (1B); use of stress ulcer prophylaxis to prevent upper gastrointestinal bleeding in patients with bleeding risk factors (1B); oral or enteral (if necessary) feedings, as tolerated, rather than either complete fasting or provision of only intravenous glucose within the first 48 hrs after a diagnosis of severe sepsis/septic shock (2C); and addressing goals of care, including treatment plans and end-of-life planning (as appropriate) (1B), as early as feasible, but within 72 hrs of intensive care unit admission (2C). Recommendations specific to pediatric severe sepsis include: therapy with face mask oxygen, high flow nasal cannula oxygen, or nasopharyngeal continuous PEEP in the presence of respiratory distress and hypoxemia (2C), use of physical examination therapeutic endpoints such as capillary refill (2C); for septic shock associated with hypovolemia, the use of crystalloids or albumin to deliver a bolus of 20 mL/kg of crystalloids (or albumin equivalent) over 5 to 10 mins (2C); more common use of inotropes and vasodilators for low cardiac output septic shock associated with elevated systemic vascular resistance (2C); and use of hydrocortisone only in children with suspected or proven \"absolute\"' adrenal insufficiency (2C).\nCONCLUSIONS: Strong agreement existed among a large cohort of international experts regarding many level 1 recommendations for the best care of patients with severe sepsis. Although a significant number of aspects of care have relatively weak support, evidence-based recommendations regarding the acute management of sepsis and septic shock are the foundation of improved outcomes for this important group of critically ill patients.","DOI":"10.1097/CCM.0b013e31827e83af","ISSN":"1530-0293","note":"PMID: 23353941","shortTitle":"Surviving sepsis campaign","journalAbbreviation":"Crit. Care Med.","language":"eng","author":[{"family":"Dellinger","given":"R. Phillip"},{"family":"Levy","given":"Mitchell M."},{"family":"Rhodes","given":"Andrew"},{"family":"Annane","given":"Djillali"},{"family":"Gerlach","given":"Herwig"},{"family":"Opal","given":"Steven M."},{"family":"Sevransky","given":"Jonathan E."},{"family":"Sprung","given":"Charles L."},{"family":"Douglas","given":"Ivor S."},{"family":"Jaeschke","given":"Roman"},{"family":"Osborn","given":"Tiffany M."},{"family":"Nunnally","given":"Mark E."},{"family":"Townsend","given":"Sean R."},{"family":"Reinhart","given":"Konrad"},{"family":"Kleinpell","given":"Ruth M."},{"family":"Angus","given":"Derek C."},{"family":"Deutschman","given":"Clifford S."},{"family":"Machado","given":"Flavia R."},{"family":"Rubenfeld","given":"Gordon D."},{"family":"Webb","given":"Steven A."},{"family":"Beale","given":"Richard J."},{"family":"Vincent","given":"Jean-Louis"},{"family":"Moreno","given":"Rui"},{"literal":"Surviving Sepsis Campaign Guidelines Committee including the Pediatric Subgroup"}],"issued":{"date-parts":[["2013",2]]},"PMID":"23353941"}}],"schema":"https://github.com/citation-style-language/schema/raw/master/csl-citation.json"} </w:instrText>
      </w:r>
      <w:r w:rsidRPr="0013621D">
        <w:rPr>
          <w:rFonts w:ascii="Times New Roman" w:hAnsi="Times New Roman" w:cs="Times New Roman"/>
        </w:rPr>
        <w:fldChar w:fldCharType="separate"/>
      </w:r>
      <w:r w:rsidRPr="0013621D">
        <w:rPr>
          <w:rFonts w:ascii="Times New Roman" w:hAnsi="Times New Roman" w:cs="Times New Roman"/>
          <w:noProof/>
        </w:rPr>
        <w:t>(6)</w:t>
      </w:r>
      <w:r w:rsidRPr="0013621D">
        <w:rPr>
          <w:rFonts w:ascii="Times New Roman" w:hAnsi="Times New Roman" w:cs="Times New Roman"/>
        </w:rPr>
        <w:fldChar w:fldCharType="end"/>
      </w:r>
      <w:r w:rsidRPr="0013621D">
        <w:rPr>
          <w:rFonts w:ascii="Times New Roman" w:hAnsi="Times New Roman" w:cs="Times New Roman"/>
        </w:rPr>
        <w:t xml:space="preserve"> </w:t>
      </w:r>
      <w:r>
        <w:rPr>
          <w:rFonts w:ascii="Times New Roman" w:hAnsi="Times New Roman" w:cs="Times New Roman"/>
        </w:rPr>
        <w:t xml:space="preserve">and the </w:t>
      </w:r>
      <w:r w:rsidRPr="005B13B5">
        <w:rPr>
          <w:rFonts w:ascii="Times New Roman" w:hAnsi="Times New Roman" w:cs="Times New Roman"/>
        </w:rPr>
        <w:t>Global Prevalence Study of Infections in Urology (GPIU) 2010 and 2011</w:t>
      </w:r>
      <w:r w:rsidRPr="0013621D">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e9jucjgfp","properties":{"formattedCitation":"(5)","plainCitation":"(5)"},"citationItems":[{"id":351,"uris":["http://zotero.org/users/2728189/items/M6ZWEB4R"],"uri":["http://zotero.org/users/2728189/items/M6ZWEB4R"],"itemData":{"id":351,"type":"article-journal","title":"Infective complications after prostate biopsy: outcome of the Global Prevalence Study of Infections in Urology (GPIU) 2010 and 2011, a prospective multinational multicentre prostate biopsy study","container-title":"European Urology","page":"521-527","volume":"63","issue":"3","source":"PubMed","abstract":"BACKGROUND: Infection is a serious adverse effect of prostate biopsy (P-Bx), and recent reports suggest an increasing incidence.\nOBJECTIVE: The aim of this multinational multicentre study was to evaluate prospectively the incidence of infective complications after P-Bx and identify risk factors.\nDESIGN, SETTING, AND PARTICIPANTS: The study was performed as an adjunct to the Global Prevalence Study of Infections in Urology (GPIU) during 2010 and 2011. Men undergoing P-Bx in participating centres during the 2-wk period commencing on the GPIU study census day were eligible.\nOUTCOME MEASUREMENTS AND STATISTICAL ANALYSIS: Baseline data were collected and men were questioned regarding infective complications at 2 wk following their biopsy. The Fisher exact test, Student t test, Mann-Whitney U test, and multivariate regression analysis were used for data analysis.\nRESULTS AND LIMITATIONS: A total of 702 men from 84 GPIU participating centres worldwide were included. Antibiotic prophylaxis was administered prior to biopsy in 98.2% of men predominantly using a fluoroquinolone (92.5%). Outcome data were available for 521 men (74%). Symptomatic urinary tract infection (UTI) was seen in 27 men (5.2%), which was febrile in 18 (3.5%) and required hospitalisation in 16 (3.1%). Multivariate analysis did not identify any patient subgroups at a significantly higher risk of infection after P-Bx. Causative organisms were isolated in 10 cases (37%) with 6 resistant to fluoroquinolones. The small sample size per participating site and in compared with other studies may have limited the conclusions from our study.\nCONCLUSIONS: Infective complications after transrectal P-Bx are important because of the associated patient morbidity. Despite antibiotic prophylaxis, 5% of men will experience an infective complication, but none of the possible factors we examined appeared to increase this risk. Our study confirms a high incidence of fluoroquinolone resistance in causative bacteria.","DOI":"10.1016/j.eururo.2012.06.003","ISSN":"1873-7560","note":"PMID: 22704727","shortTitle":"Infective complications after prostate biopsy","journalAbbreviation":"Eur. Urol.","language":"eng","author":[{"family":"Wagenlehner","given":"Florian M. E."},{"family":"Oostrum","given":"Edgar","non-dropping-particle":"van"},{"family":"Tenke","given":"Peter"},{"family":"Tandogdu","given":"Zafer"},{"family":"Çek","given":"Mete"},{"family":"Grabe","given":"Magnus"},{"family":"Wullt","given":"Björn"},{"family":"Pickard","given":"Robert"},{"family":"Naber","given":"Kurt G."},{"family":"Pilatz","given":"Adrian"},{"family":"Weidner","given":"Wolfgang"},{"family":"Bjerklund-Johansen","given":"Truls E."},{"literal":"GPIU investigators"}],"issued":{"date-parts":[["2013",3]]},"PMID":"22704727"}}],"schema":"https://github.com/citation-style-language/schema/raw/master/csl-citation.json"}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(5)</w:t>
      </w:r>
      <w:r>
        <w:rPr>
          <w:rFonts w:ascii="Times New Roman" w:hAnsi="Times New Roman" w:cs="Times New Roman"/>
        </w:rPr>
        <w:fldChar w:fldCharType="end"/>
      </w:r>
      <w:r>
        <w:rPr>
          <w:rFonts w:ascii="Times New Roman" w:hAnsi="Times New Roman" w:cs="Times New Roman"/>
        </w:rPr>
        <w:t>.</w:t>
      </w:r>
    </w:p>
    <w:p w:rsidR="00983506" w:rsidRPr="005B13B5" w:rsidRDefault="00983506" w:rsidP="00983506">
      <w:pPr>
        <w:jc w:val="both"/>
        <w:rPr>
          <w:rFonts w:ascii="Times New Roman" w:hAnsi="Times New Roman" w:cs="Times New Roman"/>
        </w:rPr>
      </w:pPr>
    </w:p>
    <w:tbl>
      <w:tblPr>
        <w:tblStyle w:val="TableGrid"/>
        <w:tblW w:w="0" w:type="auto"/>
        <w:tblLook w:val="04A0" w:firstRow="1" w:lastRow="0" w:firstColumn="1" w:lastColumn="0" w:noHBand="0" w:noVBand="1"/>
      </w:tblPr>
      <w:tblGrid>
        <w:gridCol w:w="1603"/>
        <w:gridCol w:w="7253"/>
      </w:tblGrid>
      <w:tr w:rsidR="00983506" w:rsidRPr="005B13B5" w:rsidTr="007C5691">
        <w:trPr>
          <w:trHeight w:val="418"/>
        </w:trPr>
        <w:tc>
          <w:tcPr>
            <w:tcW w:w="1106" w:type="dxa"/>
            <w:shd w:val="clear" w:color="auto" w:fill="D9D9D9" w:themeFill="background1" w:themeFillShade="D9"/>
          </w:tcPr>
          <w:p w:rsidR="00983506" w:rsidRPr="005B13B5" w:rsidRDefault="00983506" w:rsidP="007C5691">
            <w:pPr>
              <w:jc w:val="both"/>
              <w:rPr>
                <w:rFonts w:ascii="Times New Roman" w:hAnsi="Times New Roman" w:cs="Times New Roman"/>
                <w:b/>
                <w:lang w:val="en-US"/>
              </w:rPr>
            </w:pPr>
            <w:r w:rsidRPr="005B13B5">
              <w:rPr>
                <w:rFonts w:ascii="Times New Roman" w:hAnsi="Times New Roman" w:cs="Times New Roman"/>
                <w:b/>
                <w:lang w:val="en-US"/>
              </w:rPr>
              <w:t>Complication</w:t>
            </w:r>
          </w:p>
        </w:tc>
        <w:tc>
          <w:tcPr>
            <w:tcW w:w="7320" w:type="dxa"/>
            <w:shd w:val="clear" w:color="auto" w:fill="D9D9D9" w:themeFill="background1" w:themeFillShade="D9"/>
          </w:tcPr>
          <w:p w:rsidR="00983506" w:rsidRPr="005B13B5" w:rsidRDefault="00983506" w:rsidP="007C5691">
            <w:pPr>
              <w:jc w:val="both"/>
              <w:rPr>
                <w:rFonts w:ascii="Times New Roman" w:hAnsi="Times New Roman" w:cs="Times New Roman"/>
                <w:b/>
                <w:lang w:val="en-US"/>
              </w:rPr>
            </w:pPr>
            <w:r w:rsidRPr="005B13B5">
              <w:rPr>
                <w:rFonts w:ascii="Times New Roman" w:hAnsi="Times New Roman" w:cs="Times New Roman"/>
                <w:b/>
                <w:lang w:val="en-US"/>
              </w:rPr>
              <w:t>Definition</w:t>
            </w:r>
          </w:p>
        </w:tc>
      </w:tr>
      <w:tr w:rsidR="00983506" w:rsidRPr="005B13B5" w:rsidTr="007C5691">
        <w:trPr>
          <w:trHeight w:val="202"/>
        </w:trPr>
        <w:tc>
          <w:tcPr>
            <w:tcW w:w="1106" w:type="dxa"/>
          </w:tcPr>
          <w:p w:rsidR="00983506" w:rsidRPr="005B13B5" w:rsidRDefault="00983506" w:rsidP="007C5691">
            <w:pPr>
              <w:jc w:val="both"/>
              <w:rPr>
                <w:rFonts w:ascii="Times New Roman" w:hAnsi="Times New Roman" w:cs="Times New Roman"/>
                <w:lang w:val="en-US"/>
              </w:rPr>
            </w:pPr>
            <w:r w:rsidRPr="005B13B5">
              <w:rPr>
                <w:rFonts w:ascii="Times New Roman" w:hAnsi="Times New Roman" w:cs="Times New Roman"/>
                <w:lang w:val="en-US"/>
              </w:rPr>
              <w:t>Fever</w:t>
            </w:r>
          </w:p>
        </w:tc>
        <w:tc>
          <w:tcPr>
            <w:tcW w:w="7320" w:type="dxa"/>
          </w:tcPr>
          <w:p w:rsidR="00983506" w:rsidRPr="005B13B5" w:rsidRDefault="00983506" w:rsidP="007C5691">
            <w:pPr>
              <w:jc w:val="both"/>
              <w:rPr>
                <w:rFonts w:ascii="Times New Roman" w:hAnsi="Times New Roman" w:cs="Times New Roman"/>
                <w:lang w:val="en-US"/>
              </w:rPr>
            </w:pPr>
            <w:r>
              <w:rPr>
                <w:rFonts w:ascii="Times New Roman" w:hAnsi="Times New Roman" w:cs="Times New Roman"/>
                <w:lang w:val="en-US"/>
              </w:rPr>
              <w:t>Temperature above 38.3</w:t>
            </w:r>
            <w:r w:rsidRPr="005B13B5">
              <w:rPr>
                <w:rFonts w:ascii="Times New Roman" w:hAnsi="Times New Roman" w:cs="Times New Roman"/>
                <w:lang w:val="en-US"/>
              </w:rPr>
              <w:t xml:space="preserve"> with negative cultures.</w:t>
            </w:r>
          </w:p>
        </w:tc>
      </w:tr>
      <w:tr w:rsidR="00983506" w:rsidRPr="005B13B5" w:rsidTr="007C5691">
        <w:trPr>
          <w:trHeight w:val="5764"/>
        </w:trPr>
        <w:tc>
          <w:tcPr>
            <w:tcW w:w="1106" w:type="dxa"/>
          </w:tcPr>
          <w:p w:rsidR="00983506" w:rsidRPr="005B13B5" w:rsidRDefault="00983506" w:rsidP="007C5691">
            <w:pPr>
              <w:jc w:val="both"/>
              <w:rPr>
                <w:rFonts w:ascii="Times New Roman" w:hAnsi="Times New Roman" w:cs="Times New Roman"/>
                <w:lang w:val="en-US"/>
              </w:rPr>
            </w:pPr>
            <w:r w:rsidRPr="005B13B5">
              <w:rPr>
                <w:rFonts w:ascii="Times New Roman" w:hAnsi="Times New Roman" w:cs="Times New Roman"/>
                <w:lang w:val="en-US"/>
              </w:rPr>
              <w:t>Sepsis</w:t>
            </w:r>
          </w:p>
        </w:tc>
        <w:tc>
          <w:tcPr>
            <w:tcW w:w="7320" w:type="dxa"/>
          </w:tcPr>
          <w:p w:rsidR="00983506" w:rsidRPr="005B13B5" w:rsidRDefault="00983506" w:rsidP="007C5691">
            <w:pPr>
              <w:jc w:val="both"/>
              <w:rPr>
                <w:rFonts w:ascii="Times New Roman" w:hAnsi="Times New Roman" w:cs="Times New Roman"/>
                <w:lang w:val="en-US"/>
              </w:rPr>
            </w:pPr>
            <w:r w:rsidRPr="005B13B5">
              <w:rPr>
                <w:rFonts w:ascii="Times New Roman" w:hAnsi="Times New Roman" w:cs="Times New Roman"/>
                <w:lang w:val="en-US"/>
              </w:rPr>
              <w:t>Presence of probable or documented infection addit</w:t>
            </w:r>
            <w:bookmarkStart w:id="0" w:name="_Ref426021677"/>
            <w:r>
              <w:rPr>
                <w:rFonts w:ascii="Times New Roman" w:hAnsi="Times New Roman" w:cs="Times New Roman"/>
                <w:lang w:val="en-US"/>
              </w:rPr>
              <w:t>ional to systemic manifestation,</w:t>
            </w:r>
            <w:bookmarkEnd w:id="0"/>
            <w:r>
              <w:rPr>
                <w:rFonts w:ascii="Times New Roman" w:hAnsi="Times New Roman" w:cs="Times New Roman"/>
                <w:lang w:val="en-US"/>
              </w:rPr>
              <w:t xml:space="preserve"> </w:t>
            </w:r>
            <w:r w:rsidRPr="005B13B5">
              <w:rPr>
                <w:rFonts w:ascii="Times New Roman" w:hAnsi="Times New Roman" w:cs="Times New Roman"/>
                <w:lang w:val="en-US"/>
              </w:rPr>
              <w:t>it must at least have two of the following for its diagnosis:</w:t>
            </w:r>
          </w:p>
          <w:p w:rsidR="00983506" w:rsidRPr="005B13B5" w:rsidRDefault="00983506" w:rsidP="007C5691">
            <w:pPr>
              <w:jc w:val="both"/>
              <w:rPr>
                <w:rFonts w:ascii="Times New Roman" w:hAnsi="Times New Roman" w:cs="Times New Roman"/>
                <w:lang w:val="en-US"/>
              </w:rPr>
            </w:pPr>
            <w:r w:rsidRPr="005B13B5">
              <w:rPr>
                <w:rFonts w:ascii="Times New Roman" w:hAnsi="Times New Roman" w:cs="Times New Roman"/>
                <w:lang w:val="en-US"/>
              </w:rPr>
              <w:t>Fever (&gt;38.3°C) or Hypothermia (&lt;36°C)</w:t>
            </w:r>
          </w:p>
          <w:p w:rsidR="00983506" w:rsidRPr="005B13B5" w:rsidRDefault="00983506" w:rsidP="007C5691">
            <w:pPr>
              <w:jc w:val="both"/>
              <w:rPr>
                <w:rFonts w:ascii="Times New Roman" w:hAnsi="Times New Roman" w:cs="Times New Roman"/>
                <w:lang w:val="en-US"/>
              </w:rPr>
            </w:pPr>
            <w:r>
              <w:rPr>
                <w:rFonts w:ascii="Times New Roman" w:hAnsi="Times New Roman" w:cs="Times New Roman"/>
                <w:lang w:val="en-US"/>
              </w:rPr>
              <w:t>Heart rate&gt;</w:t>
            </w:r>
            <w:r w:rsidRPr="005B13B5">
              <w:rPr>
                <w:rFonts w:ascii="Times New Roman" w:hAnsi="Times New Roman" w:cs="Times New Roman"/>
                <w:lang w:val="en-US"/>
              </w:rPr>
              <w:t>90/min</w:t>
            </w:r>
          </w:p>
          <w:p w:rsidR="00983506" w:rsidRPr="005B13B5" w:rsidRDefault="00983506" w:rsidP="007C5691">
            <w:pPr>
              <w:jc w:val="both"/>
              <w:rPr>
                <w:rFonts w:ascii="Times New Roman" w:hAnsi="Times New Roman" w:cs="Times New Roman"/>
                <w:lang w:val="en-US"/>
              </w:rPr>
            </w:pPr>
            <w:r w:rsidRPr="005B13B5">
              <w:rPr>
                <w:rFonts w:ascii="Times New Roman" w:hAnsi="Times New Roman" w:cs="Times New Roman"/>
                <w:lang w:val="en-US"/>
              </w:rPr>
              <w:t xml:space="preserve">Tachypnea </w:t>
            </w:r>
          </w:p>
          <w:p w:rsidR="00983506" w:rsidRPr="005B13B5" w:rsidRDefault="00983506" w:rsidP="007C5691">
            <w:pPr>
              <w:jc w:val="both"/>
              <w:rPr>
                <w:rFonts w:ascii="Times New Roman" w:hAnsi="Times New Roman" w:cs="Times New Roman"/>
                <w:lang w:val="en-US"/>
              </w:rPr>
            </w:pPr>
            <w:r w:rsidRPr="005B13B5">
              <w:rPr>
                <w:rFonts w:ascii="Times New Roman" w:hAnsi="Times New Roman" w:cs="Times New Roman"/>
                <w:lang w:val="en-US"/>
              </w:rPr>
              <w:t>Altered mental status</w:t>
            </w:r>
          </w:p>
          <w:p w:rsidR="00983506" w:rsidRPr="005B13B5" w:rsidRDefault="00983506" w:rsidP="007C5691">
            <w:pPr>
              <w:jc w:val="both"/>
              <w:rPr>
                <w:rFonts w:ascii="Times New Roman" w:hAnsi="Times New Roman" w:cs="Times New Roman"/>
                <w:lang w:val="en-US"/>
              </w:rPr>
            </w:pPr>
            <w:r w:rsidRPr="005B13B5">
              <w:rPr>
                <w:rFonts w:ascii="Times New Roman" w:hAnsi="Times New Roman" w:cs="Times New Roman"/>
                <w:lang w:val="en-US"/>
              </w:rPr>
              <w:t>Significant edema or positive fluid balance (&gt;20 mL/kg in 24 hours)</w:t>
            </w:r>
          </w:p>
          <w:p w:rsidR="00983506" w:rsidRPr="005B13B5" w:rsidRDefault="00983506" w:rsidP="007C5691">
            <w:pPr>
              <w:jc w:val="both"/>
              <w:rPr>
                <w:rFonts w:ascii="Times New Roman" w:hAnsi="Times New Roman" w:cs="Times New Roman"/>
                <w:lang w:val="en-US"/>
              </w:rPr>
            </w:pPr>
            <w:r>
              <w:rPr>
                <w:rFonts w:ascii="Times New Roman" w:hAnsi="Times New Roman" w:cs="Times New Roman"/>
                <w:lang w:val="en-US"/>
              </w:rPr>
              <w:t>Hyperglycemia (plasma glucose</w:t>
            </w:r>
            <w:r w:rsidRPr="005B13B5">
              <w:rPr>
                <w:rFonts w:ascii="Times New Roman" w:hAnsi="Times New Roman" w:cs="Times New Roman"/>
                <w:lang w:val="en-US"/>
              </w:rPr>
              <w:t>&gt;140 mg/</w:t>
            </w:r>
            <w:proofErr w:type="spellStart"/>
            <w:r w:rsidRPr="005B13B5">
              <w:rPr>
                <w:rFonts w:ascii="Times New Roman" w:hAnsi="Times New Roman" w:cs="Times New Roman"/>
                <w:lang w:val="en-US"/>
              </w:rPr>
              <w:t>dL</w:t>
            </w:r>
            <w:proofErr w:type="spellEnd"/>
            <w:r w:rsidRPr="005B13B5">
              <w:rPr>
                <w:rFonts w:ascii="Times New Roman" w:hAnsi="Times New Roman" w:cs="Times New Roman"/>
                <w:lang w:val="en-US"/>
              </w:rPr>
              <w:t xml:space="preserve"> or 7.7 </w:t>
            </w:r>
            <w:proofErr w:type="spellStart"/>
            <w:r w:rsidRPr="005B13B5">
              <w:rPr>
                <w:rFonts w:ascii="Times New Roman" w:hAnsi="Times New Roman" w:cs="Times New Roman"/>
                <w:lang w:val="en-US"/>
              </w:rPr>
              <w:t>mmol</w:t>
            </w:r>
            <w:proofErr w:type="spellEnd"/>
            <w:r w:rsidRPr="005B13B5">
              <w:rPr>
                <w:rFonts w:ascii="Times New Roman" w:hAnsi="Times New Roman" w:cs="Times New Roman"/>
                <w:lang w:val="en-US"/>
              </w:rPr>
              <w:t>/L) in a patient without diabetes</w:t>
            </w:r>
          </w:p>
          <w:p w:rsidR="00983506" w:rsidRPr="005B13B5" w:rsidRDefault="00983506" w:rsidP="007C5691">
            <w:pPr>
              <w:jc w:val="both"/>
              <w:rPr>
                <w:rFonts w:ascii="Times New Roman" w:hAnsi="Times New Roman" w:cs="Times New Roman"/>
                <w:lang w:val="en-US"/>
              </w:rPr>
            </w:pPr>
            <w:r w:rsidRPr="005B13B5">
              <w:rPr>
                <w:rFonts w:ascii="Times New Roman" w:hAnsi="Times New Roman" w:cs="Times New Roman"/>
                <w:lang w:val="en-US"/>
              </w:rPr>
              <w:t>Inflammatory variables:</w:t>
            </w:r>
          </w:p>
          <w:p w:rsidR="00983506" w:rsidRPr="005B13B5" w:rsidRDefault="00983506" w:rsidP="007C5691">
            <w:pPr>
              <w:jc w:val="both"/>
              <w:rPr>
                <w:rFonts w:ascii="Times New Roman" w:hAnsi="Times New Roman" w:cs="Times New Roman"/>
                <w:lang w:val="en-US"/>
              </w:rPr>
            </w:pPr>
            <w:r>
              <w:rPr>
                <w:rFonts w:ascii="Times New Roman" w:hAnsi="Times New Roman" w:cs="Times New Roman"/>
                <w:lang w:val="en-US"/>
              </w:rPr>
              <w:t>Leukocytosis (</w:t>
            </w:r>
            <w:r w:rsidRPr="005B13B5">
              <w:rPr>
                <w:rFonts w:ascii="Times New Roman" w:hAnsi="Times New Roman" w:cs="Times New Roman"/>
                <w:lang w:val="en-US"/>
              </w:rPr>
              <w:t>&gt;12,000) or Leukopenia (&lt;4000)</w:t>
            </w:r>
          </w:p>
          <w:p w:rsidR="00983506" w:rsidRPr="005B13B5" w:rsidRDefault="00983506" w:rsidP="007C5691">
            <w:pPr>
              <w:jc w:val="both"/>
              <w:rPr>
                <w:rFonts w:ascii="Times New Roman" w:hAnsi="Times New Roman" w:cs="Times New Roman"/>
                <w:lang w:val="en-US"/>
              </w:rPr>
            </w:pPr>
            <w:r w:rsidRPr="005B13B5">
              <w:rPr>
                <w:rFonts w:ascii="Times New Roman" w:hAnsi="Times New Roman" w:cs="Times New Roman"/>
                <w:lang w:val="en-US"/>
              </w:rPr>
              <w:t>Normal white blood cell count withy more than 10% immature forms</w:t>
            </w:r>
          </w:p>
          <w:p w:rsidR="00983506" w:rsidRPr="005B13B5" w:rsidRDefault="00983506" w:rsidP="007C5691">
            <w:pPr>
              <w:jc w:val="both"/>
              <w:rPr>
                <w:rFonts w:ascii="Times New Roman" w:hAnsi="Times New Roman" w:cs="Times New Roman"/>
                <w:lang w:val="en-US"/>
              </w:rPr>
            </w:pPr>
            <w:r w:rsidRPr="005B13B5">
              <w:rPr>
                <w:rFonts w:ascii="Times New Roman" w:hAnsi="Times New Roman" w:cs="Times New Roman"/>
                <w:lang w:val="en-US"/>
              </w:rPr>
              <w:t>CRP greater than two standard deviations from the normal value</w:t>
            </w:r>
          </w:p>
          <w:p w:rsidR="00983506" w:rsidRPr="005B13B5" w:rsidRDefault="00983506" w:rsidP="007C5691">
            <w:pPr>
              <w:jc w:val="both"/>
              <w:rPr>
                <w:rFonts w:ascii="Times New Roman" w:hAnsi="Times New Roman" w:cs="Times New Roman"/>
                <w:lang w:val="en-US"/>
              </w:rPr>
            </w:pPr>
            <w:proofErr w:type="spellStart"/>
            <w:r w:rsidRPr="005B13B5">
              <w:rPr>
                <w:rFonts w:ascii="Times New Roman" w:hAnsi="Times New Roman" w:cs="Times New Roman"/>
                <w:lang w:val="en-US"/>
              </w:rPr>
              <w:t>Procalcitonin</w:t>
            </w:r>
            <w:proofErr w:type="spellEnd"/>
            <w:r w:rsidRPr="005B13B5">
              <w:rPr>
                <w:rFonts w:ascii="Times New Roman" w:hAnsi="Times New Roman" w:cs="Times New Roman"/>
                <w:lang w:val="en-US"/>
              </w:rPr>
              <w:t xml:space="preserve"> more than two standard deviations from the normal value</w:t>
            </w:r>
          </w:p>
          <w:p w:rsidR="00983506" w:rsidRPr="005B13B5" w:rsidRDefault="00983506" w:rsidP="007C5691">
            <w:pPr>
              <w:jc w:val="both"/>
              <w:rPr>
                <w:rFonts w:ascii="Times New Roman" w:hAnsi="Times New Roman" w:cs="Times New Roman"/>
                <w:lang w:val="en-US"/>
              </w:rPr>
            </w:pPr>
            <w:r w:rsidRPr="005B13B5">
              <w:rPr>
                <w:rFonts w:ascii="Times New Roman" w:hAnsi="Times New Roman" w:cs="Times New Roman"/>
                <w:lang w:val="en-US"/>
              </w:rPr>
              <w:t>Hemodynamic variables:</w:t>
            </w:r>
          </w:p>
          <w:p w:rsidR="00983506" w:rsidRPr="005B13B5" w:rsidRDefault="00983506" w:rsidP="007C5691">
            <w:pPr>
              <w:jc w:val="both"/>
              <w:rPr>
                <w:rFonts w:ascii="Times New Roman" w:hAnsi="Times New Roman" w:cs="Times New Roman"/>
                <w:lang w:val="en-US"/>
              </w:rPr>
            </w:pPr>
            <w:r w:rsidRPr="005B13B5">
              <w:rPr>
                <w:rFonts w:ascii="Times New Roman" w:hAnsi="Times New Roman" w:cs="Times New Roman"/>
                <w:lang w:val="en-US"/>
              </w:rPr>
              <w:t>Arterial systolic blood pressure &lt;90 mm Hg</w:t>
            </w:r>
          </w:p>
          <w:p w:rsidR="00983506" w:rsidRPr="005B13B5" w:rsidRDefault="00983506" w:rsidP="007C5691">
            <w:pPr>
              <w:jc w:val="both"/>
              <w:rPr>
                <w:rFonts w:ascii="Times New Roman" w:hAnsi="Times New Roman" w:cs="Times New Roman"/>
                <w:lang w:val="en-US"/>
              </w:rPr>
            </w:pPr>
            <w:r w:rsidRPr="005B13B5">
              <w:rPr>
                <w:rFonts w:ascii="Times New Roman" w:hAnsi="Times New Roman" w:cs="Times New Roman"/>
                <w:lang w:val="en-US"/>
              </w:rPr>
              <w:t>Organ dysfunction variables:</w:t>
            </w:r>
          </w:p>
          <w:p w:rsidR="00983506" w:rsidRPr="005B13B5" w:rsidRDefault="00983506" w:rsidP="007C5691">
            <w:pPr>
              <w:jc w:val="both"/>
              <w:rPr>
                <w:rFonts w:ascii="Times New Roman" w:hAnsi="Times New Roman" w:cs="Times New Roman"/>
                <w:lang w:val="en-US"/>
              </w:rPr>
            </w:pPr>
            <w:r>
              <w:rPr>
                <w:rFonts w:ascii="Times New Roman" w:hAnsi="Times New Roman" w:cs="Times New Roman"/>
                <w:lang w:val="en-US"/>
              </w:rPr>
              <w:t>Arterial Hypoxemia (PaO</w:t>
            </w:r>
            <w:r w:rsidRPr="005B13B5">
              <w:rPr>
                <w:rFonts w:ascii="Times New Roman" w:hAnsi="Times New Roman" w:cs="Times New Roman"/>
                <w:vertAlign w:val="subscript"/>
                <w:lang w:val="en-US"/>
              </w:rPr>
              <w:t>2</w:t>
            </w:r>
            <w:r>
              <w:rPr>
                <w:rFonts w:ascii="Times New Roman" w:hAnsi="Times New Roman" w:cs="Times New Roman"/>
                <w:lang w:val="en-US"/>
              </w:rPr>
              <w:t>/FiO</w:t>
            </w:r>
            <w:r w:rsidRPr="005B13B5">
              <w:rPr>
                <w:rFonts w:ascii="Times New Roman" w:hAnsi="Times New Roman" w:cs="Times New Roman"/>
                <w:vertAlign w:val="subscript"/>
                <w:lang w:val="en-US"/>
              </w:rPr>
              <w:t>2</w:t>
            </w:r>
            <w:r w:rsidRPr="005B13B5">
              <w:rPr>
                <w:rFonts w:ascii="Times New Roman" w:hAnsi="Times New Roman" w:cs="Times New Roman"/>
                <w:lang w:val="en-US"/>
              </w:rPr>
              <w:t>&lt;300)</w:t>
            </w:r>
          </w:p>
          <w:p w:rsidR="00983506" w:rsidRPr="005B13B5" w:rsidRDefault="00983506" w:rsidP="007C5691">
            <w:pPr>
              <w:jc w:val="both"/>
              <w:rPr>
                <w:rFonts w:ascii="Times New Roman" w:hAnsi="Times New Roman" w:cs="Times New Roman"/>
                <w:lang w:val="en-US"/>
              </w:rPr>
            </w:pPr>
            <w:r>
              <w:rPr>
                <w:rFonts w:ascii="Times New Roman" w:hAnsi="Times New Roman" w:cs="Times New Roman"/>
                <w:lang w:val="en-US"/>
              </w:rPr>
              <w:t>Acute oliguria (Urinary output</w:t>
            </w:r>
            <w:r w:rsidRPr="005B13B5">
              <w:rPr>
                <w:rFonts w:ascii="Times New Roman" w:hAnsi="Times New Roman" w:cs="Times New Roman"/>
                <w:lang w:val="en-US"/>
              </w:rPr>
              <w:t>&lt;0.5 mL/kg/hour at least during 2 hours despite fluid resuscitation)</w:t>
            </w:r>
          </w:p>
          <w:p w:rsidR="00983506" w:rsidRPr="005B13B5" w:rsidRDefault="00983506" w:rsidP="007C5691">
            <w:pPr>
              <w:jc w:val="both"/>
              <w:rPr>
                <w:rFonts w:ascii="Times New Roman" w:hAnsi="Times New Roman" w:cs="Times New Roman"/>
                <w:lang w:val="en-US"/>
              </w:rPr>
            </w:pPr>
            <w:r>
              <w:rPr>
                <w:rFonts w:ascii="Times New Roman" w:hAnsi="Times New Roman" w:cs="Times New Roman"/>
                <w:lang w:val="en-US"/>
              </w:rPr>
              <w:t xml:space="preserve">Increase of </w:t>
            </w:r>
            <w:proofErr w:type="spellStart"/>
            <w:r>
              <w:rPr>
                <w:rFonts w:ascii="Times New Roman" w:hAnsi="Times New Roman" w:cs="Times New Roman"/>
                <w:lang w:val="en-US"/>
              </w:rPr>
              <w:t>creatinine</w:t>
            </w:r>
            <w:proofErr w:type="spellEnd"/>
            <w:r w:rsidRPr="005B13B5">
              <w:rPr>
                <w:rFonts w:ascii="Times New Roman" w:hAnsi="Times New Roman" w:cs="Times New Roman"/>
                <w:lang w:val="en-US"/>
              </w:rPr>
              <w:t>&gt;0.5 mg/</w:t>
            </w:r>
            <w:proofErr w:type="spellStart"/>
            <w:r w:rsidRPr="005B13B5">
              <w:rPr>
                <w:rFonts w:ascii="Times New Roman" w:hAnsi="Times New Roman" w:cs="Times New Roman"/>
                <w:lang w:val="en-US"/>
              </w:rPr>
              <w:t>dL</w:t>
            </w:r>
            <w:proofErr w:type="spellEnd"/>
            <w:r w:rsidRPr="005B13B5">
              <w:rPr>
                <w:rFonts w:ascii="Times New Roman" w:hAnsi="Times New Roman" w:cs="Times New Roman"/>
                <w:lang w:val="en-US"/>
              </w:rPr>
              <w:t xml:space="preserve"> or 44.2 </w:t>
            </w:r>
            <w:proofErr w:type="spellStart"/>
            <w:r w:rsidRPr="005B13B5">
              <w:rPr>
                <w:rFonts w:ascii="Times New Roman" w:hAnsi="Times New Roman" w:cs="Times New Roman"/>
                <w:lang w:val="en-US"/>
              </w:rPr>
              <w:t>μmol</w:t>
            </w:r>
            <w:proofErr w:type="spellEnd"/>
            <w:r w:rsidRPr="005B13B5">
              <w:rPr>
                <w:rFonts w:ascii="Times New Roman" w:hAnsi="Times New Roman" w:cs="Times New Roman"/>
                <w:lang w:val="en-US"/>
              </w:rPr>
              <w:t>/L</w:t>
            </w:r>
          </w:p>
          <w:p w:rsidR="00983506" w:rsidRPr="005B13B5" w:rsidRDefault="00983506" w:rsidP="007C5691">
            <w:pPr>
              <w:jc w:val="both"/>
              <w:rPr>
                <w:rFonts w:ascii="Times New Roman" w:hAnsi="Times New Roman" w:cs="Times New Roman"/>
                <w:lang w:val="en-US"/>
              </w:rPr>
            </w:pPr>
            <w:r w:rsidRPr="005B13B5">
              <w:rPr>
                <w:rFonts w:ascii="Times New Roman" w:hAnsi="Times New Roman" w:cs="Times New Roman"/>
                <w:lang w:val="en-US"/>
              </w:rPr>
              <w:t>Bl</w:t>
            </w:r>
            <w:r>
              <w:rPr>
                <w:rFonts w:ascii="Times New Roman" w:hAnsi="Times New Roman" w:cs="Times New Roman"/>
                <w:lang w:val="en-US"/>
              </w:rPr>
              <w:t>ood clotting abnormalities (INR&gt;1.5 or a PTT</w:t>
            </w:r>
            <w:r w:rsidRPr="005B13B5">
              <w:rPr>
                <w:rFonts w:ascii="Times New Roman" w:hAnsi="Times New Roman" w:cs="Times New Roman"/>
                <w:lang w:val="en-US"/>
              </w:rPr>
              <w:t>&gt;60 s)</w:t>
            </w:r>
          </w:p>
          <w:p w:rsidR="00983506" w:rsidRPr="005B13B5" w:rsidRDefault="00983506" w:rsidP="007C5691">
            <w:pPr>
              <w:jc w:val="both"/>
              <w:rPr>
                <w:rFonts w:ascii="Times New Roman" w:hAnsi="Times New Roman" w:cs="Times New Roman"/>
                <w:lang w:val="en-US"/>
              </w:rPr>
            </w:pPr>
            <w:r w:rsidRPr="005B13B5">
              <w:rPr>
                <w:rFonts w:ascii="Times New Roman" w:hAnsi="Times New Roman" w:cs="Times New Roman"/>
                <w:lang w:val="en-US"/>
              </w:rPr>
              <w:t>Ileus</w:t>
            </w:r>
          </w:p>
          <w:p w:rsidR="00983506" w:rsidRPr="005B13B5" w:rsidRDefault="00983506" w:rsidP="007C5691">
            <w:pPr>
              <w:jc w:val="both"/>
              <w:rPr>
                <w:rFonts w:ascii="Times New Roman" w:hAnsi="Times New Roman" w:cs="Times New Roman"/>
                <w:lang w:val="en-US"/>
              </w:rPr>
            </w:pPr>
            <w:r w:rsidRPr="005B13B5">
              <w:rPr>
                <w:rFonts w:ascii="Times New Roman" w:hAnsi="Times New Roman" w:cs="Times New Roman"/>
                <w:lang w:val="en-US"/>
              </w:rPr>
              <w:t>T</w:t>
            </w:r>
            <w:r>
              <w:rPr>
                <w:rFonts w:ascii="Times New Roman" w:hAnsi="Times New Roman" w:cs="Times New Roman"/>
                <w:lang w:val="en-US"/>
              </w:rPr>
              <w:t>hrombocytopenia (platelet count</w:t>
            </w:r>
            <w:r w:rsidRPr="005B13B5">
              <w:rPr>
                <w:rFonts w:ascii="Times New Roman" w:hAnsi="Times New Roman" w:cs="Times New Roman"/>
                <w:lang w:val="en-US"/>
              </w:rPr>
              <w:t>&lt;100,000)</w:t>
            </w:r>
          </w:p>
          <w:p w:rsidR="00983506" w:rsidRPr="005B13B5" w:rsidRDefault="00983506" w:rsidP="007C5691">
            <w:pPr>
              <w:jc w:val="both"/>
              <w:rPr>
                <w:rFonts w:ascii="Times New Roman" w:hAnsi="Times New Roman" w:cs="Times New Roman"/>
                <w:lang w:val="en-US"/>
              </w:rPr>
            </w:pPr>
            <w:proofErr w:type="spellStart"/>
            <w:r w:rsidRPr="005B13B5">
              <w:rPr>
                <w:rFonts w:ascii="Times New Roman" w:hAnsi="Times New Roman" w:cs="Times New Roman"/>
                <w:lang w:val="en-US"/>
              </w:rPr>
              <w:t>Hyperbilirubinaemia</w:t>
            </w:r>
            <w:proofErr w:type="spellEnd"/>
            <w:r w:rsidRPr="005B13B5">
              <w:rPr>
                <w:rFonts w:ascii="Times New Roman" w:hAnsi="Times New Roman" w:cs="Times New Roman"/>
                <w:lang w:val="en-US"/>
              </w:rPr>
              <w:t xml:space="preserve"> (total plasmatic bilirubin &gt;4 mg/</w:t>
            </w:r>
            <w:proofErr w:type="spellStart"/>
            <w:r w:rsidRPr="005B13B5">
              <w:rPr>
                <w:rFonts w:ascii="Times New Roman" w:hAnsi="Times New Roman" w:cs="Times New Roman"/>
                <w:lang w:val="en-US"/>
              </w:rPr>
              <w:t>dL</w:t>
            </w:r>
            <w:proofErr w:type="spellEnd"/>
            <w:r w:rsidRPr="005B13B5">
              <w:rPr>
                <w:rFonts w:ascii="Times New Roman" w:hAnsi="Times New Roman" w:cs="Times New Roman"/>
                <w:lang w:val="en-US"/>
              </w:rPr>
              <w:t>)</w:t>
            </w:r>
          </w:p>
          <w:p w:rsidR="00983506" w:rsidRPr="005B13B5" w:rsidRDefault="00983506" w:rsidP="007C5691">
            <w:pPr>
              <w:jc w:val="both"/>
              <w:rPr>
                <w:rFonts w:ascii="Times New Roman" w:hAnsi="Times New Roman" w:cs="Times New Roman"/>
                <w:lang w:val="en-US"/>
              </w:rPr>
            </w:pPr>
            <w:r w:rsidRPr="005B13B5">
              <w:rPr>
                <w:rFonts w:ascii="Times New Roman" w:hAnsi="Times New Roman" w:cs="Times New Roman"/>
                <w:lang w:val="en-US"/>
              </w:rPr>
              <w:t>Tissue perfusion variables:</w:t>
            </w:r>
          </w:p>
          <w:p w:rsidR="00983506" w:rsidRPr="005B13B5" w:rsidRDefault="00983506" w:rsidP="007C5691">
            <w:pPr>
              <w:jc w:val="both"/>
              <w:rPr>
                <w:rFonts w:ascii="Times New Roman" w:hAnsi="Times New Roman" w:cs="Times New Roman"/>
                <w:lang w:val="en-US"/>
              </w:rPr>
            </w:pPr>
            <w:r>
              <w:rPr>
                <w:rFonts w:ascii="Times New Roman" w:hAnsi="Times New Roman" w:cs="Times New Roman"/>
                <w:lang w:val="en-US"/>
              </w:rPr>
              <w:t>Lactate &gt;</w:t>
            </w:r>
            <w:r w:rsidRPr="005B13B5">
              <w:rPr>
                <w:rFonts w:ascii="Times New Roman" w:hAnsi="Times New Roman" w:cs="Times New Roman"/>
                <w:lang w:val="en-US"/>
              </w:rPr>
              <w:t xml:space="preserve">1 </w:t>
            </w:r>
            <w:proofErr w:type="spellStart"/>
            <w:r w:rsidRPr="005B13B5">
              <w:rPr>
                <w:rFonts w:ascii="Times New Roman" w:hAnsi="Times New Roman" w:cs="Times New Roman"/>
                <w:lang w:val="en-US"/>
              </w:rPr>
              <w:t>mmol</w:t>
            </w:r>
            <w:proofErr w:type="spellEnd"/>
            <w:r w:rsidRPr="005B13B5">
              <w:rPr>
                <w:rFonts w:ascii="Times New Roman" w:hAnsi="Times New Roman" w:cs="Times New Roman"/>
                <w:lang w:val="en-US"/>
              </w:rPr>
              <w:t>/L</w:t>
            </w:r>
          </w:p>
          <w:p w:rsidR="00983506" w:rsidRPr="005B13B5" w:rsidRDefault="00983506" w:rsidP="007C5691">
            <w:pPr>
              <w:jc w:val="both"/>
              <w:rPr>
                <w:rFonts w:ascii="Times New Roman" w:hAnsi="Times New Roman" w:cs="Times New Roman"/>
                <w:lang w:val="en-US"/>
              </w:rPr>
            </w:pPr>
            <w:r w:rsidRPr="005B13B5">
              <w:rPr>
                <w:rFonts w:ascii="Times New Roman" w:hAnsi="Times New Roman" w:cs="Times New Roman"/>
                <w:lang w:val="en-US"/>
              </w:rPr>
              <w:t>Slow capi</w:t>
            </w:r>
            <w:r>
              <w:rPr>
                <w:rFonts w:ascii="Times New Roman" w:hAnsi="Times New Roman" w:cs="Times New Roman"/>
                <w:lang w:val="en-US"/>
              </w:rPr>
              <w:t>llary filling or mottled skin</w:t>
            </w:r>
          </w:p>
        </w:tc>
      </w:tr>
      <w:tr w:rsidR="00983506" w:rsidRPr="005B13B5" w:rsidTr="007C5691">
        <w:trPr>
          <w:trHeight w:val="350"/>
        </w:trPr>
        <w:tc>
          <w:tcPr>
            <w:tcW w:w="1106" w:type="dxa"/>
          </w:tcPr>
          <w:p w:rsidR="00983506" w:rsidRPr="005B13B5" w:rsidRDefault="00983506" w:rsidP="007C5691">
            <w:pPr>
              <w:jc w:val="both"/>
              <w:rPr>
                <w:rFonts w:ascii="Times New Roman" w:hAnsi="Times New Roman" w:cs="Times New Roman"/>
                <w:lang w:val="en-US"/>
              </w:rPr>
            </w:pPr>
            <w:r w:rsidRPr="005B13B5">
              <w:rPr>
                <w:rFonts w:ascii="Times New Roman" w:hAnsi="Times New Roman" w:cs="Times New Roman"/>
                <w:lang w:val="en-US"/>
              </w:rPr>
              <w:t>Severe sepsis</w:t>
            </w:r>
          </w:p>
        </w:tc>
        <w:tc>
          <w:tcPr>
            <w:tcW w:w="7320" w:type="dxa"/>
          </w:tcPr>
          <w:p w:rsidR="00983506" w:rsidRPr="005B13B5" w:rsidRDefault="00983506" w:rsidP="007C5691">
            <w:pPr>
              <w:jc w:val="both"/>
              <w:rPr>
                <w:rFonts w:ascii="Times New Roman" w:hAnsi="Times New Roman" w:cs="Times New Roman"/>
                <w:lang w:val="en-US"/>
              </w:rPr>
            </w:pPr>
            <w:r w:rsidRPr="005B13B5">
              <w:rPr>
                <w:rFonts w:ascii="Times New Roman" w:hAnsi="Times New Roman" w:cs="Times New Roman"/>
                <w:lang w:val="en-US"/>
              </w:rPr>
              <w:t>Sepsis plus tissue hypo-perfusion or secondary organ dysfunction (any of the following criteria</w:t>
            </w:r>
          </w:p>
          <w:p w:rsidR="00983506" w:rsidRPr="005B13B5" w:rsidRDefault="00983506" w:rsidP="007C5691">
            <w:pPr>
              <w:jc w:val="both"/>
              <w:rPr>
                <w:rFonts w:ascii="Times New Roman" w:hAnsi="Times New Roman" w:cs="Times New Roman"/>
                <w:lang w:val="en-US"/>
              </w:rPr>
            </w:pPr>
            <w:r w:rsidRPr="005B13B5">
              <w:rPr>
                <w:rFonts w:ascii="Times New Roman" w:hAnsi="Times New Roman" w:cs="Times New Roman"/>
                <w:lang w:val="en-US"/>
              </w:rPr>
              <w:t xml:space="preserve">Hypotension secondary to sepsis </w:t>
            </w:r>
          </w:p>
          <w:p w:rsidR="00983506" w:rsidRPr="005B13B5" w:rsidRDefault="00983506" w:rsidP="007C5691">
            <w:pPr>
              <w:jc w:val="both"/>
              <w:rPr>
                <w:rFonts w:ascii="Times New Roman" w:hAnsi="Times New Roman" w:cs="Times New Roman"/>
                <w:lang w:val="en-US"/>
              </w:rPr>
            </w:pPr>
            <w:r w:rsidRPr="005B13B5">
              <w:rPr>
                <w:rFonts w:ascii="Times New Roman" w:hAnsi="Times New Roman" w:cs="Times New Roman"/>
                <w:lang w:val="en-US"/>
              </w:rPr>
              <w:t>Elevated lactate</w:t>
            </w:r>
          </w:p>
          <w:p w:rsidR="00983506" w:rsidRPr="005B13B5" w:rsidRDefault="00983506" w:rsidP="007C5691">
            <w:pPr>
              <w:jc w:val="both"/>
              <w:rPr>
                <w:rFonts w:ascii="Times New Roman" w:hAnsi="Times New Roman" w:cs="Times New Roman"/>
                <w:lang w:val="en-US"/>
              </w:rPr>
            </w:pPr>
            <w:r w:rsidRPr="005B13B5">
              <w:rPr>
                <w:rFonts w:ascii="Times New Roman" w:hAnsi="Times New Roman" w:cs="Times New Roman"/>
                <w:lang w:val="en-US"/>
              </w:rPr>
              <w:t>Acute oliguria</w:t>
            </w:r>
          </w:p>
          <w:p w:rsidR="00983506" w:rsidRPr="005B13B5" w:rsidRDefault="00983506" w:rsidP="007C5691">
            <w:pPr>
              <w:jc w:val="both"/>
              <w:rPr>
                <w:rFonts w:ascii="Times New Roman" w:hAnsi="Times New Roman" w:cs="Times New Roman"/>
                <w:lang w:val="en-US"/>
              </w:rPr>
            </w:pPr>
            <w:r w:rsidRPr="005B13B5">
              <w:rPr>
                <w:rFonts w:ascii="Times New Roman" w:hAnsi="Times New Roman" w:cs="Times New Roman"/>
                <w:lang w:val="en-US"/>
              </w:rPr>
              <w:t>A</w:t>
            </w:r>
            <w:r>
              <w:rPr>
                <w:rFonts w:ascii="Times New Roman" w:hAnsi="Times New Roman" w:cs="Times New Roman"/>
                <w:lang w:val="en-US"/>
              </w:rPr>
              <w:t>cute lung injury with Pao2/Fio2&lt;</w:t>
            </w:r>
            <w:r w:rsidRPr="005B13B5">
              <w:rPr>
                <w:rFonts w:ascii="Times New Roman" w:hAnsi="Times New Roman" w:cs="Times New Roman"/>
                <w:lang w:val="en-US"/>
              </w:rPr>
              <w:t>250 in the absence of pneumonia as infectious focus</w:t>
            </w:r>
          </w:p>
          <w:p w:rsidR="00983506" w:rsidRPr="005B13B5" w:rsidRDefault="00983506" w:rsidP="007C5691">
            <w:pPr>
              <w:jc w:val="both"/>
              <w:rPr>
                <w:rFonts w:ascii="Times New Roman" w:hAnsi="Times New Roman" w:cs="Times New Roman"/>
                <w:lang w:val="en-US"/>
              </w:rPr>
            </w:pPr>
            <w:r w:rsidRPr="005B13B5">
              <w:rPr>
                <w:rFonts w:ascii="Times New Roman" w:hAnsi="Times New Roman" w:cs="Times New Roman"/>
                <w:lang w:val="en-US"/>
              </w:rPr>
              <w:t>A</w:t>
            </w:r>
            <w:r>
              <w:rPr>
                <w:rFonts w:ascii="Times New Roman" w:hAnsi="Times New Roman" w:cs="Times New Roman"/>
                <w:lang w:val="en-US"/>
              </w:rPr>
              <w:t>cute lung injury with Pao2/Fio2&lt;</w:t>
            </w:r>
            <w:r w:rsidRPr="005B13B5">
              <w:rPr>
                <w:rFonts w:ascii="Times New Roman" w:hAnsi="Times New Roman" w:cs="Times New Roman"/>
                <w:lang w:val="en-US"/>
              </w:rPr>
              <w:t>200 in the presence of pneumonia as infectious focus</w:t>
            </w:r>
          </w:p>
          <w:p w:rsidR="00983506" w:rsidRPr="005B13B5" w:rsidRDefault="00983506" w:rsidP="007C5691">
            <w:pPr>
              <w:jc w:val="both"/>
              <w:rPr>
                <w:rFonts w:ascii="Times New Roman" w:hAnsi="Times New Roman" w:cs="Times New Roman"/>
                <w:lang w:val="en-US"/>
              </w:rPr>
            </w:pPr>
            <w:proofErr w:type="spellStart"/>
            <w:r w:rsidRPr="005B13B5">
              <w:rPr>
                <w:rFonts w:ascii="Times New Roman" w:hAnsi="Times New Roman" w:cs="Times New Roman"/>
                <w:lang w:val="en-US"/>
              </w:rPr>
              <w:t>Creatinine</w:t>
            </w:r>
            <w:proofErr w:type="spellEnd"/>
            <w:r w:rsidRPr="005B13B5">
              <w:rPr>
                <w:rFonts w:ascii="Times New Roman" w:hAnsi="Times New Roman" w:cs="Times New Roman"/>
                <w:lang w:val="en-US"/>
              </w:rPr>
              <w:t xml:space="preserve"> 2.0 mg/</w:t>
            </w:r>
            <w:proofErr w:type="spellStart"/>
            <w:r w:rsidRPr="005B13B5">
              <w:rPr>
                <w:rFonts w:ascii="Times New Roman" w:hAnsi="Times New Roman" w:cs="Times New Roman"/>
                <w:lang w:val="en-US"/>
              </w:rPr>
              <w:t>dL</w:t>
            </w:r>
            <w:proofErr w:type="spellEnd"/>
            <w:r w:rsidRPr="005B13B5">
              <w:rPr>
                <w:rFonts w:ascii="Times New Roman" w:hAnsi="Times New Roman" w:cs="Times New Roman"/>
                <w:lang w:val="en-US"/>
              </w:rPr>
              <w:t xml:space="preserve"> (176.8 </w:t>
            </w:r>
            <w:proofErr w:type="spellStart"/>
            <w:r w:rsidRPr="005B13B5">
              <w:rPr>
                <w:rFonts w:ascii="Times New Roman" w:hAnsi="Times New Roman" w:cs="Times New Roman"/>
                <w:lang w:val="en-US"/>
              </w:rPr>
              <w:t>μmol</w:t>
            </w:r>
            <w:proofErr w:type="spellEnd"/>
            <w:r w:rsidRPr="005B13B5">
              <w:rPr>
                <w:rFonts w:ascii="Times New Roman" w:hAnsi="Times New Roman" w:cs="Times New Roman"/>
                <w:lang w:val="en-US"/>
              </w:rPr>
              <w:t>/L)</w:t>
            </w:r>
          </w:p>
          <w:p w:rsidR="00983506" w:rsidRPr="005B13B5" w:rsidRDefault="00983506" w:rsidP="007C5691">
            <w:pPr>
              <w:jc w:val="both"/>
              <w:rPr>
                <w:rFonts w:ascii="Times New Roman" w:hAnsi="Times New Roman" w:cs="Times New Roman"/>
                <w:lang w:val="en-US"/>
              </w:rPr>
            </w:pPr>
            <w:r>
              <w:rPr>
                <w:rFonts w:ascii="Times New Roman" w:hAnsi="Times New Roman" w:cs="Times New Roman"/>
                <w:lang w:val="en-US"/>
              </w:rPr>
              <w:t>Bilirubin&gt;</w:t>
            </w:r>
            <w:r w:rsidRPr="005B13B5">
              <w:rPr>
                <w:rFonts w:ascii="Times New Roman" w:hAnsi="Times New Roman" w:cs="Times New Roman"/>
                <w:lang w:val="en-US"/>
              </w:rPr>
              <w:t>2 mg/</w:t>
            </w:r>
            <w:proofErr w:type="spellStart"/>
            <w:r w:rsidRPr="005B13B5">
              <w:rPr>
                <w:rFonts w:ascii="Times New Roman" w:hAnsi="Times New Roman" w:cs="Times New Roman"/>
                <w:lang w:val="en-US"/>
              </w:rPr>
              <w:t>dL</w:t>
            </w:r>
            <w:proofErr w:type="spellEnd"/>
            <w:r w:rsidRPr="005B13B5">
              <w:rPr>
                <w:rFonts w:ascii="Times New Roman" w:hAnsi="Times New Roman" w:cs="Times New Roman"/>
                <w:lang w:val="en-US"/>
              </w:rPr>
              <w:t xml:space="preserve"> (34.2 </w:t>
            </w:r>
            <w:proofErr w:type="spellStart"/>
            <w:r w:rsidRPr="005B13B5">
              <w:rPr>
                <w:rFonts w:ascii="Times New Roman" w:hAnsi="Times New Roman" w:cs="Times New Roman"/>
                <w:lang w:val="en-US"/>
              </w:rPr>
              <w:t>μmol</w:t>
            </w:r>
            <w:proofErr w:type="spellEnd"/>
            <w:r w:rsidRPr="005B13B5">
              <w:rPr>
                <w:rFonts w:ascii="Times New Roman" w:hAnsi="Times New Roman" w:cs="Times New Roman"/>
                <w:lang w:val="en-US"/>
              </w:rPr>
              <w:t>/L)</w:t>
            </w:r>
          </w:p>
          <w:p w:rsidR="00983506" w:rsidRPr="005B13B5" w:rsidRDefault="00983506" w:rsidP="007C5691">
            <w:pPr>
              <w:jc w:val="both"/>
              <w:rPr>
                <w:rFonts w:ascii="Times New Roman" w:hAnsi="Times New Roman" w:cs="Times New Roman"/>
                <w:lang w:val="en-US"/>
              </w:rPr>
            </w:pPr>
            <w:r>
              <w:rPr>
                <w:rFonts w:ascii="Times New Roman" w:hAnsi="Times New Roman" w:cs="Times New Roman"/>
                <w:lang w:val="en-US"/>
              </w:rPr>
              <w:t>Platelet count&lt;</w:t>
            </w:r>
            <w:r w:rsidRPr="005B13B5">
              <w:rPr>
                <w:rFonts w:ascii="Times New Roman" w:hAnsi="Times New Roman" w:cs="Times New Roman"/>
                <w:lang w:val="en-US"/>
              </w:rPr>
              <w:t xml:space="preserve">100,000 </w:t>
            </w:r>
            <w:proofErr w:type="spellStart"/>
            <w:r w:rsidRPr="005B13B5">
              <w:rPr>
                <w:rFonts w:ascii="Times New Roman" w:hAnsi="Times New Roman" w:cs="Times New Roman"/>
                <w:lang w:val="en-US"/>
              </w:rPr>
              <w:t>μL</w:t>
            </w:r>
            <w:proofErr w:type="spellEnd"/>
          </w:p>
          <w:p w:rsidR="00983506" w:rsidRPr="005B13B5" w:rsidRDefault="00983506" w:rsidP="007C5691">
            <w:pPr>
              <w:jc w:val="both"/>
              <w:rPr>
                <w:rFonts w:ascii="Times New Roman" w:hAnsi="Times New Roman" w:cs="Times New Roman"/>
                <w:lang w:val="en-US"/>
              </w:rPr>
            </w:pPr>
            <w:r>
              <w:rPr>
                <w:rFonts w:ascii="Times New Roman" w:hAnsi="Times New Roman" w:cs="Times New Roman"/>
                <w:lang w:val="en-US"/>
              </w:rPr>
              <w:lastRenderedPageBreak/>
              <w:t>Coagulopathy (INR&gt;</w:t>
            </w:r>
            <w:r w:rsidRPr="005B13B5">
              <w:rPr>
                <w:rFonts w:ascii="Times New Roman" w:hAnsi="Times New Roman" w:cs="Times New Roman"/>
                <w:lang w:val="en-US"/>
              </w:rPr>
              <w:t>1.5)</w:t>
            </w:r>
          </w:p>
        </w:tc>
      </w:tr>
      <w:tr w:rsidR="00983506" w:rsidRPr="005B13B5" w:rsidTr="007C5691">
        <w:trPr>
          <w:trHeight w:val="202"/>
        </w:trPr>
        <w:tc>
          <w:tcPr>
            <w:tcW w:w="1106" w:type="dxa"/>
          </w:tcPr>
          <w:p w:rsidR="00983506" w:rsidRPr="005B13B5" w:rsidRDefault="00983506" w:rsidP="007C5691">
            <w:pPr>
              <w:jc w:val="both"/>
              <w:rPr>
                <w:rFonts w:ascii="Times New Roman" w:hAnsi="Times New Roman" w:cs="Times New Roman"/>
                <w:lang w:val="en-US"/>
              </w:rPr>
            </w:pPr>
            <w:r w:rsidRPr="005B13B5">
              <w:rPr>
                <w:rFonts w:ascii="Times New Roman" w:hAnsi="Times New Roman" w:cs="Times New Roman"/>
                <w:lang w:val="en-US"/>
              </w:rPr>
              <w:lastRenderedPageBreak/>
              <w:t>Septic Shock</w:t>
            </w:r>
          </w:p>
        </w:tc>
        <w:tc>
          <w:tcPr>
            <w:tcW w:w="7320" w:type="dxa"/>
          </w:tcPr>
          <w:p w:rsidR="00983506" w:rsidRPr="005B13B5" w:rsidRDefault="00983506" w:rsidP="007C5691">
            <w:pPr>
              <w:jc w:val="both"/>
              <w:rPr>
                <w:rFonts w:ascii="Times New Roman" w:hAnsi="Times New Roman" w:cs="Times New Roman"/>
                <w:lang w:val="en-US"/>
              </w:rPr>
            </w:pPr>
            <w:r w:rsidRPr="005B13B5">
              <w:rPr>
                <w:rFonts w:ascii="Times New Roman" w:hAnsi="Times New Roman" w:cs="Times New Roman"/>
                <w:lang w:val="en-US"/>
              </w:rPr>
              <w:t>Hypotension secondary to sepsis, elevated lactate or oliguria</w:t>
            </w:r>
            <w:r>
              <w:t>.</w:t>
            </w:r>
            <w:r w:rsidRPr="005B13B5">
              <w:rPr>
                <w:rFonts w:ascii="Times New Roman" w:hAnsi="Times New Roman" w:cs="Times New Roman"/>
                <w:lang w:val="en-US"/>
              </w:rPr>
              <w:t xml:space="preserve"> </w:t>
            </w:r>
          </w:p>
        </w:tc>
      </w:tr>
      <w:tr w:rsidR="00983506" w:rsidRPr="005B13B5" w:rsidTr="007C5691">
        <w:trPr>
          <w:trHeight w:val="636"/>
        </w:trPr>
        <w:tc>
          <w:tcPr>
            <w:tcW w:w="1106" w:type="dxa"/>
          </w:tcPr>
          <w:p w:rsidR="00983506" w:rsidRPr="005B13B5" w:rsidRDefault="00983506" w:rsidP="007C5691">
            <w:pPr>
              <w:jc w:val="both"/>
              <w:rPr>
                <w:rFonts w:ascii="Times New Roman" w:hAnsi="Times New Roman" w:cs="Times New Roman"/>
                <w:lang w:val="en-US"/>
              </w:rPr>
            </w:pPr>
            <w:r w:rsidRPr="005B13B5">
              <w:rPr>
                <w:rFonts w:ascii="Times New Roman" w:hAnsi="Times New Roman" w:cs="Times New Roman"/>
                <w:lang w:val="en-US"/>
              </w:rPr>
              <w:t xml:space="preserve">Bacteremia </w:t>
            </w:r>
          </w:p>
        </w:tc>
        <w:tc>
          <w:tcPr>
            <w:tcW w:w="7320" w:type="dxa"/>
          </w:tcPr>
          <w:p w:rsidR="00983506" w:rsidRPr="005B13B5" w:rsidRDefault="00983506" w:rsidP="007C5691">
            <w:pPr>
              <w:jc w:val="both"/>
              <w:rPr>
                <w:rFonts w:ascii="Times New Roman" w:hAnsi="Times New Roman" w:cs="Times New Roman"/>
                <w:lang w:val="en-US"/>
              </w:rPr>
            </w:pPr>
            <w:r w:rsidRPr="005B13B5">
              <w:rPr>
                <w:rFonts w:ascii="Times New Roman" w:hAnsi="Times New Roman" w:cs="Times New Roman"/>
                <w:lang w:val="en-US"/>
              </w:rPr>
              <w:t>Positive blood culture taken in the first 7 days after the biopsy with or without evidence of sepsis.</w:t>
            </w:r>
          </w:p>
        </w:tc>
      </w:tr>
      <w:tr w:rsidR="00983506" w:rsidRPr="005B13B5" w:rsidTr="007C5691">
        <w:trPr>
          <w:trHeight w:val="202"/>
        </w:trPr>
        <w:tc>
          <w:tcPr>
            <w:tcW w:w="1106" w:type="dxa"/>
          </w:tcPr>
          <w:p w:rsidR="00983506" w:rsidRPr="005B13B5" w:rsidRDefault="00983506" w:rsidP="007C5691">
            <w:pPr>
              <w:jc w:val="both"/>
              <w:rPr>
                <w:rFonts w:ascii="Times New Roman" w:hAnsi="Times New Roman" w:cs="Times New Roman"/>
                <w:lang w:val="en-US"/>
              </w:rPr>
            </w:pPr>
            <w:r w:rsidRPr="005B13B5">
              <w:rPr>
                <w:rFonts w:ascii="Times New Roman" w:hAnsi="Times New Roman" w:cs="Times New Roman"/>
                <w:lang w:val="en-US"/>
              </w:rPr>
              <w:t>UTI</w:t>
            </w:r>
          </w:p>
        </w:tc>
        <w:tc>
          <w:tcPr>
            <w:tcW w:w="7320" w:type="dxa"/>
          </w:tcPr>
          <w:p w:rsidR="00983506" w:rsidRPr="005B13B5" w:rsidRDefault="00983506" w:rsidP="007C5691">
            <w:pPr>
              <w:jc w:val="both"/>
              <w:rPr>
                <w:rFonts w:ascii="Times New Roman" w:hAnsi="Times New Roman" w:cs="Times New Roman"/>
                <w:lang w:val="en-US"/>
              </w:rPr>
            </w:pPr>
            <w:r w:rsidRPr="005B13B5">
              <w:rPr>
                <w:rFonts w:ascii="Times New Roman" w:hAnsi="Times New Roman" w:cs="Times New Roman"/>
                <w:lang w:val="en-US"/>
              </w:rPr>
              <w:t xml:space="preserve">Presence of dysuria, urgency or frequency and urine test suggestive of infection. </w:t>
            </w:r>
          </w:p>
        </w:tc>
      </w:tr>
      <w:tr w:rsidR="00983506" w:rsidRPr="005B13B5" w:rsidTr="007C5691">
        <w:trPr>
          <w:trHeight w:val="418"/>
        </w:trPr>
        <w:tc>
          <w:tcPr>
            <w:tcW w:w="1106" w:type="dxa"/>
          </w:tcPr>
          <w:p w:rsidR="00983506" w:rsidRPr="005B13B5" w:rsidRDefault="00983506" w:rsidP="007C5691">
            <w:pPr>
              <w:jc w:val="both"/>
              <w:rPr>
                <w:rFonts w:ascii="Times New Roman" w:hAnsi="Times New Roman" w:cs="Times New Roman"/>
                <w:lang w:val="en-US"/>
              </w:rPr>
            </w:pPr>
            <w:r w:rsidRPr="005B13B5">
              <w:rPr>
                <w:rFonts w:ascii="Times New Roman" w:hAnsi="Times New Roman" w:cs="Times New Roman"/>
                <w:lang w:val="en-US"/>
              </w:rPr>
              <w:t xml:space="preserve">Prostatitis </w:t>
            </w:r>
          </w:p>
        </w:tc>
        <w:tc>
          <w:tcPr>
            <w:tcW w:w="7320" w:type="dxa"/>
          </w:tcPr>
          <w:p w:rsidR="00983506" w:rsidRPr="005B13B5" w:rsidRDefault="00983506" w:rsidP="007C5691">
            <w:pPr>
              <w:jc w:val="both"/>
              <w:rPr>
                <w:rFonts w:ascii="Times New Roman" w:hAnsi="Times New Roman" w:cs="Times New Roman"/>
                <w:lang w:val="en-US"/>
              </w:rPr>
            </w:pPr>
            <w:r w:rsidRPr="005B13B5">
              <w:rPr>
                <w:rFonts w:ascii="Times New Roman" w:hAnsi="Times New Roman" w:cs="Times New Roman"/>
                <w:lang w:val="en-US"/>
              </w:rPr>
              <w:t xml:space="preserve">Painful prostate and warm to the touch, sensitivity in </w:t>
            </w:r>
            <w:proofErr w:type="spellStart"/>
            <w:r w:rsidRPr="005B13B5">
              <w:rPr>
                <w:rFonts w:ascii="Times New Roman" w:hAnsi="Times New Roman" w:cs="Times New Roman"/>
                <w:lang w:val="en-US"/>
              </w:rPr>
              <w:t>perineal</w:t>
            </w:r>
            <w:proofErr w:type="spellEnd"/>
            <w:r w:rsidRPr="005B13B5">
              <w:rPr>
                <w:rFonts w:ascii="Times New Roman" w:hAnsi="Times New Roman" w:cs="Times New Roman"/>
                <w:lang w:val="en-US"/>
              </w:rPr>
              <w:t xml:space="preserve"> area accompanied by frequency, dysuria, weak stream.</w:t>
            </w:r>
            <w:r>
              <w:t xml:space="preserve"> </w:t>
            </w:r>
            <w:r w:rsidRPr="005B13B5">
              <w:rPr>
                <w:rFonts w:ascii="Times New Roman" w:hAnsi="Times New Roman" w:cs="Times New Roman"/>
                <w:lang w:val="en-US"/>
              </w:rPr>
              <w:t xml:space="preserve"> </w:t>
            </w:r>
          </w:p>
        </w:tc>
      </w:tr>
      <w:tr w:rsidR="00983506" w:rsidRPr="005B13B5" w:rsidTr="007C5691">
        <w:trPr>
          <w:trHeight w:val="273"/>
        </w:trPr>
        <w:tc>
          <w:tcPr>
            <w:tcW w:w="1106" w:type="dxa"/>
          </w:tcPr>
          <w:p w:rsidR="00983506" w:rsidRPr="005B13B5" w:rsidRDefault="00983506" w:rsidP="007C5691">
            <w:pPr>
              <w:jc w:val="both"/>
              <w:rPr>
                <w:rFonts w:ascii="Times New Roman" w:hAnsi="Times New Roman" w:cs="Times New Roman"/>
                <w:lang w:val="en-US"/>
              </w:rPr>
            </w:pPr>
            <w:r w:rsidRPr="005B13B5">
              <w:rPr>
                <w:rFonts w:ascii="Times New Roman" w:hAnsi="Times New Roman" w:cs="Times New Roman"/>
                <w:lang w:val="en-US"/>
              </w:rPr>
              <w:t>Epididymitis</w:t>
            </w:r>
          </w:p>
        </w:tc>
        <w:tc>
          <w:tcPr>
            <w:tcW w:w="7320" w:type="dxa"/>
          </w:tcPr>
          <w:p w:rsidR="00983506" w:rsidRPr="005B13B5" w:rsidRDefault="00983506" w:rsidP="007C5691">
            <w:pPr>
              <w:jc w:val="both"/>
              <w:rPr>
                <w:rFonts w:ascii="Times New Roman" w:hAnsi="Times New Roman" w:cs="Times New Roman"/>
                <w:lang w:val="en-US"/>
              </w:rPr>
            </w:pPr>
            <w:r w:rsidRPr="005B13B5">
              <w:rPr>
                <w:rFonts w:ascii="Times New Roman" w:hAnsi="Times New Roman" w:cs="Times New Roman"/>
                <w:lang w:val="en-US"/>
              </w:rPr>
              <w:t>Usually unilateral testicular pain and edema, of acute onset. Sensitive and edematous spermatic cord.</w:t>
            </w:r>
          </w:p>
        </w:tc>
      </w:tr>
    </w:tbl>
    <w:p w:rsidR="00983506" w:rsidRPr="005B13B5" w:rsidRDefault="00983506" w:rsidP="00983506">
      <w:pPr>
        <w:jc w:val="both"/>
        <w:rPr>
          <w:rFonts w:ascii="Times New Roman" w:hAnsi="Times New Roman" w:cs="Times New Roman"/>
        </w:rPr>
      </w:pPr>
    </w:p>
    <w:p w:rsidR="00983506" w:rsidRPr="0013621D" w:rsidRDefault="00983506" w:rsidP="00983506">
      <w:pPr>
        <w:jc w:val="both"/>
        <w:rPr>
          <w:rFonts w:ascii="Times New Roman" w:hAnsi="Times New Roman" w:cs="Times New Roman"/>
          <w:i/>
        </w:rPr>
      </w:pPr>
    </w:p>
    <w:p w:rsidR="002924EE" w:rsidRDefault="002924EE">
      <w:bookmarkStart w:id="1" w:name="_GoBack"/>
      <w:bookmarkEnd w:id="1"/>
    </w:p>
    <w:sectPr w:rsidR="002924EE" w:rsidSect="00EC1F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506"/>
    <w:rsid w:val="002924EE"/>
    <w:rsid w:val="00983506"/>
    <w:rsid w:val="00EC1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955B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506"/>
    <w:rPr>
      <w:rFonts w:eastAsiaTheme="minorHAnsi"/>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506"/>
    <w:rPr>
      <w:rFonts w:eastAsiaTheme="minorHAnsi"/>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2227</Words>
  <Characters>12699</Characters>
  <Application>Microsoft Macintosh Word</Application>
  <DocSecurity>0</DocSecurity>
  <Lines>105</Lines>
  <Paragraphs>29</Paragraphs>
  <ScaleCrop>false</ScaleCrop>
  <Company/>
  <LinksUpToDate>false</LinksUpToDate>
  <CharactersWithSpaces>14897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Robledo</dc:creator>
  <cp:keywords/>
  <dc:description/>
  <cp:lastModifiedBy>Daniel Robledo</cp:lastModifiedBy>
  <cp:revision>1</cp:revision>
  <dcterms:created xsi:type="dcterms:W3CDTF">2016-05-11T18:28:00Z</dcterms:created>
  <dcterms:modified xsi:type="dcterms:W3CDTF">2016-05-11T18:37:00Z</dcterms:modified>
</cp:coreProperties>
</file>