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C2" w:rsidRDefault="00185541" w:rsidP="00F46C9C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Electronic Supplementary M</w:t>
      </w:r>
      <w:r w:rsidR="00556ADA">
        <w:rPr>
          <w:b/>
          <w:lang w:val="en-GB"/>
        </w:rPr>
        <w:t>aterial</w:t>
      </w:r>
      <w:bookmarkStart w:id="0" w:name="_GoBack"/>
      <w:bookmarkEnd w:id="0"/>
    </w:p>
    <w:p w:rsidR="00552BC2" w:rsidRDefault="00552BC2" w:rsidP="00F46C9C">
      <w:pPr>
        <w:spacing w:line="480" w:lineRule="auto"/>
        <w:jc w:val="both"/>
        <w:rPr>
          <w:b/>
          <w:lang w:val="en-GB"/>
        </w:rPr>
      </w:pPr>
    </w:p>
    <w:p w:rsidR="00552BC2" w:rsidRPr="00F701AB" w:rsidRDefault="00A47510" w:rsidP="00F46C9C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Hypoxic areas</w:t>
      </w:r>
      <w:r w:rsidR="00A07BE0">
        <w:rPr>
          <w:b/>
          <w:lang w:val="en-GB"/>
        </w:rPr>
        <w:t>,</w:t>
      </w:r>
      <w:r w:rsidR="00552BC2" w:rsidRPr="00317826">
        <w:rPr>
          <w:b/>
          <w:lang w:val="en-GB"/>
        </w:rPr>
        <w:t xml:space="preserve"> </w:t>
      </w:r>
      <w:r w:rsidR="00D1021D" w:rsidRPr="00317826">
        <w:rPr>
          <w:b/>
          <w:lang w:val="en-GB"/>
        </w:rPr>
        <w:t xml:space="preserve">density-dependence and </w:t>
      </w:r>
      <w:r w:rsidR="00552BC2" w:rsidRPr="00317826">
        <w:rPr>
          <w:b/>
          <w:lang w:val="en-GB"/>
        </w:rPr>
        <w:t>food limitation drive the body condition of a heavily exploited marine fish predator</w:t>
      </w:r>
    </w:p>
    <w:p w:rsidR="005833AC" w:rsidRDefault="00552BC2" w:rsidP="00F46C9C">
      <w:pPr>
        <w:spacing w:line="480" w:lineRule="auto"/>
        <w:rPr>
          <w:lang w:val="fr-FR"/>
        </w:rPr>
      </w:pPr>
      <w:r w:rsidRPr="007873C6">
        <w:rPr>
          <w:lang w:val="fr-FR"/>
        </w:rPr>
        <w:t xml:space="preserve">Michele Casini*, </w:t>
      </w:r>
      <w:r w:rsidR="00B649B8">
        <w:rPr>
          <w:lang w:val="fr-FR"/>
        </w:rPr>
        <w:t>Filip Käll,</w:t>
      </w:r>
      <w:r w:rsidR="00B649B8" w:rsidRPr="004A2E5F">
        <w:rPr>
          <w:lang w:val="fr-FR"/>
        </w:rPr>
        <w:t xml:space="preserve"> </w:t>
      </w:r>
      <w:r w:rsidR="00B649B8">
        <w:rPr>
          <w:lang w:val="fr-FR"/>
        </w:rPr>
        <w:t xml:space="preserve">Martin Hansson, Maris Plikshs, Tatjana </w:t>
      </w:r>
      <w:proofErr w:type="spellStart"/>
      <w:r w:rsidR="00B649B8">
        <w:rPr>
          <w:lang w:val="fr-FR"/>
        </w:rPr>
        <w:t>Baranova</w:t>
      </w:r>
      <w:proofErr w:type="spellEnd"/>
      <w:r w:rsidR="00B649B8">
        <w:rPr>
          <w:lang w:val="fr-FR"/>
        </w:rPr>
        <w:t>, Olle Karlsson, Karl Lundström, Stefan Neuenfeldt, Anna Gårdmark, Joakim Hjelm</w:t>
      </w:r>
    </w:p>
    <w:p w:rsidR="003F535A" w:rsidRDefault="003F535A" w:rsidP="00F46C9C">
      <w:pPr>
        <w:spacing w:line="480" w:lineRule="auto"/>
        <w:rPr>
          <w:lang w:val="fr-FR"/>
        </w:rPr>
      </w:pPr>
    </w:p>
    <w:p w:rsidR="003F535A" w:rsidRPr="00F701AB" w:rsidRDefault="003F535A" w:rsidP="003F535A">
      <w:pPr>
        <w:rPr>
          <w:lang w:val="en-US"/>
        </w:rPr>
      </w:pPr>
      <w:r w:rsidRPr="00F701AB">
        <w:rPr>
          <w:lang w:val="en-US"/>
        </w:rPr>
        <w:t xml:space="preserve">Figure S1. </w:t>
      </w:r>
      <w:r>
        <w:rPr>
          <w:lang w:val="en-US"/>
        </w:rPr>
        <w:t xml:space="preserve">(a) Comparison between </w:t>
      </w:r>
      <w:r w:rsidRPr="00552BC2">
        <w:rPr>
          <w:lang w:val="en-US"/>
        </w:rPr>
        <w:t xml:space="preserve">abundance </w:t>
      </w:r>
      <w:r>
        <w:rPr>
          <w:lang w:val="en-US"/>
        </w:rPr>
        <w:t xml:space="preserve">estimation from stock assessment (fish ≥ age 3) and CPUE from BITS survey (fish ≥ 30 cm). (b) </w:t>
      </w:r>
      <w:r w:rsidRPr="00552BC2">
        <w:rPr>
          <w:lang w:val="en-US"/>
        </w:rPr>
        <w:t xml:space="preserve">Relation between </w:t>
      </w:r>
      <w:r>
        <w:rPr>
          <w:lang w:val="en-US"/>
        </w:rPr>
        <w:t>the</w:t>
      </w:r>
      <w:r w:rsidRPr="00552BC2">
        <w:rPr>
          <w:lang w:val="en-US"/>
        </w:rPr>
        <w:t xml:space="preserve"> abundance </w:t>
      </w:r>
      <w:r>
        <w:rPr>
          <w:lang w:val="en-US"/>
        </w:rPr>
        <w:t xml:space="preserve">estimation from stock assessment (fish ≥ age 3) and </w:t>
      </w:r>
      <w:r w:rsidRPr="00552BC2">
        <w:rPr>
          <w:lang w:val="en-US"/>
        </w:rPr>
        <w:t xml:space="preserve">CPUE from BITS survey </w:t>
      </w:r>
      <w:r>
        <w:rPr>
          <w:lang w:val="en-US"/>
        </w:rPr>
        <w:t xml:space="preserve">(fish ≥ 30 cm) </w:t>
      </w:r>
      <w:proofErr w:type="gramStart"/>
      <w:r>
        <w:rPr>
          <w:lang w:val="en-US"/>
        </w:rPr>
        <w:t>between 1991-2010</w:t>
      </w:r>
      <w:proofErr w:type="gramEnd"/>
      <w:r>
        <w:rPr>
          <w:lang w:val="en-US"/>
        </w:rPr>
        <w:t>. The relation was used to prolong the CPUE time-series back in time.</w:t>
      </w:r>
    </w:p>
    <w:p w:rsidR="00AC6E08" w:rsidRDefault="00AC6E08" w:rsidP="00F46C9C">
      <w:pPr>
        <w:spacing w:line="480" w:lineRule="auto"/>
        <w:rPr>
          <w:vertAlign w:val="superscript"/>
          <w:lang w:val="en-US"/>
        </w:rPr>
      </w:pPr>
    </w:p>
    <w:p w:rsidR="003F535A" w:rsidRDefault="003F535A" w:rsidP="00F46C9C">
      <w:pPr>
        <w:spacing w:line="480" w:lineRule="auto"/>
        <w:rPr>
          <w:vertAlign w:val="superscript"/>
          <w:lang w:val="en-US"/>
        </w:rPr>
      </w:pPr>
      <w:r w:rsidRPr="003F535A">
        <w:rPr>
          <w:noProof/>
          <w:lang w:val="en-US" w:eastAsia="en-US"/>
        </w:rPr>
        <w:drawing>
          <wp:inline distT="0" distB="0" distL="0" distR="0" wp14:anchorId="09D31CC2" wp14:editId="0302EEF6">
            <wp:extent cx="5943600" cy="1857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35A" w:rsidRDefault="003F535A" w:rsidP="00F46C9C">
      <w:pPr>
        <w:spacing w:line="480" w:lineRule="auto"/>
        <w:rPr>
          <w:vertAlign w:val="superscript"/>
          <w:lang w:val="en-US"/>
        </w:rPr>
      </w:pPr>
    </w:p>
    <w:p w:rsidR="003F535A" w:rsidRDefault="003F535A" w:rsidP="00F46C9C">
      <w:pPr>
        <w:spacing w:line="480" w:lineRule="auto"/>
        <w:rPr>
          <w:vertAlign w:val="superscript"/>
          <w:lang w:val="en-US"/>
        </w:rPr>
      </w:pPr>
    </w:p>
    <w:p w:rsidR="003F535A" w:rsidRDefault="003F535A" w:rsidP="00F46C9C">
      <w:pPr>
        <w:spacing w:line="480" w:lineRule="auto"/>
        <w:rPr>
          <w:vertAlign w:val="superscript"/>
          <w:lang w:val="en-US"/>
        </w:rPr>
      </w:pPr>
    </w:p>
    <w:p w:rsidR="003F535A" w:rsidRPr="003F535A" w:rsidRDefault="003F535A" w:rsidP="00F46C9C">
      <w:pPr>
        <w:spacing w:line="480" w:lineRule="auto"/>
        <w:rPr>
          <w:vertAlign w:val="superscript"/>
          <w:lang w:val="en-US"/>
        </w:rPr>
      </w:pPr>
    </w:p>
    <w:p w:rsidR="007257E5" w:rsidRDefault="007257E5" w:rsidP="00AC6E08">
      <w:pPr>
        <w:rPr>
          <w:lang w:val="en-US"/>
        </w:rPr>
      </w:pPr>
    </w:p>
    <w:p w:rsidR="007257E5" w:rsidRDefault="007257E5" w:rsidP="00AC6E08">
      <w:pPr>
        <w:rPr>
          <w:lang w:val="en-US"/>
        </w:rPr>
      </w:pPr>
    </w:p>
    <w:p w:rsidR="007257E5" w:rsidRDefault="007257E5" w:rsidP="00AC6E08">
      <w:pPr>
        <w:rPr>
          <w:lang w:val="en-US"/>
        </w:rPr>
      </w:pPr>
    </w:p>
    <w:p w:rsidR="007257E5" w:rsidRDefault="007257E5" w:rsidP="00AC6E08">
      <w:pPr>
        <w:rPr>
          <w:lang w:val="en-US"/>
        </w:rPr>
      </w:pPr>
    </w:p>
    <w:p w:rsidR="007257E5" w:rsidRDefault="007257E5" w:rsidP="00AC6E08">
      <w:pPr>
        <w:rPr>
          <w:lang w:val="en-US"/>
        </w:rPr>
      </w:pPr>
    </w:p>
    <w:p w:rsidR="00AC6E08" w:rsidRPr="00F701AB" w:rsidRDefault="007257E5" w:rsidP="00AC6E08">
      <w:pPr>
        <w:rPr>
          <w:lang w:val="en-US"/>
        </w:rPr>
      </w:pPr>
      <w:r>
        <w:rPr>
          <w:lang w:val="en-US"/>
        </w:rPr>
        <w:lastRenderedPageBreak/>
        <w:t>Figure S2</w:t>
      </w:r>
      <w:r w:rsidR="00AC6E08" w:rsidRPr="00F701AB">
        <w:rPr>
          <w:lang w:val="en-US"/>
        </w:rPr>
        <w:t xml:space="preserve">. Temporal developments of cod </w:t>
      </w:r>
      <w:r w:rsidR="00AC6E08">
        <w:rPr>
          <w:lang w:val="en-US"/>
        </w:rPr>
        <w:t xml:space="preserve">mean </w:t>
      </w:r>
      <w:r w:rsidR="00AC6E08" w:rsidRPr="00F701AB">
        <w:rPr>
          <w:lang w:val="en-US"/>
        </w:rPr>
        <w:t xml:space="preserve">condition in the different Subdivisions </w:t>
      </w:r>
      <w:r w:rsidR="004F0593">
        <w:rPr>
          <w:lang w:val="en-US"/>
        </w:rPr>
        <w:t>(SDs) of the C</w:t>
      </w:r>
      <w:r w:rsidR="00AC6E08" w:rsidRPr="00F701AB">
        <w:rPr>
          <w:lang w:val="en-US"/>
        </w:rPr>
        <w:t xml:space="preserve">entral Baltic Sea for </w:t>
      </w:r>
      <w:r w:rsidR="00AC6E08">
        <w:rPr>
          <w:lang w:val="en-US"/>
        </w:rPr>
        <w:t>different size-classes</w:t>
      </w:r>
      <w:r w:rsidR="00AC6E08" w:rsidRPr="00F701AB">
        <w:rPr>
          <w:lang w:val="en-US"/>
        </w:rPr>
        <w:t xml:space="preserve">. </w:t>
      </w:r>
      <w:r w:rsidR="00AC6E08">
        <w:rPr>
          <w:lang w:val="en-US"/>
        </w:rPr>
        <w:t>SD 28 is not shown for the size-class 10-19 cm due to the low sample size.</w:t>
      </w:r>
    </w:p>
    <w:p w:rsidR="00552BC2" w:rsidRPr="006306AE" w:rsidRDefault="00552BC2" w:rsidP="00552BC2">
      <w:pPr>
        <w:rPr>
          <w:lang w:val="en-US"/>
        </w:rPr>
      </w:pPr>
    </w:p>
    <w:p w:rsidR="00552BC2" w:rsidRPr="00556ADA" w:rsidRDefault="00F701AB" w:rsidP="00552BC2">
      <w:r w:rsidRPr="00F701AB">
        <w:rPr>
          <w:noProof/>
          <w:lang w:val="en-US" w:eastAsia="en-US"/>
        </w:rPr>
        <w:drawing>
          <wp:inline distT="0" distB="0" distL="0" distR="0" wp14:anchorId="6F9EE520" wp14:editId="3DC8EE5E">
            <wp:extent cx="4655989" cy="467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653" cy="468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C2" w:rsidRPr="00556ADA" w:rsidRDefault="00552BC2" w:rsidP="00552BC2"/>
    <w:p w:rsidR="003D4C54" w:rsidRDefault="003D4C54" w:rsidP="00F4556B">
      <w:pPr>
        <w:rPr>
          <w:sz w:val="23"/>
          <w:szCs w:val="23"/>
          <w:lang w:val="en-US"/>
        </w:rPr>
      </w:pPr>
    </w:p>
    <w:p w:rsidR="003D4C54" w:rsidRDefault="003D4C54" w:rsidP="00F4556B">
      <w:pPr>
        <w:rPr>
          <w:sz w:val="23"/>
          <w:szCs w:val="23"/>
          <w:lang w:val="en-US"/>
        </w:rPr>
      </w:pPr>
    </w:p>
    <w:p w:rsidR="003D4C54" w:rsidRDefault="003D4C54" w:rsidP="00F4556B">
      <w:pPr>
        <w:rPr>
          <w:sz w:val="23"/>
          <w:szCs w:val="23"/>
          <w:lang w:val="en-US"/>
        </w:rPr>
      </w:pPr>
    </w:p>
    <w:p w:rsidR="003D4C54" w:rsidRDefault="003D4C54" w:rsidP="00F4556B">
      <w:pPr>
        <w:rPr>
          <w:sz w:val="23"/>
          <w:szCs w:val="23"/>
          <w:lang w:val="en-US"/>
        </w:rPr>
      </w:pPr>
    </w:p>
    <w:p w:rsidR="003D4C54" w:rsidRDefault="003D4C54" w:rsidP="00F4556B">
      <w:pPr>
        <w:rPr>
          <w:sz w:val="23"/>
          <w:szCs w:val="23"/>
          <w:lang w:val="en-US"/>
        </w:rPr>
      </w:pPr>
    </w:p>
    <w:p w:rsidR="003D4C54" w:rsidRDefault="003D4C54" w:rsidP="00F4556B">
      <w:pPr>
        <w:rPr>
          <w:sz w:val="23"/>
          <w:szCs w:val="23"/>
          <w:lang w:val="en-US"/>
        </w:rPr>
      </w:pPr>
    </w:p>
    <w:p w:rsidR="003D4C54" w:rsidRDefault="003D4C54" w:rsidP="00F4556B">
      <w:pPr>
        <w:rPr>
          <w:sz w:val="23"/>
          <w:szCs w:val="23"/>
          <w:lang w:val="en-US"/>
        </w:rPr>
      </w:pPr>
    </w:p>
    <w:p w:rsidR="003D4C54" w:rsidRDefault="003D4C54" w:rsidP="00F4556B">
      <w:pPr>
        <w:rPr>
          <w:sz w:val="23"/>
          <w:szCs w:val="23"/>
          <w:lang w:val="en-US"/>
        </w:rPr>
      </w:pPr>
    </w:p>
    <w:p w:rsidR="003D4C54" w:rsidRDefault="003D4C54" w:rsidP="00F4556B">
      <w:pPr>
        <w:rPr>
          <w:sz w:val="23"/>
          <w:szCs w:val="23"/>
          <w:lang w:val="en-US"/>
        </w:rPr>
      </w:pPr>
    </w:p>
    <w:p w:rsidR="003D4C54" w:rsidRDefault="003D4C54" w:rsidP="00F4556B">
      <w:pPr>
        <w:rPr>
          <w:sz w:val="23"/>
          <w:szCs w:val="23"/>
          <w:lang w:val="en-US"/>
        </w:rPr>
      </w:pPr>
    </w:p>
    <w:p w:rsidR="003D4C54" w:rsidRDefault="003D4C54" w:rsidP="00F4556B">
      <w:pPr>
        <w:rPr>
          <w:sz w:val="23"/>
          <w:szCs w:val="23"/>
          <w:lang w:val="en-US"/>
        </w:rPr>
      </w:pPr>
    </w:p>
    <w:p w:rsidR="003D4C54" w:rsidRDefault="003D4C54" w:rsidP="00F4556B">
      <w:pPr>
        <w:rPr>
          <w:sz w:val="23"/>
          <w:szCs w:val="23"/>
          <w:lang w:val="en-US"/>
        </w:rPr>
      </w:pPr>
    </w:p>
    <w:p w:rsidR="003D4C54" w:rsidRDefault="003D4C54" w:rsidP="00F4556B">
      <w:pPr>
        <w:rPr>
          <w:sz w:val="23"/>
          <w:szCs w:val="23"/>
          <w:lang w:val="en-US"/>
        </w:rPr>
      </w:pPr>
    </w:p>
    <w:p w:rsidR="003D4C54" w:rsidRDefault="003D4C54" w:rsidP="00F4556B">
      <w:pPr>
        <w:rPr>
          <w:sz w:val="23"/>
          <w:szCs w:val="23"/>
          <w:lang w:val="en-US"/>
        </w:rPr>
      </w:pPr>
    </w:p>
    <w:p w:rsidR="00AC6E08" w:rsidRDefault="00E86F8A" w:rsidP="00F4556B">
      <w:pPr>
        <w:rPr>
          <w:lang w:val="en-US"/>
        </w:rPr>
      </w:pPr>
      <w:r>
        <w:rPr>
          <w:sz w:val="23"/>
          <w:szCs w:val="23"/>
          <w:lang w:val="en-US"/>
        </w:rPr>
        <w:lastRenderedPageBreak/>
        <w:t>Figure S3</w:t>
      </w:r>
      <w:r w:rsidR="0030726C" w:rsidRPr="00887B58">
        <w:rPr>
          <w:sz w:val="23"/>
          <w:szCs w:val="23"/>
          <w:lang w:val="en-US"/>
        </w:rPr>
        <w:t xml:space="preserve">. </w:t>
      </w:r>
      <w:proofErr w:type="gramStart"/>
      <w:r w:rsidR="0030726C" w:rsidRPr="00887B58">
        <w:rPr>
          <w:sz w:val="23"/>
          <w:szCs w:val="23"/>
          <w:lang w:val="en-US"/>
        </w:rPr>
        <w:t xml:space="preserve">Analysis of the </w:t>
      </w:r>
      <w:r w:rsidR="0030726C" w:rsidRPr="0076494E">
        <w:rPr>
          <w:sz w:val="23"/>
          <w:szCs w:val="23"/>
          <w:lang w:val="en-US"/>
        </w:rPr>
        <w:t xml:space="preserve">residuals of </w:t>
      </w:r>
      <w:r w:rsidR="0030726C" w:rsidRPr="0076494E">
        <w:rPr>
          <w:bCs/>
          <w:sz w:val="23"/>
          <w:szCs w:val="23"/>
          <w:lang w:val="en-US"/>
        </w:rPr>
        <w:t xml:space="preserve">the </w:t>
      </w:r>
      <w:r w:rsidR="0030726C" w:rsidRPr="0076494E">
        <w:rPr>
          <w:sz w:val="23"/>
          <w:szCs w:val="23"/>
          <w:lang w:val="en-US"/>
        </w:rPr>
        <w:t>GAMs</w:t>
      </w:r>
      <w:r w:rsidR="0030726C" w:rsidRPr="00887B58">
        <w:rPr>
          <w:sz w:val="23"/>
          <w:szCs w:val="23"/>
          <w:lang w:val="en-US"/>
        </w:rPr>
        <w:t xml:space="preserve"> (final models)</w:t>
      </w:r>
      <w:r w:rsidR="0030726C">
        <w:rPr>
          <w:sz w:val="23"/>
          <w:szCs w:val="23"/>
          <w:lang w:val="en-US"/>
        </w:rPr>
        <w:t xml:space="preserve"> </w:t>
      </w:r>
      <w:r w:rsidR="0030726C" w:rsidRPr="0064735A">
        <w:rPr>
          <w:lang w:val="en-US"/>
        </w:rPr>
        <w:t xml:space="preserve">for the </w:t>
      </w:r>
      <w:r w:rsidR="00AC6E08">
        <w:rPr>
          <w:lang w:val="en-US"/>
        </w:rPr>
        <w:t>period 1976-1993</w:t>
      </w:r>
      <w:r w:rsidR="0030726C" w:rsidRPr="00951AC5">
        <w:rPr>
          <w:lang w:val="en-US"/>
        </w:rPr>
        <w:t>.</w:t>
      </w:r>
      <w:proofErr w:type="gramEnd"/>
      <w:r w:rsidR="0030726C" w:rsidRPr="00951AC5">
        <w:rPr>
          <w:lang w:val="en-US"/>
        </w:rPr>
        <w:t xml:space="preserve"> </w:t>
      </w:r>
      <w:r w:rsidR="0030726C" w:rsidRPr="00F4556B">
        <w:rPr>
          <w:i/>
          <w:iCs/>
          <w:lang w:val="en-US"/>
        </w:rPr>
        <w:t>ACF</w:t>
      </w:r>
      <w:r w:rsidR="0030726C" w:rsidRPr="00F4556B">
        <w:rPr>
          <w:lang w:val="en-US"/>
        </w:rPr>
        <w:t>: autocorrelation function.</w:t>
      </w:r>
    </w:p>
    <w:p w:rsidR="00AC6E08" w:rsidRDefault="00AC6E08" w:rsidP="00F4556B">
      <w:pPr>
        <w:rPr>
          <w:lang w:val="en-US"/>
        </w:rPr>
      </w:pPr>
    </w:p>
    <w:p w:rsidR="00F4556B" w:rsidRPr="0030726C" w:rsidRDefault="0030726C" w:rsidP="00F4556B">
      <w:pPr>
        <w:rPr>
          <w:sz w:val="23"/>
          <w:szCs w:val="23"/>
          <w:lang w:val="en-US"/>
        </w:rPr>
      </w:pPr>
      <w:r w:rsidRPr="0030726C">
        <w:rPr>
          <w:noProof/>
          <w:lang w:val="en-US" w:eastAsia="en-US"/>
        </w:rPr>
        <w:drawing>
          <wp:inline distT="0" distB="0" distL="0" distR="0" wp14:anchorId="4957AD02" wp14:editId="43950ABB">
            <wp:extent cx="6771902" cy="491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578" cy="491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AC6E08" w:rsidRDefault="00AC6E08" w:rsidP="000A5C6B">
      <w:pPr>
        <w:jc w:val="both"/>
        <w:rPr>
          <w:lang w:val="en-US"/>
        </w:rPr>
      </w:pPr>
    </w:p>
    <w:p w:rsidR="00AC6E08" w:rsidRDefault="00AC6E08" w:rsidP="000A5C6B">
      <w:pPr>
        <w:jc w:val="both"/>
        <w:rPr>
          <w:lang w:val="en-US"/>
        </w:rPr>
      </w:pPr>
    </w:p>
    <w:p w:rsidR="00AC6E08" w:rsidRDefault="00AC6E08" w:rsidP="000A5C6B">
      <w:pPr>
        <w:jc w:val="both"/>
        <w:rPr>
          <w:lang w:val="en-US"/>
        </w:rPr>
      </w:pPr>
    </w:p>
    <w:p w:rsidR="00AC6E08" w:rsidRDefault="00AC6E08" w:rsidP="000A5C6B">
      <w:pPr>
        <w:jc w:val="both"/>
        <w:rPr>
          <w:lang w:val="en-US"/>
        </w:rPr>
      </w:pPr>
    </w:p>
    <w:p w:rsidR="00AC6E08" w:rsidRDefault="00AC6E08" w:rsidP="000A5C6B">
      <w:pPr>
        <w:jc w:val="both"/>
        <w:rPr>
          <w:lang w:val="en-US"/>
        </w:rPr>
      </w:pPr>
    </w:p>
    <w:p w:rsidR="00AC6E08" w:rsidRDefault="00AC6E08" w:rsidP="000A5C6B">
      <w:pPr>
        <w:jc w:val="both"/>
        <w:rPr>
          <w:lang w:val="en-US"/>
        </w:rPr>
      </w:pPr>
    </w:p>
    <w:p w:rsidR="00AC6E08" w:rsidRDefault="00AC6E08" w:rsidP="000A5C6B">
      <w:pPr>
        <w:jc w:val="both"/>
        <w:rPr>
          <w:lang w:val="en-US"/>
        </w:rPr>
      </w:pPr>
    </w:p>
    <w:p w:rsidR="00AC6E08" w:rsidRDefault="00AC6E08" w:rsidP="000A5C6B">
      <w:pPr>
        <w:jc w:val="both"/>
        <w:rPr>
          <w:lang w:val="en-US"/>
        </w:rPr>
      </w:pPr>
    </w:p>
    <w:p w:rsidR="00AC6E08" w:rsidRDefault="00AC6E08" w:rsidP="000A5C6B">
      <w:pPr>
        <w:jc w:val="both"/>
        <w:rPr>
          <w:lang w:val="en-US"/>
        </w:rPr>
      </w:pPr>
    </w:p>
    <w:p w:rsidR="00AC6E08" w:rsidRDefault="00AC6E08" w:rsidP="000A5C6B">
      <w:pPr>
        <w:jc w:val="both"/>
        <w:rPr>
          <w:lang w:val="en-US"/>
        </w:rPr>
      </w:pPr>
    </w:p>
    <w:p w:rsidR="00AC6E08" w:rsidRDefault="00AC6E08" w:rsidP="000A5C6B">
      <w:pPr>
        <w:jc w:val="both"/>
        <w:rPr>
          <w:lang w:val="en-US"/>
        </w:rPr>
      </w:pPr>
    </w:p>
    <w:p w:rsidR="00F4556B" w:rsidRPr="00951AC5" w:rsidRDefault="00E86F8A" w:rsidP="00F4556B">
      <w:pPr>
        <w:rPr>
          <w:lang w:val="en-US"/>
        </w:rPr>
      </w:pPr>
      <w:r>
        <w:rPr>
          <w:lang w:val="en-US"/>
        </w:rPr>
        <w:lastRenderedPageBreak/>
        <w:t>Figure S4</w:t>
      </w:r>
      <w:r w:rsidR="00F4556B" w:rsidRPr="00951AC5">
        <w:rPr>
          <w:lang w:val="en-US"/>
        </w:rPr>
        <w:t xml:space="preserve">. </w:t>
      </w:r>
      <w:proofErr w:type="gramStart"/>
      <w:r w:rsidR="00AC6E08" w:rsidRPr="00887B58">
        <w:rPr>
          <w:sz w:val="23"/>
          <w:szCs w:val="23"/>
          <w:lang w:val="en-US"/>
        </w:rPr>
        <w:t xml:space="preserve">Analysis of the </w:t>
      </w:r>
      <w:r w:rsidR="00AC6E08" w:rsidRPr="0076494E">
        <w:rPr>
          <w:sz w:val="23"/>
          <w:szCs w:val="23"/>
          <w:lang w:val="en-US"/>
        </w:rPr>
        <w:t xml:space="preserve">residuals of </w:t>
      </w:r>
      <w:r w:rsidR="00AC6E08" w:rsidRPr="0076494E">
        <w:rPr>
          <w:bCs/>
          <w:sz w:val="23"/>
          <w:szCs w:val="23"/>
          <w:lang w:val="en-US"/>
        </w:rPr>
        <w:t xml:space="preserve">the </w:t>
      </w:r>
      <w:r w:rsidR="00AC6E08" w:rsidRPr="0076494E">
        <w:rPr>
          <w:sz w:val="23"/>
          <w:szCs w:val="23"/>
          <w:lang w:val="en-US"/>
        </w:rPr>
        <w:t>GAMs</w:t>
      </w:r>
      <w:r w:rsidR="00AC6E08" w:rsidRPr="00887B58">
        <w:rPr>
          <w:sz w:val="23"/>
          <w:szCs w:val="23"/>
          <w:lang w:val="en-US"/>
        </w:rPr>
        <w:t xml:space="preserve"> (final models)</w:t>
      </w:r>
      <w:r w:rsidR="00AC6E08">
        <w:rPr>
          <w:sz w:val="23"/>
          <w:szCs w:val="23"/>
          <w:lang w:val="en-US"/>
        </w:rPr>
        <w:t xml:space="preserve"> </w:t>
      </w:r>
      <w:r w:rsidR="00AC6E08" w:rsidRPr="0064735A">
        <w:rPr>
          <w:lang w:val="en-US"/>
        </w:rPr>
        <w:t xml:space="preserve">for the </w:t>
      </w:r>
      <w:r w:rsidR="00AC6E08">
        <w:rPr>
          <w:lang w:val="en-US"/>
        </w:rPr>
        <w:t>period 1994-2014</w:t>
      </w:r>
      <w:r w:rsidR="00AC6E08" w:rsidRPr="00951AC5">
        <w:rPr>
          <w:lang w:val="en-US"/>
        </w:rPr>
        <w:t>.</w:t>
      </w:r>
      <w:proofErr w:type="gramEnd"/>
      <w:r w:rsidR="00AC6E08" w:rsidRPr="00951AC5">
        <w:rPr>
          <w:lang w:val="en-US"/>
        </w:rPr>
        <w:t xml:space="preserve"> </w:t>
      </w:r>
      <w:r w:rsidR="00AC6E08" w:rsidRPr="00F4556B">
        <w:rPr>
          <w:i/>
          <w:iCs/>
          <w:lang w:val="en-US"/>
        </w:rPr>
        <w:t>ACF</w:t>
      </w:r>
      <w:r w:rsidR="00AC6E08" w:rsidRPr="00F4556B">
        <w:rPr>
          <w:lang w:val="en-US"/>
        </w:rPr>
        <w:t>: autocorrelation function</w:t>
      </w:r>
      <w:r w:rsidR="00F4556B" w:rsidRPr="00951AC5">
        <w:rPr>
          <w:lang w:val="en-US"/>
        </w:rPr>
        <w:t xml:space="preserve">. </w:t>
      </w:r>
      <w:r w:rsidR="00F4556B" w:rsidRPr="0030726C">
        <w:rPr>
          <w:i/>
          <w:iCs/>
          <w:lang w:val="en-US"/>
        </w:rPr>
        <w:t>ACF</w:t>
      </w:r>
      <w:r w:rsidR="00F4556B" w:rsidRPr="0030726C">
        <w:rPr>
          <w:lang w:val="en-US"/>
        </w:rPr>
        <w:t>: autocorrelation function</w:t>
      </w: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F4556B" w:rsidRDefault="00AC6E08" w:rsidP="000A5C6B">
      <w:pPr>
        <w:jc w:val="both"/>
        <w:rPr>
          <w:lang w:val="en-US"/>
        </w:rPr>
      </w:pPr>
      <w:r w:rsidRPr="00AC6E08">
        <w:rPr>
          <w:noProof/>
          <w:lang w:val="en-US" w:eastAsia="en-US"/>
        </w:rPr>
        <w:drawing>
          <wp:inline distT="0" distB="0" distL="0" distR="0" wp14:anchorId="0E95BEA0" wp14:editId="21BEA8AA">
            <wp:extent cx="6762750" cy="4958564"/>
            <wp:effectExtent l="0" t="0" r="0" b="0"/>
            <wp:docPr id="1236" name="Picture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555" cy="496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F4556B" w:rsidRDefault="00F4556B" w:rsidP="000A5C6B">
      <w:pPr>
        <w:jc w:val="both"/>
        <w:rPr>
          <w:lang w:val="en-US"/>
        </w:rPr>
      </w:pPr>
    </w:p>
    <w:p w:rsidR="000A07D5" w:rsidRDefault="00E86F8A" w:rsidP="000A07D5">
      <w:pPr>
        <w:rPr>
          <w:lang w:val="en-US"/>
        </w:rPr>
      </w:pPr>
      <w:r>
        <w:rPr>
          <w:lang w:val="en-US"/>
        </w:rPr>
        <w:lastRenderedPageBreak/>
        <w:t>Figure S5</w:t>
      </w:r>
      <w:r w:rsidR="000A07D5" w:rsidRPr="00951AC5">
        <w:rPr>
          <w:lang w:val="en-US"/>
        </w:rPr>
        <w:t xml:space="preserve">. </w:t>
      </w:r>
      <w:proofErr w:type="gramStart"/>
      <w:r w:rsidR="000A07D5" w:rsidRPr="00887B58">
        <w:rPr>
          <w:sz w:val="23"/>
          <w:szCs w:val="23"/>
          <w:lang w:val="en-US"/>
        </w:rPr>
        <w:t xml:space="preserve">Analysis of the </w:t>
      </w:r>
      <w:r w:rsidR="000A07D5" w:rsidRPr="0076494E">
        <w:rPr>
          <w:sz w:val="23"/>
          <w:szCs w:val="23"/>
          <w:lang w:val="en-US"/>
        </w:rPr>
        <w:t xml:space="preserve">residuals of </w:t>
      </w:r>
      <w:r w:rsidR="000A07D5" w:rsidRPr="0076494E">
        <w:rPr>
          <w:bCs/>
          <w:sz w:val="23"/>
          <w:szCs w:val="23"/>
          <w:lang w:val="en-US"/>
        </w:rPr>
        <w:t xml:space="preserve">the </w:t>
      </w:r>
      <w:r w:rsidR="000A07D5" w:rsidRPr="0076494E">
        <w:rPr>
          <w:sz w:val="23"/>
          <w:szCs w:val="23"/>
          <w:lang w:val="en-US"/>
        </w:rPr>
        <w:t>GAMs</w:t>
      </w:r>
      <w:r w:rsidR="000A07D5" w:rsidRPr="00887B58">
        <w:rPr>
          <w:sz w:val="23"/>
          <w:szCs w:val="23"/>
          <w:lang w:val="en-US"/>
        </w:rPr>
        <w:t xml:space="preserve"> (final models)</w:t>
      </w:r>
      <w:r w:rsidR="000A07D5">
        <w:rPr>
          <w:sz w:val="23"/>
          <w:szCs w:val="23"/>
          <w:lang w:val="en-US"/>
        </w:rPr>
        <w:t xml:space="preserve"> </w:t>
      </w:r>
      <w:r w:rsidR="000A07D5" w:rsidRPr="0064735A">
        <w:rPr>
          <w:lang w:val="en-US"/>
        </w:rPr>
        <w:t xml:space="preserve">for the </w:t>
      </w:r>
      <w:r w:rsidR="000A07D5">
        <w:rPr>
          <w:lang w:val="en-US"/>
        </w:rPr>
        <w:t>period 1976-2014</w:t>
      </w:r>
      <w:r w:rsidR="000A07D5" w:rsidRPr="00951AC5">
        <w:rPr>
          <w:lang w:val="en-US"/>
        </w:rPr>
        <w:t>.</w:t>
      </w:r>
      <w:proofErr w:type="gramEnd"/>
      <w:r w:rsidR="000A07D5" w:rsidRPr="00951AC5">
        <w:rPr>
          <w:lang w:val="en-US"/>
        </w:rPr>
        <w:t xml:space="preserve"> </w:t>
      </w:r>
      <w:r w:rsidR="000A07D5" w:rsidRPr="00F4556B">
        <w:rPr>
          <w:i/>
          <w:iCs/>
          <w:lang w:val="en-US"/>
        </w:rPr>
        <w:t>ACF</w:t>
      </w:r>
      <w:r w:rsidR="000A07D5" w:rsidRPr="00F4556B">
        <w:rPr>
          <w:lang w:val="en-US"/>
        </w:rPr>
        <w:t>: autocorrelation function</w:t>
      </w:r>
      <w:r w:rsidR="000A07D5" w:rsidRPr="00951AC5">
        <w:rPr>
          <w:lang w:val="en-US"/>
        </w:rPr>
        <w:t xml:space="preserve">. </w:t>
      </w:r>
      <w:r w:rsidR="000A07D5" w:rsidRPr="0030726C">
        <w:rPr>
          <w:i/>
          <w:iCs/>
          <w:lang w:val="en-US"/>
        </w:rPr>
        <w:t>ACF</w:t>
      </w:r>
      <w:r w:rsidR="000A07D5" w:rsidRPr="0030726C">
        <w:rPr>
          <w:lang w:val="en-US"/>
        </w:rPr>
        <w:t>: autocorrelation function</w:t>
      </w:r>
      <w:r w:rsidR="000A07D5">
        <w:rPr>
          <w:lang w:val="en-US"/>
        </w:rPr>
        <w:t>.</w:t>
      </w:r>
    </w:p>
    <w:p w:rsidR="000A07D5" w:rsidRDefault="000A07D5" w:rsidP="000A07D5">
      <w:pPr>
        <w:rPr>
          <w:lang w:val="en-US"/>
        </w:rPr>
      </w:pPr>
    </w:p>
    <w:p w:rsidR="000A07D5" w:rsidRDefault="000A07D5" w:rsidP="000A07D5">
      <w:pPr>
        <w:rPr>
          <w:lang w:val="en-US"/>
        </w:rPr>
      </w:pPr>
    </w:p>
    <w:p w:rsidR="000A07D5" w:rsidRDefault="000A07D5" w:rsidP="000A07D5">
      <w:pPr>
        <w:rPr>
          <w:lang w:val="en-US"/>
        </w:rPr>
      </w:pPr>
      <w:r w:rsidRPr="000A07D5">
        <w:rPr>
          <w:noProof/>
          <w:lang w:val="en-US" w:eastAsia="en-US"/>
        </w:rPr>
        <w:drawing>
          <wp:inline distT="0" distB="0" distL="0" distR="0" wp14:anchorId="4CE1D0A1" wp14:editId="0E0D8336">
            <wp:extent cx="6800081" cy="4953000"/>
            <wp:effectExtent l="0" t="0" r="0" b="0"/>
            <wp:docPr id="1237" name="Picture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792" cy="49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D5" w:rsidRDefault="000A07D5" w:rsidP="000A07D5">
      <w:pPr>
        <w:rPr>
          <w:lang w:val="en-US"/>
        </w:rPr>
      </w:pPr>
    </w:p>
    <w:p w:rsidR="000A07D5" w:rsidRDefault="000A07D5" w:rsidP="000A07D5">
      <w:pPr>
        <w:rPr>
          <w:lang w:val="en-US"/>
        </w:rPr>
      </w:pPr>
    </w:p>
    <w:p w:rsidR="000A07D5" w:rsidRDefault="000A07D5" w:rsidP="000A07D5">
      <w:pPr>
        <w:rPr>
          <w:lang w:val="en-US"/>
        </w:rPr>
      </w:pPr>
    </w:p>
    <w:p w:rsidR="000A07D5" w:rsidRDefault="000A07D5" w:rsidP="000A07D5">
      <w:pPr>
        <w:rPr>
          <w:lang w:val="en-US"/>
        </w:rPr>
      </w:pPr>
    </w:p>
    <w:p w:rsidR="000A07D5" w:rsidRDefault="000A07D5" w:rsidP="000A07D5">
      <w:pPr>
        <w:rPr>
          <w:lang w:val="en-US"/>
        </w:rPr>
      </w:pPr>
    </w:p>
    <w:p w:rsidR="000A07D5" w:rsidRDefault="000A07D5" w:rsidP="000A07D5">
      <w:pPr>
        <w:rPr>
          <w:lang w:val="en-US"/>
        </w:rPr>
      </w:pPr>
    </w:p>
    <w:p w:rsidR="000A07D5" w:rsidRPr="00951AC5" w:rsidRDefault="000A07D5" w:rsidP="000A07D5">
      <w:pPr>
        <w:rPr>
          <w:lang w:val="en-US"/>
        </w:rPr>
      </w:pPr>
    </w:p>
    <w:p w:rsidR="006306AE" w:rsidRDefault="006306AE" w:rsidP="000A5C6B">
      <w:pPr>
        <w:jc w:val="both"/>
        <w:rPr>
          <w:lang w:val="en-US"/>
        </w:rPr>
      </w:pPr>
    </w:p>
    <w:p w:rsidR="006306AE" w:rsidRDefault="006306AE" w:rsidP="000A5C6B">
      <w:pPr>
        <w:jc w:val="both"/>
        <w:rPr>
          <w:lang w:val="en-US"/>
        </w:rPr>
      </w:pPr>
    </w:p>
    <w:p w:rsidR="006306AE" w:rsidRDefault="006306AE" w:rsidP="000A5C6B">
      <w:pPr>
        <w:jc w:val="both"/>
        <w:rPr>
          <w:lang w:val="en-US"/>
        </w:rPr>
      </w:pPr>
    </w:p>
    <w:p w:rsidR="006306AE" w:rsidRDefault="006306AE" w:rsidP="000A5C6B">
      <w:pPr>
        <w:jc w:val="both"/>
        <w:rPr>
          <w:lang w:val="en-US"/>
        </w:rPr>
      </w:pPr>
    </w:p>
    <w:p w:rsidR="006306AE" w:rsidRDefault="006306AE" w:rsidP="000A5C6B">
      <w:pPr>
        <w:jc w:val="both"/>
        <w:rPr>
          <w:lang w:val="en-US"/>
        </w:rPr>
      </w:pPr>
    </w:p>
    <w:p w:rsidR="006306AE" w:rsidRDefault="006306AE" w:rsidP="000A5C6B">
      <w:pPr>
        <w:jc w:val="both"/>
        <w:rPr>
          <w:lang w:val="en-US"/>
        </w:rPr>
      </w:pPr>
    </w:p>
    <w:p w:rsidR="0076494E" w:rsidRPr="00F701AB" w:rsidRDefault="000A5C6B" w:rsidP="000A5C6B">
      <w:pPr>
        <w:jc w:val="both"/>
        <w:rPr>
          <w:lang w:val="en-US"/>
        </w:rPr>
      </w:pPr>
      <w:r>
        <w:rPr>
          <w:lang w:val="en-US"/>
        </w:rPr>
        <w:lastRenderedPageBreak/>
        <w:t xml:space="preserve">Table S1. </w:t>
      </w:r>
      <w:proofErr w:type="gramStart"/>
      <w:r w:rsidRPr="0064735A">
        <w:rPr>
          <w:lang w:val="en-US"/>
        </w:rPr>
        <w:t xml:space="preserve">Results of the GAMs for the </w:t>
      </w:r>
      <w:r>
        <w:rPr>
          <w:lang w:val="en-US"/>
        </w:rPr>
        <w:t xml:space="preserve">period 1976-1993 in which </w:t>
      </w:r>
      <w:r w:rsidR="00861855">
        <w:rPr>
          <w:lang w:val="en-US"/>
        </w:rPr>
        <w:t>“</w:t>
      </w:r>
      <w:r>
        <w:rPr>
          <w:lang w:val="en-US"/>
        </w:rPr>
        <w:t>cod density</w:t>
      </w:r>
      <w:r w:rsidR="00861855">
        <w:rPr>
          <w:lang w:val="en-US"/>
        </w:rPr>
        <w:t>”</w:t>
      </w:r>
      <w:r>
        <w:rPr>
          <w:lang w:val="en-US"/>
        </w:rPr>
        <w:t xml:space="preserve"> was used instead of </w:t>
      </w:r>
      <w:r w:rsidR="00861855">
        <w:rPr>
          <w:lang w:val="en-US"/>
        </w:rPr>
        <w:t>“</w:t>
      </w:r>
      <w:r>
        <w:rPr>
          <w:lang w:val="en-US"/>
        </w:rPr>
        <w:t>cod abundance</w:t>
      </w:r>
      <w:r w:rsidR="00861855">
        <w:rPr>
          <w:lang w:val="en-US"/>
        </w:rPr>
        <w:t>”</w:t>
      </w:r>
      <w:r w:rsidRPr="0064735A">
        <w:rPr>
          <w:b/>
          <w:lang w:val="en-US" w:eastAsia="en-US"/>
        </w:rPr>
        <w:t>.</w:t>
      </w:r>
      <w:proofErr w:type="gramEnd"/>
      <w:r w:rsidRPr="0064735A">
        <w:rPr>
          <w:b/>
          <w:lang w:val="en-US" w:eastAsia="en-US"/>
        </w:rPr>
        <w:t xml:space="preserve"> </w:t>
      </w:r>
      <w:r w:rsidR="004F0593" w:rsidRPr="0064735A">
        <w:rPr>
          <w:lang w:val="en-US" w:eastAsia="en-US"/>
        </w:rPr>
        <w:t xml:space="preserve">The </w:t>
      </w:r>
      <w:r w:rsidR="004F0593">
        <w:rPr>
          <w:lang w:val="en-US" w:eastAsia="en-US"/>
        </w:rPr>
        <w:t xml:space="preserve">Generalized cross validation (GCV), the </w:t>
      </w:r>
      <w:r w:rsidRPr="0064735A">
        <w:rPr>
          <w:lang w:val="en-US" w:eastAsia="en-US"/>
        </w:rPr>
        <w:t xml:space="preserve">deviance explained (Dev. </w:t>
      </w:r>
      <w:proofErr w:type="spellStart"/>
      <w:r w:rsidRPr="0064735A">
        <w:rPr>
          <w:lang w:val="en-US" w:eastAsia="en-US"/>
        </w:rPr>
        <w:t>expl</w:t>
      </w:r>
      <w:proofErr w:type="spellEnd"/>
      <w:r w:rsidRPr="0064735A">
        <w:rPr>
          <w:lang w:val="en-US" w:eastAsia="en-US"/>
        </w:rPr>
        <w:t>.) and the number of observations (n) are indicated. For each predictor, the degrees of freedom (</w:t>
      </w:r>
      <w:proofErr w:type="spellStart"/>
      <w:proofErr w:type="gramStart"/>
      <w:r w:rsidRPr="0064735A">
        <w:rPr>
          <w:lang w:val="en-US" w:eastAsia="en-US"/>
        </w:rPr>
        <w:t>df</w:t>
      </w:r>
      <w:proofErr w:type="spellEnd"/>
      <w:proofErr w:type="gramEnd"/>
      <w:r>
        <w:rPr>
          <w:lang w:val="en-US" w:eastAsia="en-US"/>
        </w:rPr>
        <w:t xml:space="preserve">), the </w:t>
      </w:r>
      <w:r w:rsidRPr="0064735A">
        <w:rPr>
          <w:lang w:val="en-US" w:eastAsia="en-US"/>
        </w:rPr>
        <w:t>significance value (P) and the deviance</w:t>
      </w:r>
      <w:r>
        <w:rPr>
          <w:lang w:val="en-US" w:eastAsia="en-US"/>
        </w:rPr>
        <w:t xml:space="preserve"> </w:t>
      </w:r>
      <w:r w:rsidRPr="0064735A">
        <w:rPr>
          <w:lang w:val="en-US" w:eastAsia="en-US"/>
        </w:rPr>
        <w:t xml:space="preserve">explained </w:t>
      </w:r>
      <w:r>
        <w:rPr>
          <w:lang w:val="en-US" w:eastAsia="en-US"/>
        </w:rPr>
        <w:t xml:space="preserve">by the model excluding the corresponding predictor (Difference Dev. </w:t>
      </w:r>
      <w:proofErr w:type="spellStart"/>
      <w:r>
        <w:rPr>
          <w:lang w:val="en-US" w:eastAsia="en-US"/>
        </w:rPr>
        <w:t>Expl</w:t>
      </w:r>
      <w:proofErr w:type="spellEnd"/>
      <w:r>
        <w:rPr>
          <w:lang w:val="en-US" w:eastAsia="en-US"/>
        </w:rPr>
        <w:t xml:space="preserve">. %) are provided. Predictors </w:t>
      </w:r>
      <w:r w:rsidRPr="0064735A">
        <w:rPr>
          <w:lang w:val="en-US" w:eastAsia="en-US"/>
        </w:rPr>
        <w:t>without statistics indicate that they were excluded by</w:t>
      </w:r>
      <w:r>
        <w:rPr>
          <w:lang w:val="en-US" w:eastAsia="en-US"/>
        </w:rPr>
        <w:t xml:space="preserve"> </w:t>
      </w:r>
      <w:r w:rsidRPr="0064735A">
        <w:rPr>
          <w:lang w:val="en-US" w:eastAsia="en-US"/>
        </w:rPr>
        <w:t>the backward stepwise model selection</w:t>
      </w:r>
      <w:r>
        <w:rPr>
          <w:lang w:val="en-US" w:eastAsia="en-US"/>
        </w:rPr>
        <w:t>.</w:t>
      </w:r>
    </w:p>
    <w:p w:rsidR="000A5C6B" w:rsidRDefault="000A5C6B" w:rsidP="00552BC2">
      <w:pPr>
        <w:rPr>
          <w:sz w:val="23"/>
          <w:szCs w:val="23"/>
          <w:lang w:val="en-US"/>
        </w:rPr>
      </w:pPr>
    </w:p>
    <w:p w:rsidR="006315CE" w:rsidRDefault="006315CE" w:rsidP="00552BC2">
      <w:pPr>
        <w:rPr>
          <w:sz w:val="23"/>
          <w:szCs w:val="23"/>
          <w:lang w:val="en-US"/>
        </w:rPr>
      </w:pPr>
    </w:p>
    <w:p w:rsidR="006315CE" w:rsidRDefault="006315CE" w:rsidP="00552BC2">
      <w:pPr>
        <w:rPr>
          <w:sz w:val="23"/>
          <w:szCs w:val="23"/>
          <w:lang w:val="en-US"/>
        </w:rPr>
      </w:pPr>
      <w:r w:rsidRPr="006315CE">
        <w:rPr>
          <w:noProof/>
          <w:lang w:val="en-US" w:eastAsia="en-US"/>
        </w:rPr>
        <w:drawing>
          <wp:inline distT="0" distB="0" distL="0" distR="0" wp14:anchorId="61EC4D28" wp14:editId="4158EF91">
            <wp:extent cx="5943600" cy="12016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6B" w:rsidRDefault="000A5C6B" w:rsidP="00552BC2">
      <w:pPr>
        <w:rPr>
          <w:sz w:val="23"/>
          <w:szCs w:val="23"/>
          <w:lang w:val="en-US"/>
        </w:rPr>
      </w:pPr>
    </w:p>
    <w:p w:rsidR="006306AE" w:rsidRDefault="006306AE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861855" w:rsidRDefault="00861855" w:rsidP="00271C3E">
      <w:pPr>
        <w:jc w:val="both"/>
        <w:rPr>
          <w:lang w:val="en-US"/>
        </w:rPr>
      </w:pPr>
    </w:p>
    <w:p w:rsidR="00271C3E" w:rsidRPr="00F701AB" w:rsidRDefault="00271C3E" w:rsidP="00271C3E">
      <w:pPr>
        <w:jc w:val="both"/>
        <w:rPr>
          <w:lang w:val="en-US"/>
        </w:rPr>
      </w:pPr>
      <w:r>
        <w:rPr>
          <w:lang w:val="en-US"/>
        </w:rPr>
        <w:lastRenderedPageBreak/>
        <w:t xml:space="preserve">Table S2. </w:t>
      </w:r>
      <w:r w:rsidRPr="0064735A">
        <w:rPr>
          <w:lang w:val="en-US"/>
        </w:rPr>
        <w:t xml:space="preserve">Results of the GAMs for the </w:t>
      </w:r>
      <w:r>
        <w:rPr>
          <w:lang w:val="en-US"/>
        </w:rPr>
        <w:t xml:space="preserve">period 1994-2014 in which </w:t>
      </w:r>
      <w:r>
        <w:rPr>
          <w:color w:val="000000"/>
          <w:lang w:val="en-US" w:eastAsia="en-US"/>
        </w:rPr>
        <w:t>the “biomass of the most suitable prey size, SS” was used instead of “prey biomass”</w:t>
      </w:r>
      <w:r w:rsidRPr="0064735A">
        <w:rPr>
          <w:b/>
          <w:lang w:val="en-US" w:eastAsia="en-US"/>
        </w:rPr>
        <w:t xml:space="preserve">. </w:t>
      </w:r>
      <w:r w:rsidR="004F0593" w:rsidRPr="0064735A">
        <w:rPr>
          <w:lang w:val="en-US" w:eastAsia="en-US"/>
        </w:rPr>
        <w:t xml:space="preserve">The </w:t>
      </w:r>
      <w:r w:rsidR="004F0593">
        <w:rPr>
          <w:lang w:val="en-US" w:eastAsia="en-US"/>
        </w:rPr>
        <w:t xml:space="preserve">Generalized cross validation (GCV), the </w:t>
      </w:r>
      <w:r w:rsidRPr="0064735A">
        <w:rPr>
          <w:lang w:val="en-US" w:eastAsia="en-US"/>
        </w:rPr>
        <w:t xml:space="preserve">deviance explained (Dev. </w:t>
      </w:r>
      <w:proofErr w:type="spellStart"/>
      <w:r w:rsidRPr="0064735A">
        <w:rPr>
          <w:lang w:val="en-US" w:eastAsia="en-US"/>
        </w:rPr>
        <w:t>expl</w:t>
      </w:r>
      <w:proofErr w:type="spellEnd"/>
      <w:r w:rsidRPr="0064735A">
        <w:rPr>
          <w:lang w:val="en-US" w:eastAsia="en-US"/>
        </w:rPr>
        <w:t>.) and the number of observations (n) are indicated. For each predictor, the degrees of freedom (</w:t>
      </w:r>
      <w:proofErr w:type="spellStart"/>
      <w:proofErr w:type="gramStart"/>
      <w:r w:rsidRPr="0064735A">
        <w:rPr>
          <w:lang w:val="en-US" w:eastAsia="en-US"/>
        </w:rPr>
        <w:t>df</w:t>
      </w:r>
      <w:proofErr w:type="spellEnd"/>
      <w:proofErr w:type="gramEnd"/>
      <w:r>
        <w:rPr>
          <w:lang w:val="en-US" w:eastAsia="en-US"/>
        </w:rPr>
        <w:t xml:space="preserve">), the </w:t>
      </w:r>
      <w:r w:rsidRPr="0064735A">
        <w:rPr>
          <w:lang w:val="en-US" w:eastAsia="en-US"/>
        </w:rPr>
        <w:t>significance value (P) and the deviance</w:t>
      </w:r>
      <w:r>
        <w:rPr>
          <w:lang w:val="en-US" w:eastAsia="en-US"/>
        </w:rPr>
        <w:t xml:space="preserve"> </w:t>
      </w:r>
      <w:r w:rsidRPr="0064735A">
        <w:rPr>
          <w:lang w:val="en-US" w:eastAsia="en-US"/>
        </w:rPr>
        <w:t xml:space="preserve">explained </w:t>
      </w:r>
      <w:r>
        <w:rPr>
          <w:lang w:val="en-US" w:eastAsia="en-US"/>
        </w:rPr>
        <w:t xml:space="preserve">by the model excluding the corresponding predictor (Difference Dev. </w:t>
      </w:r>
      <w:proofErr w:type="spellStart"/>
      <w:r>
        <w:rPr>
          <w:lang w:val="en-US" w:eastAsia="en-US"/>
        </w:rPr>
        <w:t>Expl</w:t>
      </w:r>
      <w:proofErr w:type="spellEnd"/>
      <w:r>
        <w:rPr>
          <w:lang w:val="en-US" w:eastAsia="en-US"/>
        </w:rPr>
        <w:t xml:space="preserve">. %) are provided. Predictors </w:t>
      </w:r>
      <w:r w:rsidRPr="0064735A">
        <w:rPr>
          <w:lang w:val="en-US" w:eastAsia="en-US"/>
        </w:rPr>
        <w:t>without statistics indicate that they were excluded by</w:t>
      </w:r>
      <w:r>
        <w:rPr>
          <w:lang w:val="en-US" w:eastAsia="en-US"/>
        </w:rPr>
        <w:t xml:space="preserve"> </w:t>
      </w:r>
      <w:r w:rsidRPr="0064735A">
        <w:rPr>
          <w:lang w:val="en-US" w:eastAsia="en-US"/>
        </w:rPr>
        <w:t>the backward stepwise model selection</w:t>
      </w:r>
      <w:r>
        <w:rPr>
          <w:lang w:val="en-US" w:eastAsia="en-US"/>
        </w:rPr>
        <w:t>.</w:t>
      </w:r>
    </w:p>
    <w:p w:rsidR="00271C3E" w:rsidRDefault="00271C3E" w:rsidP="00552BC2">
      <w:pPr>
        <w:rPr>
          <w:sz w:val="23"/>
          <w:szCs w:val="23"/>
          <w:lang w:val="en-US"/>
        </w:rPr>
      </w:pPr>
    </w:p>
    <w:p w:rsidR="00271C3E" w:rsidRDefault="00271C3E" w:rsidP="00552BC2">
      <w:pPr>
        <w:rPr>
          <w:sz w:val="23"/>
          <w:szCs w:val="23"/>
          <w:lang w:val="en-US"/>
        </w:rPr>
      </w:pPr>
    </w:p>
    <w:p w:rsidR="006315CE" w:rsidRDefault="006315CE" w:rsidP="00552BC2">
      <w:pPr>
        <w:rPr>
          <w:sz w:val="23"/>
          <w:szCs w:val="23"/>
          <w:lang w:val="en-US"/>
        </w:rPr>
      </w:pPr>
      <w:r w:rsidRPr="006315CE">
        <w:rPr>
          <w:noProof/>
          <w:lang w:val="en-US" w:eastAsia="en-US"/>
        </w:rPr>
        <w:drawing>
          <wp:inline distT="0" distB="0" distL="0" distR="0" wp14:anchorId="3BFC59D9" wp14:editId="5B0FBF82">
            <wp:extent cx="5943600" cy="129839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18" w:rsidRDefault="00717518" w:rsidP="00552BC2">
      <w:pPr>
        <w:rPr>
          <w:sz w:val="23"/>
          <w:szCs w:val="23"/>
          <w:lang w:val="en-US"/>
        </w:rPr>
      </w:pPr>
    </w:p>
    <w:p w:rsidR="006306AE" w:rsidRDefault="006306AE" w:rsidP="00350BFF">
      <w:pPr>
        <w:jc w:val="both"/>
        <w:rPr>
          <w:lang w:val="en-US"/>
        </w:rPr>
      </w:pPr>
    </w:p>
    <w:p w:rsidR="006306AE" w:rsidRDefault="006306AE" w:rsidP="00350BFF">
      <w:pPr>
        <w:jc w:val="both"/>
        <w:rPr>
          <w:lang w:val="en-US"/>
        </w:rPr>
      </w:pPr>
    </w:p>
    <w:p w:rsidR="006306AE" w:rsidRDefault="006306AE" w:rsidP="00350BFF">
      <w:pPr>
        <w:jc w:val="both"/>
        <w:rPr>
          <w:lang w:val="en-US"/>
        </w:rPr>
      </w:pPr>
    </w:p>
    <w:p w:rsidR="006306AE" w:rsidRDefault="006306AE" w:rsidP="00350BFF">
      <w:pPr>
        <w:jc w:val="both"/>
        <w:rPr>
          <w:lang w:val="en-US"/>
        </w:rPr>
      </w:pPr>
    </w:p>
    <w:p w:rsidR="006306AE" w:rsidRDefault="006306AE" w:rsidP="00350BFF">
      <w:pPr>
        <w:jc w:val="both"/>
        <w:rPr>
          <w:lang w:val="en-US"/>
        </w:rPr>
      </w:pPr>
    </w:p>
    <w:p w:rsidR="006306AE" w:rsidRDefault="006306AE" w:rsidP="00350BFF">
      <w:pPr>
        <w:jc w:val="both"/>
        <w:rPr>
          <w:lang w:val="en-US"/>
        </w:rPr>
      </w:pPr>
    </w:p>
    <w:p w:rsidR="006306AE" w:rsidRDefault="006306AE" w:rsidP="00350BFF">
      <w:pPr>
        <w:jc w:val="both"/>
        <w:rPr>
          <w:lang w:val="en-US"/>
        </w:rPr>
      </w:pPr>
    </w:p>
    <w:p w:rsidR="006306AE" w:rsidRDefault="006306AE" w:rsidP="00350BFF">
      <w:pPr>
        <w:jc w:val="both"/>
        <w:rPr>
          <w:lang w:val="en-US"/>
        </w:rPr>
      </w:pPr>
    </w:p>
    <w:p w:rsidR="006306AE" w:rsidRDefault="006306AE" w:rsidP="00350BFF">
      <w:pPr>
        <w:jc w:val="both"/>
        <w:rPr>
          <w:lang w:val="en-US"/>
        </w:rPr>
      </w:pPr>
    </w:p>
    <w:p w:rsidR="006306AE" w:rsidRDefault="006306AE" w:rsidP="00350BFF">
      <w:pPr>
        <w:jc w:val="both"/>
        <w:rPr>
          <w:lang w:val="en-US"/>
        </w:rPr>
      </w:pPr>
    </w:p>
    <w:p w:rsidR="006306AE" w:rsidRDefault="006306AE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350BFF" w:rsidRPr="00F701AB" w:rsidRDefault="00350BFF" w:rsidP="00350BFF">
      <w:pPr>
        <w:jc w:val="both"/>
        <w:rPr>
          <w:lang w:val="en-US"/>
        </w:rPr>
      </w:pPr>
      <w:r>
        <w:rPr>
          <w:lang w:val="en-US"/>
        </w:rPr>
        <w:t xml:space="preserve">Table S3. </w:t>
      </w:r>
      <w:r w:rsidRPr="0064735A">
        <w:rPr>
          <w:lang w:val="en-US"/>
        </w:rPr>
        <w:t xml:space="preserve">Results of the GAMs for the </w:t>
      </w:r>
      <w:r>
        <w:rPr>
          <w:lang w:val="en-US"/>
        </w:rPr>
        <w:t xml:space="preserve">period 1976-2014 in which </w:t>
      </w:r>
      <w:r>
        <w:rPr>
          <w:color w:val="000000"/>
          <w:lang w:val="en-US" w:eastAsia="en-US"/>
        </w:rPr>
        <w:t>the “biomass of the most suitable prey size, SS” was used instead of “prey biomass”</w:t>
      </w:r>
      <w:r w:rsidRPr="0064735A">
        <w:rPr>
          <w:b/>
          <w:lang w:val="en-US" w:eastAsia="en-US"/>
        </w:rPr>
        <w:t xml:space="preserve">. </w:t>
      </w:r>
      <w:r w:rsidR="004F0593" w:rsidRPr="0064735A">
        <w:rPr>
          <w:lang w:val="en-US" w:eastAsia="en-US"/>
        </w:rPr>
        <w:t xml:space="preserve">The </w:t>
      </w:r>
      <w:r w:rsidR="004F0593">
        <w:rPr>
          <w:lang w:val="en-US" w:eastAsia="en-US"/>
        </w:rPr>
        <w:t xml:space="preserve">Generalized cross validation (GCV), the </w:t>
      </w:r>
      <w:r w:rsidRPr="0064735A">
        <w:rPr>
          <w:lang w:val="en-US" w:eastAsia="en-US"/>
        </w:rPr>
        <w:t xml:space="preserve">deviance explained (Dev. </w:t>
      </w:r>
      <w:proofErr w:type="spellStart"/>
      <w:r w:rsidRPr="0064735A">
        <w:rPr>
          <w:lang w:val="en-US" w:eastAsia="en-US"/>
        </w:rPr>
        <w:t>expl</w:t>
      </w:r>
      <w:proofErr w:type="spellEnd"/>
      <w:r w:rsidRPr="0064735A">
        <w:rPr>
          <w:lang w:val="en-US" w:eastAsia="en-US"/>
        </w:rPr>
        <w:t>.) and the number of observations (n) are indicated. For each predictor, the degrees of freedom (</w:t>
      </w:r>
      <w:proofErr w:type="spellStart"/>
      <w:proofErr w:type="gramStart"/>
      <w:r w:rsidRPr="0064735A">
        <w:rPr>
          <w:lang w:val="en-US" w:eastAsia="en-US"/>
        </w:rPr>
        <w:t>df</w:t>
      </w:r>
      <w:proofErr w:type="spellEnd"/>
      <w:proofErr w:type="gramEnd"/>
      <w:r>
        <w:rPr>
          <w:lang w:val="en-US" w:eastAsia="en-US"/>
        </w:rPr>
        <w:t xml:space="preserve">), the </w:t>
      </w:r>
      <w:r w:rsidRPr="0064735A">
        <w:rPr>
          <w:lang w:val="en-US" w:eastAsia="en-US"/>
        </w:rPr>
        <w:t>significance value (P) and the deviance</w:t>
      </w:r>
      <w:r>
        <w:rPr>
          <w:lang w:val="en-US" w:eastAsia="en-US"/>
        </w:rPr>
        <w:t xml:space="preserve"> </w:t>
      </w:r>
      <w:r w:rsidRPr="0064735A">
        <w:rPr>
          <w:lang w:val="en-US" w:eastAsia="en-US"/>
        </w:rPr>
        <w:t xml:space="preserve">explained </w:t>
      </w:r>
      <w:r>
        <w:rPr>
          <w:lang w:val="en-US" w:eastAsia="en-US"/>
        </w:rPr>
        <w:t xml:space="preserve">by the model excluding the corresponding predictor (Difference Dev. </w:t>
      </w:r>
      <w:proofErr w:type="spellStart"/>
      <w:r>
        <w:rPr>
          <w:lang w:val="en-US" w:eastAsia="en-US"/>
        </w:rPr>
        <w:t>Expl</w:t>
      </w:r>
      <w:proofErr w:type="spellEnd"/>
      <w:r>
        <w:rPr>
          <w:lang w:val="en-US" w:eastAsia="en-US"/>
        </w:rPr>
        <w:t xml:space="preserve">. %) are provided. Predictors </w:t>
      </w:r>
      <w:r w:rsidRPr="0064735A">
        <w:rPr>
          <w:lang w:val="en-US" w:eastAsia="en-US"/>
        </w:rPr>
        <w:t>without statistics indicate that they were excluded by</w:t>
      </w:r>
      <w:r>
        <w:rPr>
          <w:lang w:val="en-US" w:eastAsia="en-US"/>
        </w:rPr>
        <w:t xml:space="preserve"> </w:t>
      </w:r>
      <w:r w:rsidRPr="0064735A">
        <w:rPr>
          <w:lang w:val="en-US" w:eastAsia="en-US"/>
        </w:rPr>
        <w:t>the backward stepwise model selection</w:t>
      </w:r>
      <w:r>
        <w:rPr>
          <w:lang w:val="en-US" w:eastAsia="en-US"/>
        </w:rPr>
        <w:t>.</w:t>
      </w:r>
    </w:p>
    <w:p w:rsidR="00717518" w:rsidRDefault="00717518" w:rsidP="00552BC2">
      <w:pPr>
        <w:rPr>
          <w:sz w:val="23"/>
          <w:szCs w:val="23"/>
          <w:lang w:val="en-US"/>
        </w:rPr>
      </w:pPr>
    </w:p>
    <w:p w:rsidR="00717518" w:rsidRDefault="00717518" w:rsidP="00552BC2">
      <w:pPr>
        <w:rPr>
          <w:sz w:val="23"/>
          <w:szCs w:val="23"/>
          <w:lang w:val="en-US"/>
        </w:rPr>
      </w:pPr>
    </w:p>
    <w:p w:rsidR="00717518" w:rsidRDefault="006315CE" w:rsidP="00552BC2">
      <w:pPr>
        <w:rPr>
          <w:sz w:val="23"/>
          <w:szCs w:val="23"/>
          <w:lang w:val="en-US"/>
        </w:rPr>
      </w:pPr>
      <w:r w:rsidRPr="006315CE">
        <w:rPr>
          <w:noProof/>
          <w:lang w:val="en-US" w:eastAsia="en-US"/>
        </w:rPr>
        <w:drawing>
          <wp:inline distT="0" distB="0" distL="0" distR="0" wp14:anchorId="77467E47" wp14:editId="666766EC">
            <wp:extent cx="5943600" cy="138483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FF" w:rsidRDefault="00350BFF" w:rsidP="00350BFF">
      <w:pPr>
        <w:jc w:val="both"/>
        <w:rPr>
          <w:lang w:val="en-US"/>
        </w:rPr>
      </w:pPr>
    </w:p>
    <w:p w:rsidR="00350BFF" w:rsidRDefault="00350BFF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861855" w:rsidRDefault="00861855" w:rsidP="00350BFF">
      <w:pPr>
        <w:jc w:val="both"/>
        <w:rPr>
          <w:lang w:val="en-US"/>
        </w:rPr>
      </w:pPr>
    </w:p>
    <w:p w:rsidR="006315CE" w:rsidRDefault="006315CE" w:rsidP="00350BFF">
      <w:pPr>
        <w:jc w:val="both"/>
        <w:rPr>
          <w:lang w:val="en-US"/>
        </w:rPr>
      </w:pPr>
    </w:p>
    <w:p w:rsidR="006315CE" w:rsidRDefault="006315CE" w:rsidP="00350BFF">
      <w:pPr>
        <w:jc w:val="both"/>
        <w:rPr>
          <w:lang w:val="en-US"/>
        </w:rPr>
      </w:pPr>
    </w:p>
    <w:p w:rsidR="00350BFF" w:rsidRPr="00F701AB" w:rsidRDefault="00350BFF" w:rsidP="00350BFF">
      <w:pPr>
        <w:jc w:val="both"/>
        <w:rPr>
          <w:lang w:val="en-US"/>
        </w:rPr>
      </w:pPr>
      <w:r>
        <w:rPr>
          <w:lang w:val="en-US"/>
        </w:rPr>
        <w:t xml:space="preserve">Table S4. </w:t>
      </w:r>
      <w:r w:rsidRPr="0064735A">
        <w:rPr>
          <w:lang w:val="en-US"/>
        </w:rPr>
        <w:t xml:space="preserve">Results of the GAMs for the </w:t>
      </w:r>
      <w:r>
        <w:rPr>
          <w:lang w:val="en-US"/>
        </w:rPr>
        <w:t xml:space="preserve">period 1976-2014 in which </w:t>
      </w:r>
      <w:r w:rsidR="009E081A">
        <w:rPr>
          <w:lang w:val="en-US"/>
        </w:rPr>
        <w:t>“</w:t>
      </w:r>
      <w:r>
        <w:rPr>
          <w:lang w:val="en-US"/>
        </w:rPr>
        <w:t>cod abundance</w:t>
      </w:r>
      <w:r w:rsidR="009E081A">
        <w:rPr>
          <w:lang w:val="en-US"/>
        </w:rPr>
        <w:t>”</w:t>
      </w:r>
      <w:r>
        <w:rPr>
          <w:lang w:val="en-US"/>
        </w:rPr>
        <w:t xml:space="preserve"> or </w:t>
      </w:r>
      <w:r w:rsidR="009E081A">
        <w:rPr>
          <w:lang w:val="en-US"/>
        </w:rPr>
        <w:t>“</w:t>
      </w:r>
      <w:r>
        <w:rPr>
          <w:lang w:val="en-US"/>
        </w:rPr>
        <w:t>cod density</w:t>
      </w:r>
      <w:r w:rsidR="009E081A">
        <w:rPr>
          <w:lang w:val="en-US"/>
        </w:rPr>
        <w:t>”</w:t>
      </w:r>
      <w:r>
        <w:rPr>
          <w:lang w:val="en-US"/>
        </w:rPr>
        <w:t xml:space="preserve"> was used as density-dependent </w:t>
      </w:r>
      <w:r w:rsidRPr="00350BFF">
        <w:rPr>
          <w:lang w:val="en-US"/>
        </w:rPr>
        <w:t>factor</w:t>
      </w:r>
      <w:r w:rsidRPr="00350BFF">
        <w:rPr>
          <w:lang w:val="en-US" w:eastAsia="en-US"/>
        </w:rPr>
        <w:t>. In this model hypoxic areas were excluded</w:t>
      </w:r>
      <w:r>
        <w:rPr>
          <w:lang w:val="en-US" w:eastAsia="en-US"/>
        </w:rPr>
        <w:t>, since oxygen information is already included in the estimation of cod density</w:t>
      </w:r>
      <w:r w:rsidRPr="00350BFF">
        <w:rPr>
          <w:lang w:val="en-US" w:eastAsia="en-US"/>
        </w:rPr>
        <w:t>.</w:t>
      </w:r>
      <w:r>
        <w:rPr>
          <w:b/>
          <w:lang w:val="en-US" w:eastAsia="en-US"/>
        </w:rPr>
        <w:t xml:space="preserve"> </w:t>
      </w:r>
      <w:r w:rsidRPr="0064735A">
        <w:rPr>
          <w:lang w:val="en-US" w:eastAsia="en-US"/>
        </w:rPr>
        <w:t xml:space="preserve">The </w:t>
      </w:r>
      <w:r w:rsidR="004F0593">
        <w:rPr>
          <w:lang w:val="en-US" w:eastAsia="en-US"/>
        </w:rPr>
        <w:t xml:space="preserve">Generalized cross validation (GCV), the </w:t>
      </w:r>
      <w:r w:rsidRPr="0064735A">
        <w:rPr>
          <w:lang w:val="en-US" w:eastAsia="en-US"/>
        </w:rPr>
        <w:t xml:space="preserve">deviance explained (Dev. </w:t>
      </w:r>
      <w:proofErr w:type="spellStart"/>
      <w:r w:rsidRPr="0064735A">
        <w:rPr>
          <w:lang w:val="en-US" w:eastAsia="en-US"/>
        </w:rPr>
        <w:t>expl</w:t>
      </w:r>
      <w:proofErr w:type="spellEnd"/>
      <w:r w:rsidRPr="0064735A">
        <w:rPr>
          <w:lang w:val="en-US" w:eastAsia="en-US"/>
        </w:rPr>
        <w:t>.) and the number of observations (n) are indicated. For each predictor, the degrees of freedom (</w:t>
      </w:r>
      <w:proofErr w:type="spellStart"/>
      <w:proofErr w:type="gramStart"/>
      <w:r w:rsidRPr="0064735A">
        <w:rPr>
          <w:lang w:val="en-US" w:eastAsia="en-US"/>
        </w:rPr>
        <w:t>df</w:t>
      </w:r>
      <w:proofErr w:type="spellEnd"/>
      <w:proofErr w:type="gramEnd"/>
      <w:r>
        <w:rPr>
          <w:lang w:val="en-US" w:eastAsia="en-US"/>
        </w:rPr>
        <w:t xml:space="preserve">), the </w:t>
      </w:r>
      <w:r w:rsidRPr="0064735A">
        <w:rPr>
          <w:lang w:val="en-US" w:eastAsia="en-US"/>
        </w:rPr>
        <w:t>significance value (P) and the deviance</w:t>
      </w:r>
      <w:r>
        <w:rPr>
          <w:lang w:val="en-US" w:eastAsia="en-US"/>
        </w:rPr>
        <w:t xml:space="preserve"> </w:t>
      </w:r>
      <w:r w:rsidRPr="0064735A">
        <w:rPr>
          <w:lang w:val="en-US" w:eastAsia="en-US"/>
        </w:rPr>
        <w:t xml:space="preserve">explained </w:t>
      </w:r>
      <w:r>
        <w:rPr>
          <w:lang w:val="en-US" w:eastAsia="en-US"/>
        </w:rPr>
        <w:t xml:space="preserve">by the model excluding the corresponding predictor (Difference Dev. </w:t>
      </w:r>
      <w:proofErr w:type="spellStart"/>
      <w:r>
        <w:rPr>
          <w:lang w:val="en-US" w:eastAsia="en-US"/>
        </w:rPr>
        <w:t>Expl</w:t>
      </w:r>
      <w:proofErr w:type="spellEnd"/>
      <w:r>
        <w:rPr>
          <w:lang w:val="en-US" w:eastAsia="en-US"/>
        </w:rPr>
        <w:t xml:space="preserve">. %) are provided. Predictors </w:t>
      </w:r>
      <w:r w:rsidRPr="0064735A">
        <w:rPr>
          <w:lang w:val="en-US" w:eastAsia="en-US"/>
        </w:rPr>
        <w:t>without statistics indicate that they were excluded by</w:t>
      </w:r>
      <w:r>
        <w:rPr>
          <w:lang w:val="en-US" w:eastAsia="en-US"/>
        </w:rPr>
        <w:t xml:space="preserve"> </w:t>
      </w:r>
      <w:r w:rsidRPr="0064735A">
        <w:rPr>
          <w:lang w:val="en-US" w:eastAsia="en-US"/>
        </w:rPr>
        <w:t>the backward stepwise model selection</w:t>
      </w:r>
      <w:r>
        <w:rPr>
          <w:lang w:val="en-US" w:eastAsia="en-US"/>
        </w:rPr>
        <w:t>.</w:t>
      </w:r>
    </w:p>
    <w:p w:rsidR="00717518" w:rsidRDefault="00717518" w:rsidP="00552BC2">
      <w:pPr>
        <w:rPr>
          <w:sz w:val="23"/>
          <w:szCs w:val="23"/>
          <w:lang w:val="en-US"/>
        </w:rPr>
      </w:pPr>
    </w:p>
    <w:p w:rsidR="00717518" w:rsidRDefault="006306AE" w:rsidP="00552BC2">
      <w:pPr>
        <w:rPr>
          <w:sz w:val="23"/>
          <w:szCs w:val="23"/>
          <w:lang w:val="en-US"/>
        </w:rPr>
      </w:pPr>
      <w:r w:rsidRPr="006306AE">
        <w:rPr>
          <w:noProof/>
          <w:lang w:val="en-US" w:eastAsia="en-US"/>
        </w:rPr>
        <w:drawing>
          <wp:inline distT="0" distB="0" distL="0" distR="0" wp14:anchorId="0379F8CB" wp14:editId="794A2D41">
            <wp:extent cx="5943600" cy="20275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18" w:rsidRDefault="00717518" w:rsidP="00552BC2">
      <w:pPr>
        <w:rPr>
          <w:sz w:val="23"/>
          <w:szCs w:val="23"/>
          <w:lang w:val="en-US"/>
        </w:rPr>
      </w:pPr>
    </w:p>
    <w:p w:rsidR="00717518" w:rsidRDefault="00717518" w:rsidP="00552BC2">
      <w:pPr>
        <w:rPr>
          <w:sz w:val="23"/>
          <w:szCs w:val="23"/>
          <w:lang w:val="en-US"/>
        </w:rPr>
      </w:pPr>
    </w:p>
    <w:p w:rsidR="00717518" w:rsidRDefault="00717518" w:rsidP="00552BC2">
      <w:pPr>
        <w:rPr>
          <w:sz w:val="23"/>
          <w:szCs w:val="23"/>
          <w:lang w:val="en-US"/>
        </w:rPr>
      </w:pPr>
    </w:p>
    <w:p w:rsidR="0076494E" w:rsidRPr="00951AC5" w:rsidRDefault="0076494E" w:rsidP="00552BC2">
      <w:pPr>
        <w:rPr>
          <w:lang w:val="en-US"/>
        </w:rPr>
      </w:pPr>
    </w:p>
    <w:p w:rsidR="0076494E" w:rsidRPr="00887B58" w:rsidRDefault="0076494E" w:rsidP="00552BC2">
      <w:pPr>
        <w:rPr>
          <w:lang w:val="en-US"/>
        </w:rPr>
      </w:pPr>
    </w:p>
    <w:sectPr w:rsidR="0076494E" w:rsidRPr="00887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C2"/>
    <w:rsid w:val="0006329E"/>
    <w:rsid w:val="000A07D5"/>
    <w:rsid w:val="000A5C6B"/>
    <w:rsid w:val="00185541"/>
    <w:rsid w:val="001C5A79"/>
    <w:rsid w:val="001F6DD7"/>
    <w:rsid w:val="00271C3E"/>
    <w:rsid w:val="0030726C"/>
    <w:rsid w:val="00350BFF"/>
    <w:rsid w:val="003D4C54"/>
    <w:rsid w:val="003F535A"/>
    <w:rsid w:val="004F0593"/>
    <w:rsid w:val="0052038E"/>
    <w:rsid w:val="00552BC2"/>
    <w:rsid w:val="00556ADA"/>
    <w:rsid w:val="005833AC"/>
    <w:rsid w:val="00616862"/>
    <w:rsid w:val="006306AE"/>
    <w:rsid w:val="006315CE"/>
    <w:rsid w:val="00717518"/>
    <w:rsid w:val="007257E5"/>
    <w:rsid w:val="0076494E"/>
    <w:rsid w:val="007760A0"/>
    <w:rsid w:val="00791AAE"/>
    <w:rsid w:val="00861855"/>
    <w:rsid w:val="00887B58"/>
    <w:rsid w:val="008C5D9A"/>
    <w:rsid w:val="00951AC5"/>
    <w:rsid w:val="009E081A"/>
    <w:rsid w:val="00A07BE0"/>
    <w:rsid w:val="00A47510"/>
    <w:rsid w:val="00AC6E08"/>
    <w:rsid w:val="00B649B8"/>
    <w:rsid w:val="00CE7BC6"/>
    <w:rsid w:val="00D1021D"/>
    <w:rsid w:val="00E86F8A"/>
    <w:rsid w:val="00EA194A"/>
    <w:rsid w:val="00F4556B"/>
    <w:rsid w:val="00F46C9C"/>
    <w:rsid w:val="00F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AB"/>
    <w:rPr>
      <w:rFonts w:ascii="Tahoma" w:eastAsia="Times New Roman" w:hAnsi="Tahoma" w:cs="Tahoma"/>
      <w:sz w:val="16"/>
      <w:szCs w:val="16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CE7BC6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AB"/>
    <w:rPr>
      <w:rFonts w:ascii="Tahoma" w:eastAsia="Times New Roman" w:hAnsi="Tahoma" w:cs="Tahoma"/>
      <w:sz w:val="16"/>
      <w:szCs w:val="16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CE7BC6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AF2F2E33.dotm</Template>
  <TotalTime>371</TotalTime>
  <Pages>9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Casini</dc:creator>
  <cp:lastModifiedBy>Michele Casini</cp:lastModifiedBy>
  <cp:revision>30</cp:revision>
  <dcterms:created xsi:type="dcterms:W3CDTF">2016-05-29T07:18:00Z</dcterms:created>
  <dcterms:modified xsi:type="dcterms:W3CDTF">2016-09-22T21:33:00Z</dcterms:modified>
</cp:coreProperties>
</file>