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8A" w:rsidRPr="00245FB3" w:rsidRDefault="00CE298A" w:rsidP="00CE298A">
      <w:pPr>
        <w:keepNext/>
        <w:outlineLvl w:val="5"/>
        <w:rPr>
          <w:b/>
          <w:bCs/>
          <w:sz w:val="28"/>
          <w:szCs w:val="28"/>
        </w:rPr>
      </w:pPr>
      <w:r>
        <w:rPr>
          <w:b/>
          <w:sz w:val="28"/>
          <w:szCs w:val="28"/>
        </w:rPr>
        <w:t>Supplement</w:t>
      </w:r>
      <w:r w:rsidR="00050175">
        <w:rPr>
          <w:b/>
          <w:sz w:val="28"/>
          <w:szCs w:val="28"/>
        </w:rPr>
        <w:t xml:space="preserve"> 1</w:t>
      </w:r>
      <w:r>
        <w:rPr>
          <w:b/>
          <w:sz w:val="28"/>
          <w:szCs w:val="28"/>
        </w:rPr>
        <w:t xml:space="preserve">: </w:t>
      </w:r>
      <w:r w:rsidRPr="00245FB3">
        <w:rPr>
          <w:b/>
          <w:bCs/>
          <w:sz w:val="28"/>
          <w:szCs w:val="28"/>
        </w:rPr>
        <w:t>A Heuristic Model of Alcohol Dependence</w:t>
      </w:r>
    </w:p>
    <w:p w:rsidR="00CE298A" w:rsidRDefault="00CE298A" w:rsidP="00CE298A">
      <w:pPr>
        <w:keepNext/>
        <w:outlineLvl w:val="5"/>
        <w:rPr>
          <w:b/>
          <w:sz w:val="24"/>
          <w:lang w:val="de-DE"/>
        </w:rPr>
      </w:pPr>
    </w:p>
    <w:p w:rsidR="00CE298A" w:rsidRPr="00B57A70" w:rsidRDefault="00CE298A" w:rsidP="00CE298A">
      <w:pPr>
        <w:keepNext/>
        <w:outlineLvl w:val="5"/>
        <w:rPr>
          <w:b/>
          <w:sz w:val="24"/>
        </w:rPr>
      </w:pPr>
      <w:r w:rsidRPr="00B57A70">
        <w:rPr>
          <w:b/>
          <w:sz w:val="24"/>
          <w:lang w:val="de-DE"/>
        </w:rPr>
        <w:t>Zhen Qi, Felix Tretter, Eberhard O. Voit</w:t>
      </w:r>
    </w:p>
    <w:p w:rsidR="00CE298A" w:rsidRPr="003B7116" w:rsidRDefault="00CE298A" w:rsidP="00CE298A">
      <w:pPr>
        <w:keepNext/>
        <w:outlineLvl w:val="5"/>
        <w:rPr>
          <w:b/>
          <w:sz w:val="28"/>
          <w:szCs w:val="28"/>
        </w:rPr>
      </w:pPr>
    </w:p>
    <w:p w:rsidR="00050175" w:rsidRDefault="00050175" w:rsidP="00CE298A">
      <w:pPr>
        <w:spacing w:line="360" w:lineRule="auto"/>
        <w:rPr>
          <w:b/>
          <w:bCs/>
          <w:sz w:val="24"/>
        </w:rPr>
      </w:pPr>
    </w:p>
    <w:p w:rsidR="00CE298A" w:rsidRDefault="00CE298A" w:rsidP="00CE298A">
      <w:pPr>
        <w:spacing w:line="360" w:lineRule="auto"/>
        <w:rPr>
          <w:b/>
          <w:bCs/>
          <w:sz w:val="24"/>
        </w:rPr>
      </w:pPr>
      <w:r>
        <w:rPr>
          <w:b/>
          <w:bCs/>
          <w:sz w:val="24"/>
        </w:rPr>
        <w:t>Definition of functional weights</w:t>
      </w:r>
    </w:p>
    <w:p w:rsidR="00CE298A" w:rsidRPr="00CE298A" w:rsidRDefault="00CE298A" w:rsidP="00CE298A">
      <w:pPr>
        <w:spacing w:line="360" w:lineRule="auto"/>
        <w:rPr>
          <w:b/>
          <w:bCs/>
          <w:sz w:val="24"/>
        </w:rPr>
      </w:pPr>
      <w:r>
        <w:rPr>
          <w:rFonts w:cs="Arial"/>
          <w:sz w:val="24"/>
          <w:szCs w:val="22"/>
        </w:rPr>
        <w:t>Conceptually, the functional weight</w:t>
      </w:r>
      <w:r w:rsidR="00596789">
        <w:rPr>
          <w:rFonts w:cs="Arial"/>
          <w:sz w:val="24"/>
          <w:szCs w:val="22"/>
        </w:rPr>
        <w:t>s</w:t>
      </w:r>
      <w:r w:rsidRPr="001A13DC">
        <w:rPr>
          <w:rFonts w:cs="Arial"/>
          <w:sz w:val="24"/>
          <w:szCs w:val="22"/>
        </w:rPr>
        <w:t xml:space="preserve"> </w:t>
      </w:r>
      <w:r w:rsidR="00596789">
        <w:rPr>
          <w:rFonts w:cs="Arial"/>
          <w:sz w:val="24"/>
          <w:szCs w:val="22"/>
        </w:rPr>
        <w:t>determine</w:t>
      </w:r>
      <w:r w:rsidRPr="001A13DC">
        <w:rPr>
          <w:rFonts w:cs="Arial"/>
          <w:sz w:val="24"/>
          <w:szCs w:val="22"/>
        </w:rPr>
        <w:t xml:space="preserve"> how the neurotransmitter system is balanced during health or off balance if it is perturbed by</w:t>
      </w:r>
      <w:r>
        <w:rPr>
          <w:rFonts w:cs="Arial"/>
          <w:sz w:val="24"/>
          <w:szCs w:val="22"/>
        </w:rPr>
        <w:t xml:space="preserve"> external factors, such as</w:t>
      </w:r>
      <w:r w:rsidRPr="001A13DC">
        <w:rPr>
          <w:rFonts w:cs="Arial"/>
          <w:sz w:val="24"/>
          <w:szCs w:val="22"/>
        </w:rPr>
        <w:t xml:space="preserve"> substance abuse. </w:t>
      </w:r>
      <w:r>
        <w:rPr>
          <w:rFonts w:cs="Arial"/>
          <w:sz w:val="24"/>
          <w:szCs w:val="22"/>
        </w:rPr>
        <w:t>So far</w:t>
      </w:r>
      <w:r w:rsidRPr="00603552">
        <w:rPr>
          <w:rFonts w:cs="Arial"/>
          <w:sz w:val="24"/>
          <w:szCs w:val="22"/>
        </w:rPr>
        <w:t>, no targeted study has shed light on th</w:t>
      </w:r>
      <w:r>
        <w:rPr>
          <w:rFonts w:cs="Arial"/>
          <w:sz w:val="24"/>
          <w:szCs w:val="22"/>
        </w:rPr>
        <w:t xml:space="preserve">e </w:t>
      </w:r>
      <w:r w:rsidRPr="008D5ECA">
        <w:rPr>
          <w:rFonts w:cs="Arial"/>
          <w:sz w:val="24"/>
          <w:szCs w:val="22"/>
        </w:rPr>
        <w:t>quantification of relative functional weights</w:t>
      </w:r>
      <w:r w:rsidRPr="00603552">
        <w:rPr>
          <w:rFonts w:cs="Arial"/>
          <w:sz w:val="24"/>
          <w:szCs w:val="22"/>
        </w:rPr>
        <w:t xml:space="preserve">, </w:t>
      </w:r>
      <w:r>
        <w:rPr>
          <w:rFonts w:cs="Arial"/>
          <w:sz w:val="24"/>
          <w:szCs w:val="22"/>
        </w:rPr>
        <w:t>and a</w:t>
      </w:r>
      <w:r w:rsidRPr="001A13DC">
        <w:rPr>
          <w:rFonts w:cs="Arial"/>
          <w:sz w:val="24"/>
          <w:szCs w:val="22"/>
        </w:rPr>
        <w:t xml:space="preserve"> firm definition </w:t>
      </w:r>
      <w:r>
        <w:rPr>
          <w:rFonts w:cs="Arial"/>
          <w:sz w:val="24"/>
          <w:szCs w:val="22"/>
        </w:rPr>
        <w:t>of t</w:t>
      </w:r>
      <w:r w:rsidRPr="001A13DC">
        <w:rPr>
          <w:rFonts w:cs="Arial"/>
          <w:sz w:val="24"/>
          <w:szCs w:val="22"/>
        </w:rPr>
        <w:t xml:space="preserve">he </w:t>
      </w:r>
      <w:r>
        <w:rPr>
          <w:rFonts w:cs="Arial"/>
          <w:sz w:val="24"/>
          <w:szCs w:val="22"/>
        </w:rPr>
        <w:t>term “</w:t>
      </w:r>
      <w:r w:rsidRPr="001A13DC">
        <w:rPr>
          <w:rFonts w:cs="Arial"/>
          <w:sz w:val="24"/>
          <w:szCs w:val="22"/>
        </w:rPr>
        <w:t>functional weight</w:t>
      </w:r>
      <w:r>
        <w:rPr>
          <w:rFonts w:cs="Arial"/>
          <w:sz w:val="24"/>
          <w:szCs w:val="22"/>
        </w:rPr>
        <w:t>”</w:t>
      </w:r>
      <w:r w:rsidRPr="001A13DC">
        <w:rPr>
          <w:rFonts w:cs="Arial"/>
          <w:sz w:val="24"/>
          <w:szCs w:val="22"/>
        </w:rPr>
        <w:t xml:space="preserve"> </w:t>
      </w:r>
      <w:r>
        <w:rPr>
          <w:rFonts w:cs="Arial"/>
          <w:sz w:val="24"/>
          <w:szCs w:val="22"/>
        </w:rPr>
        <w:t>has not yet been established</w:t>
      </w:r>
      <w:r w:rsidRPr="001A13DC">
        <w:rPr>
          <w:rFonts w:cs="Arial"/>
          <w:sz w:val="24"/>
          <w:szCs w:val="22"/>
        </w:rPr>
        <w:t>.</w:t>
      </w:r>
      <w:r>
        <w:rPr>
          <w:rFonts w:cs="Arial"/>
          <w:sz w:val="24"/>
          <w:szCs w:val="22"/>
        </w:rPr>
        <w:t xml:space="preserve"> </w:t>
      </w:r>
      <w:r w:rsidRPr="008D5ECA">
        <w:rPr>
          <w:rFonts w:cs="Arial"/>
          <w:sz w:val="24"/>
          <w:szCs w:val="22"/>
        </w:rPr>
        <w:t xml:space="preserve">One </w:t>
      </w:r>
      <w:r>
        <w:rPr>
          <w:rFonts w:cs="Arial"/>
          <w:sz w:val="24"/>
          <w:szCs w:val="22"/>
        </w:rPr>
        <w:t xml:space="preserve">challenge for </w:t>
      </w:r>
      <w:r w:rsidRPr="00603552">
        <w:rPr>
          <w:rFonts w:cs="Arial"/>
          <w:sz w:val="24"/>
          <w:szCs w:val="22"/>
        </w:rPr>
        <w:t>th</w:t>
      </w:r>
      <w:r>
        <w:rPr>
          <w:rFonts w:cs="Arial"/>
          <w:sz w:val="24"/>
          <w:szCs w:val="22"/>
        </w:rPr>
        <w:t xml:space="preserve">e </w:t>
      </w:r>
      <w:r w:rsidRPr="008D5ECA">
        <w:rPr>
          <w:rFonts w:cs="Arial"/>
          <w:sz w:val="24"/>
          <w:szCs w:val="22"/>
        </w:rPr>
        <w:t>quantification of relative functional weights</w:t>
      </w:r>
      <w:r>
        <w:rPr>
          <w:rFonts w:cs="Arial"/>
          <w:sz w:val="24"/>
          <w:szCs w:val="22"/>
        </w:rPr>
        <w:t xml:space="preserve"> is</w:t>
      </w:r>
      <w:r w:rsidRPr="008D5ECA">
        <w:rPr>
          <w:rFonts w:cs="Arial"/>
          <w:sz w:val="24"/>
          <w:szCs w:val="22"/>
        </w:rPr>
        <w:t xml:space="preserve"> that </w:t>
      </w:r>
      <w:r>
        <w:rPr>
          <w:rFonts w:cs="Arial"/>
          <w:sz w:val="24"/>
          <w:szCs w:val="22"/>
        </w:rPr>
        <w:t xml:space="preserve">it is not known whether </w:t>
      </w:r>
      <w:r w:rsidRPr="008D5ECA">
        <w:rPr>
          <w:rFonts w:cs="Arial"/>
          <w:sz w:val="24"/>
          <w:szCs w:val="22"/>
        </w:rPr>
        <w:t>each disease phenomenon</w:t>
      </w:r>
      <w:r>
        <w:rPr>
          <w:rFonts w:cs="Arial"/>
          <w:sz w:val="24"/>
          <w:szCs w:val="22"/>
        </w:rPr>
        <w:t xml:space="preserve"> (</w:t>
      </w:r>
      <w:r w:rsidRPr="00E7769E">
        <w:rPr>
          <w:rFonts w:cs="Arial"/>
          <w:i/>
          <w:sz w:val="24"/>
          <w:szCs w:val="22"/>
        </w:rPr>
        <w:t>e.g.</w:t>
      </w:r>
      <w:r>
        <w:rPr>
          <w:rFonts w:cs="Arial"/>
          <w:sz w:val="24"/>
          <w:szCs w:val="22"/>
        </w:rPr>
        <w:t>, alcohol withdrawal)</w:t>
      </w:r>
      <w:r w:rsidRPr="008D5ECA">
        <w:rPr>
          <w:rFonts w:cs="Arial"/>
          <w:sz w:val="24"/>
          <w:szCs w:val="22"/>
        </w:rPr>
        <w:t xml:space="preserve"> may require its own </w:t>
      </w:r>
      <w:r>
        <w:rPr>
          <w:rFonts w:cs="Arial"/>
          <w:sz w:val="24"/>
          <w:szCs w:val="22"/>
        </w:rPr>
        <w:t xml:space="preserve">specific </w:t>
      </w:r>
      <w:r w:rsidRPr="008D5ECA">
        <w:rPr>
          <w:rFonts w:cs="Arial"/>
          <w:sz w:val="24"/>
          <w:szCs w:val="22"/>
        </w:rPr>
        <w:t>quantification.</w:t>
      </w:r>
    </w:p>
    <w:p w:rsidR="00CE298A" w:rsidRDefault="00CE298A" w:rsidP="00CE298A">
      <w:pPr>
        <w:spacing w:line="360" w:lineRule="auto"/>
        <w:ind w:firstLine="418"/>
        <w:rPr>
          <w:sz w:val="24"/>
          <w:lang w:val="en-GB"/>
        </w:rPr>
      </w:pPr>
      <w:r>
        <w:rPr>
          <w:rFonts w:cs="Arial"/>
          <w:sz w:val="24"/>
          <w:szCs w:val="22"/>
        </w:rPr>
        <w:t xml:space="preserve">The most intuitive </w:t>
      </w:r>
      <w:r w:rsidRPr="002C5444">
        <w:rPr>
          <w:rFonts w:cs="Arial"/>
          <w:sz w:val="24"/>
          <w:szCs w:val="22"/>
        </w:rPr>
        <w:t xml:space="preserve">definition </w:t>
      </w:r>
      <w:r>
        <w:rPr>
          <w:rFonts w:cs="Arial"/>
          <w:sz w:val="24"/>
          <w:szCs w:val="22"/>
        </w:rPr>
        <w:t>is</w:t>
      </w:r>
      <w:r w:rsidRPr="002C5444">
        <w:rPr>
          <w:rFonts w:cs="Arial"/>
          <w:sz w:val="24"/>
          <w:szCs w:val="22"/>
        </w:rPr>
        <w:t xml:space="preserve"> </w:t>
      </w:r>
      <w:r>
        <w:rPr>
          <w:rFonts w:cs="Arial"/>
          <w:sz w:val="24"/>
          <w:szCs w:val="22"/>
        </w:rPr>
        <w:t>direct</w:t>
      </w:r>
      <w:r w:rsidRPr="002C5444">
        <w:rPr>
          <w:rFonts w:cs="Arial"/>
          <w:sz w:val="24"/>
          <w:szCs w:val="22"/>
        </w:rPr>
        <w:t xml:space="preserve">ly based on the concentration profile of </w:t>
      </w:r>
      <w:r>
        <w:rPr>
          <w:rFonts w:cs="Arial"/>
          <w:sz w:val="24"/>
          <w:szCs w:val="22"/>
        </w:rPr>
        <w:t xml:space="preserve">the involved </w:t>
      </w:r>
      <w:r w:rsidRPr="002C5444">
        <w:rPr>
          <w:rFonts w:cs="Arial"/>
          <w:sz w:val="24"/>
          <w:szCs w:val="22"/>
        </w:rPr>
        <w:t xml:space="preserve">neurotransmitters. </w:t>
      </w:r>
      <w:r>
        <w:rPr>
          <w:rFonts w:cs="Arial"/>
          <w:sz w:val="24"/>
          <w:szCs w:val="22"/>
        </w:rPr>
        <w:t>T</w:t>
      </w:r>
      <w:r w:rsidRPr="00E80F27">
        <w:rPr>
          <w:rFonts w:cs="Arial"/>
          <w:sz w:val="24"/>
          <w:szCs w:val="22"/>
        </w:rPr>
        <w:t>he</w:t>
      </w:r>
      <w:r>
        <w:rPr>
          <w:rFonts w:cs="Arial"/>
          <w:sz w:val="24"/>
          <w:szCs w:val="22"/>
        </w:rPr>
        <w:t>se</w:t>
      </w:r>
      <w:r w:rsidRPr="00E80F27">
        <w:rPr>
          <w:rFonts w:cs="Arial"/>
          <w:sz w:val="24"/>
          <w:szCs w:val="22"/>
        </w:rPr>
        <w:t xml:space="preserve"> concentrations by and large determine the intensity of </w:t>
      </w:r>
      <w:r>
        <w:rPr>
          <w:rFonts w:cs="Arial"/>
          <w:sz w:val="24"/>
          <w:szCs w:val="22"/>
        </w:rPr>
        <w:t xml:space="preserve">input </w:t>
      </w:r>
      <w:r w:rsidRPr="00E80F27">
        <w:rPr>
          <w:rFonts w:cs="Arial"/>
          <w:sz w:val="24"/>
          <w:szCs w:val="22"/>
        </w:rPr>
        <w:t>signal</w:t>
      </w:r>
      <w:r>
        <w:rPr>
          <w:rFonts w:cs="Arial"/>
          <w:sz w:val="24"/>
          <w:szCs w:val="22"/>
        </w:rPr>
        <w:t>s, because</w:t>
      </w:r>
      <w:r w:rsidRPr="002C5444">
        <w:rPr>
          <w:rFonts w:cs="Arial"/>
          <w:sz w:val="24"/>
          <w:szCs w:val="22"/>
        </w:rPr>
        <w:t xml:space="preserve"> neurotransmitters bind to their receptors in</w:t>
      </w:r>
      <w:r>
        <w:rPr>
          <w:rFonts w:cs="Arial"/>
          <w:sz w:val="24"/>
          <w:szCs w:val="22"/>
        </w:rPr>
        <w:t xml:space="preserve"> the process of</w:t>
      </w:r>
      <w:r w:rsidRPr="002C5444">
        <w:rPr>
          <w:rFonts w:cs="Arial"/>
          <w:sz w:val="24"/>
          <w:szCs w:val="22"/>
        </w:rPr>
        <w:t xml:space="preserve"> transduc</w:t>
      </w:r>
      <w:r>
        <w:rPr>
          <w:rFonts w:cs="Arial"/>
          <w:sz w:val="24"/>
          <w:szCs w:val="22"/>
        </w:rPr>
        <w:t>ing</w:t>
      </w:r>
      <w:r w:rsidRPr="002C5444">
        <w:rPr>
          <w:rFonts w:cs="Arial"/>
          <w:sz w:val="24"/>
          <w:szCs w:val="22"/>
        </w:rPr>
        <w:t xml:space="preserve"> information</w:t>
      </w:r>
      <w:r>
        <w:rPr>
          <w:rFonts w:cs="Arial"/>
          <w:sz w:val="24"/>
          <w:szCs w:val="22"/>
        </w:rPr>
        <w:t>.</w:t>
      </w:r>
      <w:r w:rsidRPr="002C5444">
        <w:rPr>
          <w:rFonts w:cs="Arial"/>
          <w:sz w:val="24"/>
          <w:szCs w:val="22"/>
        </w:rPr>
        <w:t xml:space="preserve"> However, this direct assessment might be somewhat </w:t>
      </w:r>
      <w:r>
        <w:rPr>
          <w:rFonts w:cs="Arial"/>
          <w:sz w:val="24"/>
          <w:szCs w:val="22"/>
        </w:rPr>
        <w:t>too simplistic,</w:t>
      </w:r>
      <w:r w:rsidRPr="006E486E">
        <w:rPr>
          <w:rFonts w:cs="Arial"/>
          <w:sz w:val="24"/>
          <w:szCs w:val="22"/>
        </w:rPr>
        <w:t xml:space="preserve"> </w:t>
      </w:r>
      <w:r w:rsidRPr="002C5444">
        <w:rPr>
          <w:rFonts w:cs="Arial"/>
          <w:sz w:val="24"/>
          <w:szCs w:val="22"/>
        </w:rPr>
        <w:t>and therefore require</w:t>
      </w:r>
      <w:r>
        <w:rPr>
          <w:rFonts w:cs="Arial"/>
          <w:sz w:val="24"/>
          <w:szCs w:val="22"/>
        </w:rPr>
        <w:t>s</w:t>
      </w:r>
      <w:r w:rsidRPr="002C5444">
        <w:rPr>
          <w:rFonts w:cs="Arial"/>
          <w:sz w:val="24"/>
          <w:szCs w:val="22"/>
        </w:rPr>
        <w:t xml:space="preserve"> caution. For instance, </w:t>
      </w:r>
      <w:r>
        <w:rPr>
          <w:rFonts w:cs="Arial"/>
          <w:sz w:val="24"/>
          <w:szCs w:val="22"/>
        </w:rPr>
        <w:t xml:space="preserve">different neurotransmitters have very different receptor redundancies and signal transduction mechanisms, and neurotransmitter concentrations may therefore not properly represent signal intensity after receptor binding and signal transduction pathway activation. Also, </w:t>
      </w:r>
      <w:r w:rsidRPr="002C5444">
        <w:rPr>
          <w:rFonts w:cs="Arial"/>
          <w:sz w:val="24"/>
          <w:szCs w:val="22"/>
        </w:rPr>
        <w:t xml:space="preserve">the concentrations of neurotransmitters in </w:t>
      </w:r>
      <w:r>
        <w:rPr>
          <w:rFonts w:cs="Arial"/>
          <w:sz w:val="24"/>
          <w:szCs w:val="22"/>
        </w:rPr>
        <w:t xml:space="preserve">the </w:t>
      </w:r>
      <w:r w:rsidRPr="002C5444">
        <w:rPr>
          <w:rFonts w:cs="Arial"/>
          <w:sz w:val="24"/>
          <w:szCs w:val="22"/>
        </w:rPr>
        <w:t xml:space="preserve">synaptic cleft differ greatly: Dopamine is found at the </w:t>
      </w:r>
      <w:proofErr w:type="spellStart"/>
      <w:r w:rsidRPr="002C5444">
        <w:rPr>
          <w:rFonts w:cs="Arial"/>
          <w:i/>
          <w:sz w:val="24"/>
          <w:szCs w:val="22"/>
        </w:rPr>
        <w:t>nM</w:t>
      </w:r>
      <w:proofErr w:type="spellEnd"/>
      <w:r w:rsidRPr="002C5444">
        <w:rPr>
          <w:rFonts w:cs="Arial"/>
          <w:sz w:val="24"/>
          <w:szCs w:val="22"/>
        </w:rPr>
        <w:t xml:space="preserve"> scale </w:t>
      </w:r>
      <w:r>
        <w:rPr>
          <w:rFonts w:cs="Arial"/>
          <w:sz w:val="24"/>
          <w:szCs w:val="22"/>
        </w:rPr>
        <w:fldChar w:fldCharType="begin"/>
      </w:r>
      <w:r>
        <w:rPr>
          <w:rFonts w:cs="Arial"/>
          <w:sz w:val="24"/>
          <w:szCs w:val="22"/>
        </w:rPr>
        <w:instrText xml:space="preserve"> ADDIN EN.CITE &lt;EndNote&gt;&lt;Cite&gt;&lt;Author&gt;Church&lt;/Author&gt;&lt;Year&gt;1987&lt;/Year&gt;&lt;RecNum&gt;191&lt;/RecNum&gt;&lt;DisplayText&gt;[29]&lt;/DisplayText&gt;&lt;record&gt;&lt;rec-number&gt;191&lt;/rec-number&gt;&lt;foreign-keys&gt;&lt;key app="EN" db-id="pwtxv2tsi5z9eue9fe7ve52qvtdxfeex2p02"&gt;191&lt;/key&gt;&lt;/foreign-keys&gt;&lt;ref-type name="Journal Article"&gt;17&lt;/ref-type&gt;&lt;contributors&gt;&lt;authors&gt;&lt;author&gt;Church, W. H.&lt;/author&gt;&lt;author&gt;Justice, J. B., Jr.&lt;/author&gt;&lt;author&gt;Byrd, L. D.&lt;/author&gt;&lt;/authors&gt;&lt;/contributors&gt;&lt;auth-address&gt;Department of Chemistry, Emory University, Atlanta, GA 30322.&lt;/auth-address&gt;&lt;titles&gt;&lt;title&gt;Extracellular dopamine in rat striatum following uptake inhibition by cocaine, nomifensine and benztropine&lt;/title&gt;&lt;secondary-title&gt;Eur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345-8&lt;/pages&gt;&lt;volume&gt;139&lt;/volume&gt;&lt;number&gt;3&lt;/number&gt;&lt;edition&gt;1987/07/23&lt;/edition&gt;&lt;keywords&gt;&lt;keyword&gt;Animals&lt;/keyword&gt;&lt;keyword&gt;Benztropine/*pharmacology&lt;/keyword&gt;&lt;keyword&gt;Cocaine/*pharmacology&lt;/keyword&gt;&lt;keyword&gt;Corpus Striatum/drug effects/*metabolism&lt;/keyword&gt;&lt;keyword&gt;Dopamine/*metabolism&lt;/keyword&gt;&lt;keyword&gt;Extracellular Space/metabolism&lt;/keyword&gt;&lt;keyword&gt;Male&lt;/keyword&gt;&lt;keyword&gt;Nomifensine/*pharmacology&lt;/keyword&gt;&lt;keyword&gt;Rats&lt;/keyword&gt;&lt;keyword&gt;Rats, Inbred Strains&lt;/keyword&gt;&lt;keyword&gt;Time Factors&lt;/keyword&gt;&lt;keyword&gt;Tropanes/*pharmacology&lt;/keyword&gt;&lt;/keywords&gt;&lt;dates&gt;&lt;year&gt;1987&lt;/year&gt;&lt;pub-dates&gt;&lt;date&gt;Jul 23&lt;/date&gt;&lt;/pub-dates&gt;&lt;/dates&gt;&lt;isbn&gt;0014-2999 (Print)&amp;#xD;0014-2999 (Linking)&lt;/isbn&gt;&lt;accession-num&gt;3666010&lt;/accession-num&gt;&lt;work-type&gt;Research Support, U.S. Gov&amp;apos;t, Non-P.H.S.&amp;#xD;Research Support, U.S. Gov&amp;apos;t, P.H.S.&lt;/work-type&gt;&lt;urls&gt;&lt;related-urls&gt;&lt;url&gt;http://www.ncbi.nlm.nih.gov/pubmed/3666010&lt;/url&gt;&lt;/related-urls&gt;&lt;/urls&gt;&lt;language&gt;eng&lt;/language&gt;&lt;/record&gt;&lt;/Cite&gt;&lt;/EndNote&gt;</w:instrText>
      </w:r>
      <w:r>
        <w:rPr>
          <w:rFonts w:cs="Arial"/>
          <w:sz w:val="24"/>
          <w:szCs w:val="22"/>
        </w:rPr>
        <w:fldChar w:fldCharType="separate"/>
      </w:r>
      <w:r>
        <w:rPr>
          <w:rFonts w:cs="Arial"/>
          <w:noProof/>
          <w:sz w:val="24"/>
          <w:szCs w:val="22"/>
        </w:rPr>
        <w:t>[</w:t>
      </w:r>
      <w:hyperlink w:anchor="_ENREF_29" w:tooltip="Church, 1987 #191" w:history="1">
        <w:r>
          <w:rPr>
            <w:rFonts w:cs="Arial"/>
            <w:noProof/>
            <w:sz w:val="24"/>
            <w:szCs w:val="22"/>
          </w:rPr>
          <w:t>29</w:t>
        </w:r>
      </w:hyperlink>
      <w:r>
        <w:rPr>
          <w:rFonts w:cs="Arial"/>
          <w:noProof/>
          <w:sz w:val="24"/>
          <w:szCs w:val="22"/>
        </w:rPr>
        <w:t>]</w:t>
      </w:r>
      <w:r>
        <w:rPr>
          <w:rFonts w:cs="Arial"/>
          <w:sz w:val="24"/>
          <w:szCs w:val="22"/>
        </w:rPr>
        <w:fldChar w:fldCharType="end"/>
      </w:r>
      <w:r>
        <w:rPr>
          <w:rFonts w:cs="Arial"/>
          <w:sz w:val="24"/>
          <w:szCs w:val="22"/>
        </w:rPr>
        <w:t xml:space="preserve">, </w:t>
      </w:r>
      <w:r w:rsidRPr="002C5444">
        <w:rPr>
          <w:rFonts w:cs="Arial"/>
          <w:sz w:val="24"/>
          <w:szCs w:val="22"/>
        </w:rPr>
        <w:t xml:space="preserve">while </w:t>
      </w:r>
      <w:r>
        <w:rPr>
          <w:rFonts w:cs="Arial"/>
          <w:sz w:val="24"/>
          <w:szCs w:val="22"/>
        </w:rPr>
        <w:t xml:space="preserve">the concentration of </w:t>
      </w:r>
      <w:r w:rsidRPr="002C5444">
        <w:rPr>
          <w:rFonts w:cs="Arial"/>
          <w:sz w:val="24"/>
          <w:szCs w:val="22"/>
        </w:rPr>
        <w:t xml:space="preserve">glutamate, at the </w:t>
      </w:r>
      <w:r w:rsidRPr="002C5444">
        <w:rPr>
          <w:rFonts w:cs="Arial"/>
          <w:i/>
          <w:sz w:val="24"/>
          <w:szCs w:val="22"/>
        </w:rPr>
        <w:t>µM</w:t>
      </w:r>
      <w:r w:rsidRPr="002C5444">
        <w:rPr>
          <w:rFonts w:cs="Arial"/>
          <w:sz w:val="24"/>
          <w:szCs w:val="22"/>
        </w:rPr>
        <w:t xml:space="preserve"> scale, is several orders of magnitude higher</w:t>
      </w:r>
      <w:r>
        <w:rPr>
          <w:rFonts w:cs="Arial"/>
          <w:sz w:val="24"/>
          <w:szCs w:val="22"/>
        </w:rPr>
        <w:t xml:space="preserve"> </w:t>
      </w:r>
      <w:r>
        <w:rPr>
          <w:rFonts w:cs="Arial"/>
          <w:sz w:val="24"/>
          <w:szCs w:val="22"/>
        </w:rPr>
        <w:fldChar w:fldCharType="begin"/>
      </w:r>
      <w:r>
        <w:rPr>
          <w:rFonts w:cs="Arial"/>
          <w:sz w:val="24"/>
          <w:szCs w:val="22"/>
        </w:rPr>
        <w:instrText xml:space="preserve"> ADDIN EN.CITE &lt;EndNote&gt;&lt;Cite&gt;&lt;Author&gt;Meldrum&lt;/Author&gt;&lt;Year&gt;2000&lt;/Year&gt;&lt;RecNum&gt;168&lt;/RecNum&gt;&lt;DisplayText&gt;[30]&lt;/DisplayText&gt;&lt;record&gt;&lt;rec-number&gt;168&lt;/rec-number&gt;&lt;foreign-keys&gt;&lt;key app="EN" db-id="pwtxv2tsi5z9eue9fe7ve52qvtdxfeex2p02"&gt;168&lt;/key&gt;&lt;/foreign-keys&gt;&lt;ref-type name="Journal Article"&gt;17&lt;/ref-type&gt;&lt;contributors&gt;&lt;authors&gt;&lt;author&gt;Meldrum, B. S.&lt;/author&gt;&lt;/authors&gt;&lt;/contributors&gt;&lt;auth-address&gt;Department of Clinical Neurosciences, Institute of Psychiatry, London, SE5 8AF, UK.&lt;/auth-address&gt;&lt;titles&gt;&lt;title&gt;Glutamate as a neurotransmitter in the brain: review of physiology and pathology&lt;/title&gt;&lt;secondary-title&gt;J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nutrition&lt;/abbr-1&gt;&lt;/alt-periodical&gt;&lt;pages&gt;1007S-15S&lt;/pages&gt;&lt;volume&gt;130&lt;/volume&gt;&lt;number&gt;4S Suppl&lt;/number&gt;&lt;edition&gt;2000/03/29&lt;/edition&gt;&lt;keywords&gt;&lt;keyword&gt;Animals&lt;/keyword&gt;&lt;keyword&gt;Brain/*physiology/physiopathology&lt;/keyword&gt;&lt;keyword&gt;Glutamic Acid/*physiology&lt;/keyword&gt;&lt;keyword&gt;Humans&lt;/keyword&gt;&lt;keyword&gt;Nerve Degeneration/physiopathology&lt;/keyword&gt;&lt;keyword&gt;Nervous System Diseases/drug therapy/physiopathology&lt;/keyword&gt;&lt;keyword&gt;Neurotransmitter Agents/*physiology&lt;/keyword&gt;&lt;keyword&gt;Reference Values&lt;/keyword&gt;&lt;/keywords&gt;&lt;dates&gt;&lt;year&gt;2000&lt;/year&gt;&lt;pub-dates&gt;&lt;date&gt;Apr&lt;/date&gt;&lt;/pub-dates&gt;&lt;/dates&gt;&lt;isbn&gt;0022-3166 (Print)&amp;#xD;0022-3166 (Linking)&lt;/isbn&gt;&lt;accession-num&gt;10736372&lt;/accession-num&gt;&lt;work-type&gt;Review&lt;/work-type&gt;&lt;urls&gt;&lt;related-urls&gt;&lt;url&gt;http://www.ncbi.nlm.nih.gov/pubmed/10736372&lt;/url&gt;&lt;/related-urls&gt;&lt;/urls&gt;&lt;language&gt;eng&lt;/language&gt;&lt;/record&gt;&lt;/Cite&gt;&lt;/EndNote&gt;</w:instrText>
      </w:r>
      <w:r>
        <w:rPr>
          <w:rFonts w:cs="Arial"/>
          <w:sz w:val="24"/>
          <w:szCs w:val="22"/>
        </w:rPr>
        <w:fldChar w:fldCharType="separate"/>
      </w:r>
      <w:r>
        <w:rPr>
          <w:rFonts w:cs="Arial"/>
          <w:noProof/>
          <w:sz w:val="24"/>
          <w:szCs w:val="22"/>
        </w:rPr>
        <w:t>[</w:t>
      </w:r>
      <w:hyperlink w:anchor="_ENREF_30" w:tooltip="Meldrum, 2000 #168" w:history="1">
        <w:r>
          <w:rPr>
            <w:rFonts w:cs="Arial"/>
            <w:noProof/>
            <w:sz w:val="24"/>
            <w:szCs w:val="22"/>
          </w:rPr>
          <w:t>30</w:t>
        </w:r>
      </w:hyperlink>
      <w:r>
        <w:rPr>
          <w:rFonts w:cs="Arial"/>
          <w:noProof/>
          <w:sz w:val="24"/>
          <w:szCs w:val="22"/>
        </w:rPr>
        <w:t>]</w:t>
      </w:r>
      <w:r>
        <w:rPr>
          <w:rFonts w:cs="Arial"/>
          <w:sz w:val="24"/>
          <w:szCs w:val="22"/>
        </w:rPr>
        <w:fldChar w:fldCharType="end"/>
      </w:r>
      <w:r w:rsidRPr="00FB1A28">
        <w:rPr>
          <w:rFonts w:cs="Arial"/>
          <w:sz w:val="24"/>
          <w:szCs w:val="22"/>
        </w:rPr>
        <w:t>.</w:t>
      </w:r>
      <w:r>
        <w:rPr>
          <w:rFonts w:cs="Arial"/>
          <w:sz w:val="24"/>
          <w:szCs w:val="22"/>
        </w:rPr>
        <w:t xml:space="preserve"> </w:t>
      </w:r>
      <w:r w:rsidRPr="00935C2F">
        <w:rPr>
          <w:rFonts w:cs="Arial"/>
          <w:sz w:val="24"/>
          <w:szCs w:val="22"/>
        </w:rPr>
        <w:t xml:space="preserve">If the concentrations in </w:t>
      </w:r>
      <w:r>
        <w:rPr>
          <w:rFonts w:cs="Arial"/>
          <w:sz w:val="24"/>
          <w:szCs w:val="22"/>
        </w:rPr>
        <w:t xml:space="preserve">the </w:t>
      </w:r>
      <w:r w:rsidRPr="00935C2F">
        <w:rPr>
          <w:rFonts w:cs="Arial"/>
          <w:sz w:val="24"/>
          <w:szCs w:val="22"/>
        </w:rPr>
        <w:t>synaptic cleft were used directly to represent relative function</w:t>
      </w:r>
      <w:r w:rsidR="00184A05">
        <w:rPr>
          <w:rFonts w:cs="Arial"/>
          <w:sz w:val="24"/>
          <w:szCs w:val="22"/>
        </w:rPr>
        <w:t>al</w:t>
      </w:r>
      <w:r w:rsidRPr="00935C2F">
        <w:rPr>
          <w:rFonts w:cs="Arial"/>
          <w:sz w:val="24"/>
          <w:szCs w:val="22"/>
        </w:rPr>
        <w:t xml:space="preserve"> </w:t>
      </w:r>
      <w:r>
        <w:rPr>
          <w:rFonts w:cs="Arial"/>
          <w:sz w:val="24"/>
          <w:szCs w:val="22"/>
        </w:rPr>
        <w:t>contributions</w:t>
      </w:r>
      <w:r w:rsidRPr="00935C2F">
        <w:rPr>
          <w:rFonts w:cs="Arial"/>
          <w:sz w:val="24"/>
          <w:szCs w:val="22"/>
        </w:rPr>
        <w:t xml:space="preserve">, </w:t>
      </w:r>
      <w:r>
        <w:rPr>
          <w:rFonts w:cs="Arial"/>
          <w:sz w:val="24"/>
          <w:szCs w:val="22"/>
        </w:rPr>
        <w:t>one</w:t>
      </w:r>
      <w:r w:rsidRPr="00935C2F">
        <w:rPr>
          <w:rFonts w:cs="Arial"/>
          <w:sz w:val="24"/>
          <w:szCs w:val="22"/>
        </w:rPr>
        <w:t xml:space="preserve"> </w:t>
      </w:r>
      <w:r>
        <w:rPr>
          <w:rFonts w:cs="Arial"/>
          <w:sz w:val="24"/>
          <w:szCs w:val="22"/>
        </w:rPr>
        <w:t>molecule</w:t>
      </w:r>
      <w:r w:rsidRPr="00935C2F">
        <w:rPr>
          <w:rFonts w:cs="Arial"/>
          <w:sz w:val="24"/>
          <w:szCs w:val="22"/>
        </w:rPr>
        <w:t xml:space="preserve"> of glutamate </w:t>
      </w:r>
      <w:r w:rsidRPr="00E40F00">
        <w:rPr>
          <w:rFonts w:cs="Arial"/>
          <w:sz w:val="24"/>
        </w:rPr>
        <w:t>would be functionally equivalent to thousands of dopamine molecules. Such a stark difference in effect may not always be an appropriate representation of functional contributions</w:t>
      </w:r>
      <w:r>
        <w:rPr>
          <w:sz w:val="24"/>
          <w:lang w:val="en-GB"/>
        </w:rPr>
        <w:t>.</w:t>
      </w:r>
    </w:p>
    <w:p w:rsidR="00CE298A" w:rsidRDefault="00CE298A" w:rsidP="00CE298A">
      <w:pPr>
        <w:spacing w:line="360" w:lineRule="auto"/>
        <w:ind w:firstLine="418"/>
        <w:rPr>
          <w:rFonts w:cs="Arial"/>
          <w:sz w:val="24"/>
          <w:szCs w:val="22"/>
        </w:rPr>
      </w:pPr>
      <w:r>
        <w:rPr>
          <w:rFonts w:cs="Arial"/>
          <w:sz w:val="24"/>
          <w:szCs w:val="22"/>
        </w:rPr>
        <w:t>Instead of using concentrations directly, we made</w:t>
      </w:r>
      <w:r w:rsidR="00184A05">
        <w:rPr>
          <w:rFonts w:cs="Arial"/>
          <w:sz w:val="24"/>
          <w:szCs w:val="22"/>
        </w:rPr>
        <w:t>,</w:t>
      </w:r>
      <w:r>
        <w:rPr>
          <w:rFonts w:cs="Arial"/>
          <w:sz w:val="24"/>
          <w:szCs w:val="22"/>
        </w:rPr>
        <w:t xml:space="preserve"> in the body of the paper</w:t>
      </w:r>
      <w:r w:rsidR="00184A05">
        <w:rPr>
          <w:rFonts w:cs="Arial"/>
          <w:sz w:val="24"/>
          <w:szCs w:val="22"/>
        </w:rPr>
        <w:t>,</w:t>
      </w:r>
      <w:r>
        <w:rPr>
          <w:rFonts w:cs="Arial"/>
          <w:sz w:val="24"/>
          <w:szCs w:val="22"/>
        </w:rPr>
        <w:t xml:space="preserve"> the assumption</w:t>
      </w:r>
      <w:r w:rsidRPr="008B52F5">
        <w:rPr>
          <w:rFonts w:cs="Arial"/>
          <w:sz w:val="24"/>
          <w:szCs w:val="22"/>
        </w:rPr>
        <w:t xml:space="preserve"> that the neurotransmitters</w:t>
      </w:r>
      <w:r>
        <w:rPr>
          <w:rFonts w:cs="Arial"/>
          <w:sz w:val="24"/>
          <w:szCs w:val="22"/>
        </w:rPr>
        <w:t xml:space="preserve"> </w:t>
      </w:r>
      <w:r w:rsidRPr="008B52F5">
        <w:rPr>
          <w:rFonts w:cs="Arial"/>
          <w:sz w:val="24"/>
          <w:szCs w:val="22"/>
        </w:rPr>
        <w:t xml:space="preserve">have </w:t>
      </w:r>
      <w:r>
        <w:rPr>
          <w:rFonts w:cs="Arial"/>
          <w:sz w:val="24"/>
          <w:szCs w:val="22"/>
        </w:rPr>
        <w:t>comparable</w:t>
      </w:r>
      <w:r w:rsidRPr="008B52F5">
        <w:rPr>
          <w:rFonts w:cs="Arial"/>
          <w:sz w:val="24"/>
          <w:szCs w:val="22"/>
        </w:rPr>
        <w:t xml:space="preserve"> </w:t>
      </w:r>
      <w:r>
        <w:rPr>
          <w:rFonts w:cs="Arial"/>
          <w:sz w:val="24"/>
          <w:szCs w:val="22"/>
        </w:rPr>
        <w:t xml:space="preserve">signal intensities </w:t>
      </w:r>
      <w:r w:rsidRPr="008B52F5">
        <w:rPr>
          <w:rFonts w:cs="Arial"/>
          <w:sz w:val="24"/>
          <w:szCs w:val="22"/>
        </w:rPr>
        <w:t xml:space="preserve">even </w:t>
      </w:r>
      <w:r>
        <w:rPr>
          <w:rFonts w:cs="Arial"/>
          <w:sz w:val="24"/>
          <w:szCs w:val="22"/>
        </w:rPr>
        <w:t>if</w:t>
      </w:r>
      <w:r w:rsidRPr="008B52F5">
        <w:rPr>
          <w:rFonts w:cs="Arial"/>
          <w:sz w:val="24"/>
          <w:szCs w:val="22"/>
        </w:rPr>
        <w:t xml:space="preserve"> their concentrations </w:t>
      </w:r>
      <w:r>
        <w:rPr>
          <w:rFonts w:cs="Arial"/>
          <w:sz w:val="24"/>
          <w:szCs w:val="22"/>
        </w:rPr>
        <w:t>differ substantially. This argument suggests that all neurotransmitters</w:t>
      </w:r>
      <w:r w:rsidR="00596789">
        <w:rPr>
          <w:rFonts w:cs="Arial"/>
          <w:sz w:val="24"/>
          <w:szCs w:val="22"/>
        </w:rPr>
        <w:t xml:space="preserve"> in the mobile</w:t>
      </w:r>
      <w:r>
        <w:rPr>
          <w:rFonts w:cs="Arial"/>
          <w:sz w:val="24"/>
          <w:szCs w:val="22"/>
        </w:rPr>
        <w:t xml:space="preserve"> should be assigned </w:t>
      </w:r>
      <w:r w:rsidRPr="00327657">
        <w:rPr>
          <w:rFonts w:cs="Arial"/>
          <w:sz w:val="24"/>
          <w:szCs w:val="22"/>
        </w:rPr>
        <w:t xml:space="preserve">functional </w:t>
      </w:r>
      <w:r>
        <w:rPr>
          <w:rFonts w:cs="Arial"/>
          <w:sz w:val="24"/>
          <w:szCs w:val="22"/>
        </w:rPr>
        <w:t>weights</w:t>
      </w:r>
      <w:r w:rsidR="00596789">
        <w:rPr>
          <w:rFonts w:cs="Arial"/>
          <w:sz w:val="24"/>
          <w:szCs w:val="22"/>
        </w:rPr>
        <w:t xml:space="preserve"> within the same order of magnitude</w:t>
      </w:r>
      <w:r>
        <w:rPr>
          <w:rFonts w:cs="Arial"/>
          <w:sz w:val="24"/>
          <w:szCs w:val="22"/>
        </w:rPr>
        <w:t>.</w:t>
      </w:r>
      <w:r w:rsidRPr="00327657">
        <w:rPr>
          <w:rFonts w:cs="Arial"/>
          <w:sz w:val="24"/>
          <w:szCs w:val="22"/>
        </w:rPr>
        <w:t xml:space="preserve"> </w:t>
      </w:r>
      <w:r>
        <w:rPr>
          <w:rFonts w:cs="Arial"/>
          <w:sz w:val="24"/>
          <w:szCs w:val="22"/>
        </w:rPr>
        <w:t>Specifically,</w:t>
      </w:r>
      <w:r w:rsidRPr="008B52F5">
        <w:rPr>
          <w:rFonts w:cs="Arial"/>
          <w:sz w:val="24"/>
          <w:szCs w:val="22"/>
        </w:rPr>
        <w:t xml:space="preserve"> the effects of one </w:t>
      </w:r>
      <w:r>
        <w:rPr>
          <w:rFonts w:cs="Arial"/>
          <w:sz w:val="24"/>
          <w:szCs w:val="22"/>
        </w:rPr>
        <w:t>molecule</w:t>
      </w:r>
      <w:r w:rsidRPr="008B52F5">
        <w:rPr>
          <w:rFonts w:cs="Arial"/>
          <w:sz w:val="24"/>
          <w:szCs w:val="22"/>
        </w:rPr>
        <w:t xml:space="preserve"> of two different neurotransmitters </w:t>
      </w:r>
      <w:r w:rsidR="00184A05">
        <w:rPr>
          <w:rFonts w:cs="Arial"/>
          <w:sz w:val="24"/>
          <w:szCs w:val="22"/>
        </w:rPr>
        <w:t>are</w:t>
      </w:r>
      <w:r w:rsidR="00184A05" w:rsidRPr="008B52F5">
        <w:rPr>
          <w:rFonts w:cs="Arial"/>
          <w:sz w:val="24"/>
          <w:szCs w:val="22"/>
        </w:rPr>
        <w:t xml:space="preserve"> </w:t>
      </w:r>
      <w:r w:rsidRPr="008B52F5">
        <w:rPr>
          <w:rFonts w:cs="Arial"/>
          <w:sz w:val="24"/>
          <w:szCs w:val="22"/>
        </w:rPr>
        <w:t xml:space="preserve">not </w:t>
      </w:r>
      <w:r>
        <w:rPr>
          <w:rFonts w:cs="Arial"/>
          <w:sz w:val="24"/>
          <w:szCs w:val="22"/>
        </w:rPr>
        <w:t xml:space="preserve">necessarily </w:t>
      </w:r>
      <w:r w:rsidRPr="008B52F5">
        <w:rPr>
          <w:rFonts w:cs="Arial"/>
          <w:sz w:val="24"/>
          <w:szCs w:val="22"/>
        </w:rPr>
        <w:t>functionally equal</w:t>
      </w:r>
      <w:r>
        <w:rPr>
          <w:rFonts w:cs="Arial"/>
          <w:sz w:val="24"/>
          <w:szCs w:val="22"/>
        </w:rPr>
        <w:t xml:space="preserve">, but the </w:t>
      </w:r>
      <w:r w:rsidRPr="00E942D3">
        <w:rPr>
          <w:rFonts w:cs="Arial"/>
          <w:sz w:val="24"/>
          <w:szCs w:val="22"/>
        </w:rPr>
        <w:t xml:space="preserve">concentrations </w:t>
      </w:r>
      <w:r w:rsidR="00184A05">
        <w:rPr>
          <w:rFonts w:cs="Arial"/>
          <w:sz w:val="24"/>
          <w:szCs w:val="22"/>
        </w:rPr>
        <w:t>are</w:t>
      </w:r>
      <w:r>
        <w:rPr>
          <w:rFonts w:cs="Arial"/>
          <w:sz w:val="24"/>
          <w:szCs w:val="22"/>
        </w:rPr>
        <w:t xml:space="preserve"> categorized into classes </w:t>
      </w:r>
      <w:r w:rsidR="00184A05">
        <w:rPr>
          <w:rFonts w:cs="Arial"/>
          <w:sz w:val="24"/>
          <w:szCs w:val="22"/>
        </w:rPr>
        <w:t>that are coded as</w:t>
      </w:r>
      <w:r>
        <w:rPr>
          <w:rFonts w:cs="Arial"/>
          <w:sz w:val="24"/>
          <w:szCs w:val="22"/>
        </w:rPr>
        <w:t xml:space="preserve"> </w:t>
      </w:r>
      <w:r w:rsidRPr="008B52F5">
        <w:rPr>
          <w:rFonts w:cs="Arial"/>
          <w:sz w:val="24"/>
          <w:szCs w:val="22"/>
        </w:rPr>
        <w:t>low</w:t>
      </w:r>
      <w:r>
        <w:rPr>
          <w:rFonts w:cs="Arial"/>
          <w:sz w:val="24"/>
          <w:szCs w:val="22"/>
        </w:rPr>
        <w:t>,</w:t>
      </w:r>
      <w:r w:rsidRPr="008B52F5">
        <w:rPr>
          <w:rFonts w:cs="Arial"/>
          <w:sz w:val="24"/>
          <w:szCs w:val="22"/>
        </w:rPr>
        <w:t xml:space="preserve"> medium</w:t>
      </w:r>
      <w:r>
        <w:rPr>
          <w:rFonts w:cs="Arial"/>
          <w:sz w:val="24"/>
          <w:szCs w:val="22"/>
        </w:rPr>
        <w:t>,</w:t>
      </w:r>
      <w:r w:rsidRPr="008B52F5">
        <w:rPr>
          <w:rFonts w:cs="Arial"/>
          <w:sz w:val="24"/>
          <w:szCs w:val="22"/>
        </w:rPr>
        <w:t xml:space="preserve"> and high </w:t>
      </w:r>
      <w:r>
        <w:rPr>
          <w:rFonts w:cs="Arial"/>
          <w:sz w:val="24"/>
          <w:szCs w:val="22"/>
        </w:rPr>
        <w:t xml:space="preserve">values of the same order of </w:t>
      </w:r>
      <w:r w:rsidRPr="008B52F5">
        <w:rPr>
          <w:rFonts w:cs="Arial"/>
          <w:sz w:val="24"/>
          <w:szCs w:val="22"/>
        </w:rPr>
        <w:t xml:space="preserve">magnitude. </w:t>
      </w:r>
      <w:r w:rsidR="00184A05">
        <w:rPr>
          <w:rFonts w:cs="Arial"/>
          <w:sz w:val="24"/>
          <w:szCs w:val="22"/>
        </w:rPr>
        <w:t>As these questions fall into uncharted territory</w:t>
      </w:r>
      <w:r>
        <w:rPr>
          <w:rFonts w:cs="Arial"/>
          <w:sz w:val="24"/>
          <w:szCs w:val="22"/>
        </w:rPr>
        <w:t xml:space="preserve">, we tested </w:t>
      </w:r>
      <w:r w:rsidRPr="00E7698A">
        <w:rPr>
          <w:rFonts w:cs="Arial"/>
          <w:sz w:val="24"/>
          <w:szCs w:val="22"/>
        </w:rPr>
        <w:t xml:space="preserve">different </w:t>
      </w:r>
      <w:r>
        <w:rPr>
          <w:rFonts w:cs="Arial"/>
          <w:sz w:val="24"/>
          <w:szCs w:val="22"/>
        </w:rPr>
        <w:t>weight</w:t>
      </w:r>
      <w:r w:rsidRPr="00E7698A">
        <w:rPr>
          <w:rFonts w:cs="Arial"/>
          <w:sz w:val="24"/>
          <w:szCs w:val="22"/>
        </w:rPr>
        <w:t xml:space="preserve">ing schemes </w:t>
      </w:r>
      <w:r>
        <w:rPr>
          <w:rFonts w:cs="Arial"/>
          <w:sz w:val="24"/>
          <w:szCs w:val="22"/>
        </w:rPr>
        <w:lastRenderedPageBreak/>
        <w:t>for the case of alcohol dependence</w:t>
      </w:r>
      <w:r w:rsidR="00184A05">
        <w:rPr>
          <w:rFonts w:cs="Arial"/>
          <w:sz w:val="24"/>
          <w:szCs w:val="22"/>
        </w:rPr>
        <w:t>. T</w:t>
      </w:r>
      <w:r>
        <w:rPr>
          <w:rFonts w:cs="Arial"/>
          <w:sz w:val="24"/>
          <w:szCs w:val="22"/>
        </w:rPr>
        <w:t xml:space="preserve">he results suggest that the assumed weighting scheme of similar functional contribution among neurotransmitters appears to </w:t>
      </w:r>
      <w:r w:rsidRPr="001A13DC">
        <w:rPr>
          <w:rFonts w:cs="Arial"/>
          <w:sz w:val="24"/>
          <w:szCs w:val="22"/>
        </w:rPr>
        <w:t>captur</w:t>
      </w:r>
      <w:r>
        <w:rPr>
          <w:rFonts w:cs="Arial"/>
          <w:sz w:val="24"/>
          <w:szCs w:val="22"/>
        </w:rPr>
        <w:t xml:space="preserve">e the </w:t>
      </w:r>
      <w:r w:rsidRPr="001A13DC">
        <w:rPr>
          <w:rFonts w:cs="Arial"/>
          <w:sz w:val="24"/>
          <w:szCs w:val="22"/>
        </w:rPr>
        <w:t>physiological and behavioral impact</w:t>
      </w:r>
      <w:r>
        <w:rPr>
          <w:rFonts w:cs="Arial"/>
          <w:sz w:val="24"/>
          <w:szCs w:val="22"/>
        </w:rPr>
        <w:t xml:space="preserve"> of these neurotransmitters appropriately.</w:t>
      </w:r>
      <w:r w:rsidRPr="001A13DC">
        <w:rPr>
          <w:rFonts w:cs="Arial"/>
          <w:sz w:val="24"/>
          <w:szCs w:val="22"/>
        </w:rPr>
        <w:t xml:space="preserve"> </w:t>
      </w:r>
    </w:p>
    <w:p w:rsidR="00CE298A" w:rsidRDefault="00CE298A" w:rsidP="00CE298A">
      <w:pPr>
        <w:spacing w:line="360" w:lineRule="auto"/>
        <w:ind w:firstLine="418"/>
        <w:rPr>
          <w:rFonts w:cs="Arial"/>
          <w:bCs/>
          <w:sz w:val="24"/>
          <w:szCs w:val="22"/>
        </w:rPr>
      </w:pPr>
      <w:r>
        <w:rPr>
          <w:rFonts w:cs="Arial"/>
          <w:bCs/>
          <w:sz w:val="24"/>
          <w:szCs w:val="22"/>
        </w:rPr>
        <w:t xml:space="preserve">When the neurotransmitter concentrations are directly used as functional weights, different neurotransmitters show different dynamic responses to alcohol intoxication (Fig. S1). Following acute alcohol exposure, the main inhibitory neurotransmitter GABA is enhanced, while the main excitatory neurotransmitter </w:t>
      </w:r>
      <w:proofErr w:type="spellStart"/>
      <w:r>
        <w:rPr>
          <w:rFonts w:cs="Arial"/>
          <w:bCs/>
          <w:sz w:val="24"/>
          <w:szCs w:val="22"/>
        </w:rPr>
        <w:t>Glu</w:t>
      </w:r>
      <w:proofErr w:type="spellEnd"/>
      <w:r w:rsidR="00596789">
        <w:rPr>
          <w:rFonts w:cs="Arial"/>
          <w:bCs/>
          <w:sz w:val="24"/>
          <w:szCs w:val="22"/>
        </w:rPr>
        <w:t xml:space="preserve"> and</w:t>
      </w:r>
      <w:r>
        <w:rPr>
          <w:rFonts w:cs="Arial"/>
          <w:bCs/>
          <w:sz w:val="24"/>
          <w:szCs w:val="22"/>
        </w:rPr>
        <w:t xml:space="preserve"> the two regulatory amino acids DA and NA</w:t>
      </w:r>
      <w:r w:rsidR="00596789">
        <w:rPr>
          <w:rFonts w:cs="Arial"/>
          <w:bCs/>
          <w:sz w:val="24"/>
          <w:szCs w:val="22"/>
        </w:rPr>
        <w:t xml:space="preserve"> are</w:t>
      </w:r>
      <w:r>
        <w:rPr>
          <w:rFonts w:cs="Arial"/>
          <w:bCs/>
          <w:sz w:val="24"/>
          <w:szCs w:val="22"/>
        </w:rPr>
        <w:t xml:space="preserve"> suppressed. In response to chronic exposure, the brain evokes adaptation mechanisms, causing all neurotransmitters to approach levels close to normalcy. Finally, during withdrawal, the </w:t>
      </w:r>
      <w:r w:rsidRPr="0099099B">
        <w:rPr>
          <w:rFonts w:cs="Arial"/>
          <w:bCs/>
          <w:sz w:val="24"/>
          <w:szCs w:val="22"/>
        </w:rPr>
        <w:t>ex</w:t>
      </w:r>
      <w:r>
        <w:rPr>
          <w:rFonts w:cs="Arial"/>
          <w:bCs/>
          <w:sz w:val="24"/>
          <w:szCs w:val="22"/>
        </w:rPr>
        <w:t xml:space="preserve">citatory neurotransmitter </w:t>
      </w:r>
      <w:proofErr w:type="spellStart"/>
      <w:r>
        <w:rPr>
          <w:rFonts w:cs="Arial"/>
          <w:bCs/>
          <w:sz w:val="24"/>
          <w:szCs w:val="22"/>
        </w:rPr>
        <w:t>Glu</w:t>
      </w:r>
      <w:proofErr w:type="spellEnd"/>
      <w:r>
        <w:rPr>
          <w:rFonts w:cs="Arial"/>
          <w:bCs/>
          <w:sz w:val="24"/>
          <w:szCs w:val="22"/>
        </w:rPr>
        <w:t xml:space="preserve"> becomes elevated in comparison to its base level, while the </w:t>
      </w:r>
      <w:r w:rsidRPr="0099099B">
        <w:rPr>
          <w:rFonts w:cs="Arial"/>
          <w:bCs/>
          <w:sz w:val="24"/>
          <w:szCs w:val="22"/>
        </w:rPr>
        <w:t>inhibitory neurotransmitter GABA</w:t>
      </w:r>
      <w:r>
        <w:rPr>
          <w:rFonts w:cs="Arial"/>
          <w:bCs/>
          <w:sz w:val="24"/>
          <w:szCs w:val="22"/>
        </w:rPr>
        <w:t xml:space="preserve"> is reduced. Thus, the brain enters a hyper-activity state, leading to symptoms of withdrawal. </w:t>
      </w:r>
      <w:r w:rsidR="00B62B83">
        <w:rPr>
          <w:rFonts w:cs="Arial"/>
          <w:bCs/>
          <w:sz w:val="24"/>
          <w:szCs w:val="22"/>
        </w:rPr>
        <w:t>However,</w:t>
      </w:r>
      <w:r w:rsidRPr="00D476BE">
        <w:rPr>
          <w:rFonts w:cs="Arial"/>
          <w:bCs/>
          <w:sz w:val="24"/>
          <w:szCs w:val="22"/>
        </w:rPr>
        <w:t xml:space="preserve"> the mobile </w:t>
      </w:r>
      <w:r>
        <w:rPr>
          <w:rFonts w:cs="Arial"/>
          <w:bCs/>
          <w:sz w:val="24"/>
          <w:szCs w:val="22"/>
        </w:rPr>
        <w:t xml:space="preserve">with concentration-based weights </w:t>
      </w:r>
      <w:r w:rsidRPr="00D476BE">
        <w:rPr>
          <w:rFonts w:cs="Arial"/>
          <w:bCs/>
          <w:sz w:val="24"/>
          <w:szCs w:val="22"/>
        </w:rPr>
        <w:t>does not generate significant im</w:t>
      </w:r>
      <w:r>
        <w:rPr>
          <w:rFonts w:cs="Arial"/>
          <w:bCs/>
          <w:sz w:val="24"/>
          <w:szCs w:val="22"/>
        </w:rPr>
        <w:t xml:space="preserve">balances under alcohol exposure. Among the five rods in the mobile system, only the rod connecting </w:t>
      </w:r>
      <w:proofErr w:type="spellStart"/>
      <w:r>
        <w:rPr>
          <w:rFonts w:cs="Arial"/>
          <w:bCs/>
          <w:sz w:val="24"/>
          <w:szCs w:val="22"/>
        </w:rPr>
        <w:t>Glu</w:t>
      </w:r>
      <w:proofErr w:type="spellEnd"/>
      <w:r>
        <w:rPr>
          <w:rFonts w:cs="Arial"/>
          <w:bCs/>
          <w:sz w:val="24"/>
          <w:szCs w:val="22"/>
        </w:rPr>
        <w:t xml:space="preserve"> and GABA shows a significant imbalance, while all other rods are very close to their balanced states (Fig. </w:t>
      </w:r>
      <w:proofErr w:type="gramStart"/>
      <w:r>
        <w:rPr>
          <w:rFonts w:cs="Arial"/>
          <w:bCs/>
          <w:sz w:val="24"/>
          <w:szCs w:val="22"/>
        </w:rPr>
        <w:t>S2), which is not consistent with clinical experience.</w:t>
      </w:r>
      <w:proofErr w:type="gramEnd"/>
    </w:p>
    <w:p w:rsidR="00CE298A" w:rsidRDefault="00CE298A" w:rsidP="00CE298A">
      <w:pPr>
        <w:spacing w:line="360" w:lineRule="auto"/>
        <w:ind w:firstLine="418"/>
        <w:rPr>
          <w:rFonts w:cs="Arial"/>
          <w:sz w:val="24"/>
          <w:szCs w:val="22"/>
        </w:rPr>
      </w:pPr>
      <w:r>
        <w:rPr>
          <w:rFonts w:cs="Arial"/>
          <w:sz w:val="24"/>
          <w:szCs w:val="22"/>
        </w:rPr>
        <w:t xml:space="preserve">By contrast, the categorized weighting scheme causes </w:t>
      </w:r>
      <w:r w:rsidRPr="00372F93">
        <w:rPr>
          <w:rFonts w:cs="Arial"/>
          <w:sz w:val="24"/>
          <w:szCs w:val="22"/>
        </w:rPr>
        <w:t xml:space="preserve">the mobile </w:t>
      </w:r>
      <w:r>
        <w:rPr>
          <w:rFonts w:cs="Arial"/>
          <w:sz w:val="24"/>
          <w:szCs w:val="22"/>
        </w:rPr>
        <w:t xml:space="preserve">to produce significant imbalances in response to alcohol abuse and withdrawal, and these imbalances are in line with clinical observations. This selected weighting scheme assumes similar </w:t>
      </w:r>
      <w:r w:rsidRPr="00F139DB">
        <w:rPr>
          <w:rFonts w:cs="Arial"/>
          <w:sz w:val="24"/>
          <w:szCs w:val="22"/>
        </w:rPr>
        <w:t xml:space="preserve">functional </w:t>
      </w:r>
      <w:r>
        <w:rPr>
          <w:rFonts w:cs="Arial"/>
          <w:sz w:val="24"/>
          <w:szCs w:val="22"/>
        </w:rPr>
        <w:t xml:space="preserve">contributions of different neurotransmitters even if their concentrations differ by </w:t>
      </w:r>
      <w:r w:rsidRPr="00F139DB">
        <w:rPr>
          <w:rFonts w:cs="Arial"/>
          <w:sz w:val="24"/>
          <w:szCs w:val="22"/>
        </w:rPr>
        <w:t>several orders of magnitude</w:t>
      </w:r>
      <w:r>
        <w:rPr>
          <w:rFonts w:cs="Arial"/>
          <w:sz w:val="24"/>
          <w:szCs w:val="22"/>
        </w:rPr>
        <w:t>. The consequence of this scheme is seen in</w:t>
      </w:r>
      <w:r>
        <w:rPr>
          <w:rFonts w:cs="Arial"/>
          <w:bCs/>
          <w:sz w:val="24"/>
          <w:szCs w:val="22"/>
        </w:rPr>
        <w:t xml:space="preserve"> </w:t>
      </w:r>
      <w:r w:rsidRPr="00ED0839">
        <w:rPr>
          <w:rFonts w:cs="Arial"/>
          <w:bCs/>
          <w:sz w:val="24"/>
          <w:szCs w:val="22"/>
        </w:rPr>
        <w:t xml:space="preserve">greatly disturbed </w:t>
      </w:r>
      <w:r>
        <w:rPr>
          <w:rFonts w:cs="Arial"/>
          <w:bCs/>
          <w:sz w:val="24"/>
          <w:szCs w:val="22"/>
        </w:rPr>
        <w:t>hierarchical balances, and this degree of disturbance seems closer to clinical observations than other weighting schemes, such as</w:t>
      </w:r>
      <w:r w:rsidRPr="00BE749D">
        <w:rPr>
          <w:rFonts w:cs="Arial"/>
          <w:bCs/>
          <w:sz w:val="24"/>
          <w:szCs w:val="22"/>
        </w:rPr>
        <w:t xml:space="preserve"> </w:t>
      </w:r>
      <w:r>
        <w:rPr>
          <w:rFonts w:cs="Arial"/>
          <w:bCs/>
          <w:sz w:val="24"/>
          <w:szCs w:val="22"/>
        </w:rPr>
        <w:t xml:space="preserve">the </w:t>
      </w:r>
      <w:r w:rsidRPr="00BE749D">
        <w:rPr>
          <w:rFonts w:cs="Arial"/>
          <w:bCs/>
          <w:sz w:val="24"/>
          <w:szCs w:val="22"/>
        </w:rPr>
        <w:t>concentration-based</w:t>
      </w:r>
      <w:r>
        <w:rPr>
          <w:rFonts w:cs="Arial"/>
          <w:bCs/>
          <w:sz w:val="24"/>
          <w:szCs w:val="22"/>
        </w:rPr>
        <w:t xml:space="preserve"> scheme (Fig. </w:t>
      </w:r>
      <w:r w:rsidR="00035A5D">
        <w:rPr>
          <w:rFonts w:cs="Arial"/>
          <w:bCs/>
          <w:sz w:val="24"/>
          <w:szCs w:val="22"/>
        </w:rPr>
        <w:t>3</w:t>
      </w:r>
      <w:r>
        <w:rPr>
          <w:rFonts w:cs="Arial"/>
          <w:bCs/>
          <w:sz w:val="24"/>
          <w:szCs w:val="22"/>
        </w:rPr>
        <w:t xml:space="preserve"> &amp; S2).</w:t>
      </w:r>
    </w:p>
    <w:p w:rsidR="00CE298A" w:rsidRDefault="00CE298A" w:rsidP="00CE298A">
      <w:pPr>
        <w:spacing w:line="360" w:lineRule="auto"/>
        <w:ind w:firstLine="418"/>
        <w:rPr>
          <w:rFonts w:cs="Arial"/>
          <w:sz w:val="24"/>
          <w:szCs w:val="22"/>
        </w:rPr>
      </w:pPr>
      <w:r>
        <w:rPr>
          <w:rFonts w:cs="Arial"/>
          <w:sz w:val="24"/>
          <w:szCs w:val="22"/>
        </w:rPr>
        <w:t>The reason that this scheme could be more appropriate might be that neurotransmitter binding to corresponding receptors, and the subsequent transduction of signals, critically depends on receptor abundance, binding activity, and other factors that strongly differ among neurotransmitter systems. Thus, there is a correspondence between vastly different concentrations and signal receiving entities.</w:t>
      </w:r>
    </w:p>
    <w:p w:rsidR="00CE298A" w:rsidRDefault="00CE298A" w:rsidP="00CE298A">
      <w:pPr>
        <w:spacing w:line="360" w:lineRule="auto"/>
        <w:ind w:firstLine="418"/>
        <w:rPr>
          <w:rFonts w:cs="Arial"/>
          <w:sz w:val="24"/>
          <w:szCs w:val="22"/>
        </w:rPr>
      </w:pPr>
      <w:r>
        <w:rPr>
          <w:rFonts w:cs="Arial"/>
          <w:sz w:val="24"/>
          <w:szCs w:val="22"/>
        </w:rPr>
        <w:t xml:space="preserve">Caution while interpreting these results is necessary, nevertheless, because the validity of our conclusions is dependent on the premise that the mobile represents the functional relationships between neurotransmitters at the level of physiological and behavioral function for alcohol abuse </w:t>
      </w:r>
      <w:r>
        <w:rPr>
          <w:rFonts w:cs="Arial"/>
          <w:sz w:val="24"/>
          <w:szCs w:val="22"/>
        </w:rPr>
        <w:lastRenderedPageBreak/>
        <w:t>and withdrawal, and this premise still requires experimental tests.</w:t>
      </w:r>
      <w:bookmarkStart w:id="0" w:name="_GoBack"/>
      <w:bookmarkEnd w:id="0"/>
    </w:p>
    <w:p w:rsidR="00184A05" w:rsidRDefault="00184A05" w:rsidP="00CE298A">
      <w:pPr>
        <w:spacing w:line="360" w:lineRule="auto"/>
        <w:ind w:firstLine="418"/>
        <w:rPr>
          <w:rFonts w:cs="Arial"/>
          <w:sz w:val="24"/>
          <w:szCs w:val="22"/>
        </w:rPr>
      </w:pPr>
    </w:p>
    <w:p w:rsidR="00473754" w:rsidRDefault="00473754" w:rsidP="000D4F18">
      <w:pPr>
        <w:spacing w:line="360" w:lineRule="auto"/>
        <w:jc w:val="left"/>
        <w:rPr>
          <w:rFonts w:cs="Arial"/>
          <w:sz w:val="24"/>
          <w:szCs w:val="22"/>
        </w:rPr>
      </w:pPr>
      <w:r>
        <w:rPr>
          <w:rFonts w:cs="Arial"/>
          <w:noProof/>
          <w:sz w:val="24"/>
          <w:szCs w:val="22"/>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A.new.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73754" w:rsidRDefault="00473754" w:rsidP="00F50DF4">
      <w:pPr>
        <w:spacing w:line="360" w:lineRule="auto"/>
        <w:jc w:val="center"/>
        <w:rPr>
          <w:rFonts w:cs="Arial"/>
          <w:sz w:val="24"/>
          <w:szCs w:val="22"/>
        </w:rPr>
      </w:pPr>
      <w:r>
        <w:rPr>
          <w:rFonts w:cs="Arial"/>
          <w:noProof/>
          <w:sz w:val="24"/>
          <w:szCs w:val="22"/>
        </w:rPr>
        <w:drawing>
          <wp:inline distT="0" distB="0" distL="0" distR="0" wp14:anchorId="282D7E3C" wp14:editId="74507C4A">
            <wp:extent cx="3108960" cy="2331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B.ne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inline>
        </w:drawing>
      </w:r>
    </w:p>
    <w:p w:rsidR="00CE298A" w:rsidRDefault="00CE298A" w:rsidP="00596789">
      <w:pPr>
        <w:rPr>
          <w:sz w:val="24"/>
        </w:rPr>
      </w:pPr>
      <w:r w:rsidRPr="00BC2551">
        <w:rPr>
          <w:b/>
          <w:bCs/>
          <w:sz w:val="24"/>
        </w:rPr>
        <w:t xml:space="preserve">Figure </w:t>
      </w:r>
      <w:r>
        <w:rPr>
          <w:b/>
          <w:bCs/>
          <w:sz w:val="24"/>
        </w:rPr>
        <w:t>S1</w:t>
      </w:r>
      <w:r w:rsidRPr="00BC2551">
        <w:rPr>
          <w:b/>
          <w:bCs/>
          <w:sz w:val="24"/>
        </w:rPr>
        <w:t xml:space="preserve">: </w:t>
      </w:r>
      <w:r>
        <w:rPr>
          <w:b/>
          <w:bCs/>
          <w:sz w:val="24"/>
        </w:rPr>
        <w:t xml:space="preserve">Dynamics of </w:t>
      </w:r>
      <w:r w:rsidRPr="005D586D">
        <w:rPr>
          <w:b/>
          <w:bCs/>
          <w:sz w:val="24"/>
        </w:rPr>
        <w:t xml:space="preserve">neurotransmitters and balances </w:t>
      </w:r>
      <w:r>
        <w:rPr>
          <w:b/>
          <w:bCs/>
          <w:sz w:val="24"/>
        </w:rPr>
        <w:t>in response to acute alcohol exposure, adaptation, and withdrawal</w:t>
      </w:r>
      <w:r w:rsidRPr="00BC2551">
        <w:rPr>
          <w:b/>
          <w:bCs/>
          <w:sz w:val="24"/>
        </w:rPr>
        <w:t>.</w:t>
      </w:r>
      <w:r w:rsidR="00596789">
        <w:rPr>
          <w:b/>
          <w:bCs/>
          <w:sz w:val="24"/>
        </w:rPr>
        <w:t xml:space="preserve"> </w:t>
      </w:r>
      <w:r w:rsidRPr="001E4FD1">
        <w:rPr>
          <w:rFonts w:cs="Arial"/>
          <w:bCs/>
          <w:sz w:val="24"/>
          <w:szCs w:val="22"/>
        </w:rPr>
        <w:t>The neurotransmitter concentrations are directly used as functional weights.</w:t>
      </w:r>
      <w:r>
        <w:rPr>
          <w:rFonts w:cs="Arial"/>
          <w:bCs/>
          <w:sz w:val="24"/>
          <w:szCs w:val="22"/>
        </w:rPr>
        <w:t xml:space="preserve"> </w:t>
      </w:r>
      <w:r>
        <w:rPr>
          <w:rFonts w:cs="Arial"/>
          <w:sz w:val="24"/>
          <w:szCs w:val="22"/>
        </w:rPr>
        <w:t>The</w:t>
      </w:r>
      <w:r>
        <w:rPr>
          <w:sz w:val="24"/>
        </w:rPr>
        <w:t xml:space="preserve"> three </w:t>
      </w:r>
      <w:r w:rsidR="00184A05">
        <w:rPr>
          <w:sz w:val="24"/>
        </w:rPr>
        <w:t xml:space="preserve">dashed </w:t>
      </w:r>
      <w:r>
        <w:rPr>
          <w:sz w:val="24"/>
        </w:rPr>
        <w:t xml:space="preserve">vertical lines represent, </w:t>
      </w:r>
      <w:r w:rsidRPr="00172B64">
        <w:rPr>
          <w:sz w:val="24"/>
        </w:rPr>
        <w:t>from left to right</w:t>
      </w:r>
      <w:r>
        <w:rPr>
          <w:sz w:val="24"/>
        </w:rPr>
        <w:t>,</w:t>
      </w:r>
      <w:r w:rsidRPr="00172B64">
        <w:rPr>
          <w:sz w:val="24"/>
        </w:rPr>
        <w:t xml:space="preserve"> </w:t>
      </w:r>
      <w:r>
        <w:rPr>
          <w:sz w:val="24"/>
        </w:rPr>
        <w:t xml:space="preserve">the beginning of acute alcohol exposure, adaptation, and withdrawal, respectively. </w:t>
      </w:r>
    </w:p>
    <w:p w:rsidR="00CE298A" w:rsidRDefault="00CE298A" w:rsidP="00CE298A">
      <w:pPr>
        <w:ind w:firstLine="420"/>
        <w:rPr>
          <w:sz w:val="24"/>
        </w:rPr>
      </w:pPr>
      <w:r>
        <w:rPr>
          <w:sz w:val="24"/>
        </w:rPr>
        <w:t>A: Dynamic imbalances associated with five rods are represented by rotation angles relative to the horizontal position.</w:t>
      </w:r>
    </w:p>
    <w:p w:rsidR="00CE298A" w:rsidRDefault="00CE298A" w:rsidP="00CE298A">
      <w:pPr>
        <w:ind w:firstLine="418"/>
        <w:rPr>
          <w:sz w:val="24"/>
        </w:rPr>
      </w:pPr>
      <w:r>
        <w:rPr>
          <w:sz w:val="24"/>
        </w:rPr>
        <w:t>B: Dynamics of neurotransmitters. Note that the dynamic</w:t>
      </w:r>
      <w:r w:rsidR="00184A05">
        <w:rPr>
          <w:sz w:val="24"/>
        </w:rPr>
        <w:t xml:space="preserve"> response</w:t>
      </w:r>
      <w:r>
        <w:rPr>
          <w:sz w:val="24"/>
        </w:rPr>
        <w:t>s of DA and NA overlap.</w:t>
      </w:r>
    </w:p>
    <w:p w:rsidR="00CE298A" w:rsidRDefault="00CE298A" w:rsidP="00CE298A">
      <w:pPr>
        <w:spacing w:line="360" w:lineRule="auto"/>
        <w:ind w:firstLine="418"/>
        <w:rPr>
          <w:sz w:val="24"/>
        </w:rPr>
      </w:pPr>
    </w:p>
    <w:p w:rsidR="00CE298A" w:rsidRDefault="00CE298A" w:rsidP="00CE298A">
      <w:pPr>
        <w:spacing w:line="360" w:lineRule="auto"/>
        <w:ind w:firstLine="418"/>
        <w:rPr>
          <w:rFonts w:cs="Arial"/>
          <w:sz w:val="24"/>
          <w:szCs w:val="22"/>
        </w:rPr>
      </w:pPr>
      <w:r>
        <w:rPr>
          <w:rFonts w:cs="Arial"/>
          <w:sz w:val="24"/>
          <w:szCs w:val="22"/>
        </w:rPr>
        <w:t>In contrast to the mobile, the dynamics of the neuro</w:t>
      </w:r>
      <w:r w:rsidRPr="006F5E8A">
        <w:rPr>
          <w:rFonts w:cs="Arial"/>
          <w:sz w:val="24"/>
          <w:szCs w:val="22"/>
        </w:rPr>
        <w:t>chemical interaction matrix</w:t>
      </w:r>
      <w:r>
        <w:rPr>
          <w:rFonts w:cs="Arial"/>
          <w:sz w:val="24"/>
          <w:szCs w:val="22"/>
        </w:rPr>
        <w:t xml:space="preserve"> is very </w:t>
      </w:r>
      <w:r>
        <w:rPr>
          <w:rFonts w:cs="Arial"/>
          <w:sz w:val="24"/>
          <w:szCs w:val="22"/>
        </w:rPr>
        <w:lastRenderedPageBreak/>
        <w:t xml:space="preserve">similar between </w:t>
      </w:r>
      <w:r w:rsidR="00184A05">
        <w:rPr>
          <w:rFonts w:cs="Arial"/>
          <w:sz w:val="24"/>
          <w:szCs w:val="22"/>
        </w:rPr>
        <w:t xml:space="preserve">the </w:t>
      </w:r>
      <w:r>
        <w:rPr>
          <w:rFonts w:cs="Arial"/>
          <w:sz w:val="24"/>
          <w:szCs w:val="22"/>
        </w:rPr>
        <w:t xml:space="preserve">two different </w:t>
      </w:r>
      <w:r w:rsidRPr="00F72824">
        <w:rPr>
          <w:rFonts w:cs="Arial"/>
          <w:sz w:val="24"/>
          <w:szCs w:val="22"/>
        </w:rPr>
        <w:t>weighting schemes</w:t>
      </w:r>
      <w:r>
        <w:rPr>
          <w:rFonts w:cs="Arial"/>
          <w:sz w:val="24"/>
          <w:szCs w:val="22"/>
        </w:rPr>
        <w:t xml:space="preserve">. This similarity in dynamics </w:t>
      </w:r>
      <w:r w:rsidR="00596789">
        <w:rPr>
          <w:rFonts w:cs="Arial"/>
          <w:sz w:val="24"/>
          <w:szCs w:val="22"/>
        </w:rPr>
        <w:t>reflects</w:t>
      </w:r>
      <w:r>
        <w:rPr>
          <w:rFonts w:cs="Arial"/>
          <w:sz w:val="24"/>
          <w:szCs w:val="22"/>
        </w:rPr>
        <w:t xml:space="preserve"> that the overall effect of a perturbation depends much more on the structure of the neurotransmitter interaction matrix rather than on specific values representing the neurotransmitters. By contrast, the balance and imbalance of the mobile strongly depend on both the model structure and numerical values.</w:t>
      </w:r>
    </w:p>
    <w:p w:rsidR="007149ED" w:rsidRDefault="007149ED" w:rsidP="007149ED">
      <w:pPr>
        <w:spacing w:line="360" w:lineRule="auto"/>
        <w:jc w:val="center"/>
        <w:rPr>
          <w:rFonts w:cs="Arial"/>
          <w:sz w:val="24"/>
          <w:szCs w:val="22"/>
        </w:rPr>
      </w:pPr>
      <w:r w:rsidRPr="007149ED">
        <w:rPr>
          <w:rFonts w:ascii="Arial" w:hAnsi="Arial" w:cs="Arial"/>
          <w:b/>
          <w:noProof/>
          <w:kern w:val="0"/>
          <w:sz w:val="22"/>
          <w:szCs w:val="22"/>
        </w:rPr>
        <w:drawing>
          <wp:inline distT="0" distB="0" distL="0" distR="0" wp14:anchorId="19885BEF" wp14:editId="1F3B9001">
            <wp:extent cx="3657330" cy="27432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s.Alcohol Application.MobileAndInteractionMatrix.No Pane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330" cy="2743200"/>
                    </a:xfrm>
                    <a:prstGeom prst="rect">
                      <a:avLst/>
                    </a:prstGeom>
                  </pic:spPr>
                </pic:pic>
              </a:graphicData>
            </a:graphic>
          </wp:inline>
        </w:drawing>
      </w:r>
    </w:p>
    <w:p w:rsidR="007C194C" w:rsidRDefault="00CE298A" w:rsidP="00596789">
      <w:pPr>
        <w:rPr>
          <w:bCs/>
          <w:sz w:val="24"/>
        </w:rPr>
      </w:pPr>
      <w:r w:rsidRPr="00BC2551">
        <w:rPr>
          <w:b/>
          <w:bCs/>
          <w:sz w:val="24"/>
        </w:rPr>
        <w:t xml:space="preserve">Figure </w:t>
      </w:r>
      <w:r>
        <w:rPr>
          <w:b/>
          <w:bCs/>
          <w:sz w:val="24"/>
        </w:rPr>
        <w:t>S2</w:t>
      </w:r>
      <w:r w:rsidRPr="00BC2551">
        <w:rPr>
          <w:b/>
          <w:bCs/>
          <w:sz w:val="24"/>
        </w:rPr>
        <w:t xml:space="preserve">: </w:t>
      </w:r>
      <w:r>
        <w:rPr>
          <w:b/>
          <w:bCs/>
          <w:sz w:val="24"/>
        </w:rPr>
        <w:t xml:space="preserve">In response to alcohol withdrawal, the mobile system does not </w:t>
      </w:r>
      <w:r w:rsidR="00596789">
        <w:rPr>
          <w:b/>
          <w:bCs/>
          <w:sz w:val="24"/>
        </w:rPr>
        <w:t>exhibit</w:t>
      </w:r>
      <w:r>
        <w:rPr>
          <w:b/>
          <w:bCs/>
          <w:sz w:val="24"/>
        </w:rPr>
        <w:t xml:space="preserve"> significant imbalance</w:t>
      </w:r>
      <w:r w:rsidR="00596789">
        <w:rPr>
          <w:b/>
          <w:bCs/>
          <w:sz w:val="24"/>
        </w:rPr>
        <w:t>s</w:t>
      </w:r>
      <w:r w:rsidRPr="00BC2551">
        <w:rPr>
          <w:b/>
          <w:bCs/>
          <w:sz w:val="24"/>
        </w:rPr>
        <w:t>.</w:t>
      </w:r>
      <w:r w:rsidR="00596789">
        <w:rPr>
          <w:b/>
          <w:bCs/>
          <w:sz w:val="24"/>
        </w:rPr>
        <w:t xml:space="preserve"> </w:t>
      </w:r>
      <w:r w:rsidR="00596789">
        <w:rPr>
          <w:bCs/>
          <w:sz w:val="24"/>
        </w:rPr>
        <w:t>Here, t</w:t>
      </w:r>
      <w:r w:rsidRPr="00172B64">
        <w:rPr>
          <w:bCs/>
          <w:sz w:val="24"/>
        </w:rPr>
        <w:t xml:space="preserve">he neurotransmitter concentrations are directly used as functional weights. </w:t>
      </w:r>
      <w:r>
        <w:rPr>
          <w:bCs/>
          <w:sz w:val="24"/>
        </w:rPr>
        <w:t xml:space="preserve">Circles </w:t>
      </w:r>
      <w:r w:rsidRPr="009E7367">
        <w:rPr>
          <w:bCs/>
          <w:sz w:val="24"/>
        </w:rPr>
        <w:t>from</w:t>
      </w:r>
      <w:r>
        <w:rPr>
          <w:bCs/>
          <w:sz w:val="24"/>
        </w:rPr>
        <w:t xml:space="preserve"> left to right: 5-HT, DA, NA, </w:t>
      </w:r>
      <w:proofErr w:type="spellStart"/>
      <w:r>
        <w:rPr>
          <w:bCs/>
          <w:sz w:val="24"/>
        </w:rPr>
        <w:t>AC</w:t>
      </w:r>
      <w:r w:rsidRPr="009E7367">
        <w:rPr>
          <w:bCs/>
          <w:sz w:val="24"/>
        </w:rPr>
        <w:t>h</w:t>
      </w:r>
      <w:proofErr w:type="spellEnd"/>
      <w:r w:rsidRPr="009E7367">
        <w:rPr>
          <w:bCs/>
          <w:sz w:val="24"/>
        </w:rPr>
        <w:t xml:space="preserve">, </w:t>
      </w:r>
      <w:proofErr w:type="spellStart"/>
      <w:r w:rsidRPr="009E7367">
        <w:rPr>
          <w:bCs/>
          <w:sz w:val="24"/>
        </w:rPr>
        <w:t>Glu</w:t>
      </w:r>
      <w:proofErr w:type="spellEnd"/>
      <w:r w:rsidRPr="009E7367">
        <w:rPr>
          <w:bCs/>
          <w:sz w:val="24"/>
        </w:rPr>
        <w:t>, and GABA.</w:t>
      </w:r>
      <w:r>
        <w:rPr>
          <w:bCs/>
          <w:sz w:val="24"/>
        </w:rPr>
        <w:t xml:space="preserve"> For </w:t>
      </w:r>
      <w:r w:rsidR="00184A05">
        <w:rPr>
          <w:bCs/>
          <w:sz w:val="24"/>
        </w:rPr>
        <w:t>better visualization</w:t>
      </w:r>
      <w:r>
        <w:rPr>
          <w:bCs/>
          <w:sz w:val="24"/>
        </w:rPr>
        <w:t xml:space="preserve">, </w:t>
      </w:r>
      <w:r w:rsidR="00184A05">
        <w:rPr>
          <w:bCs/>
          <w:sz w:val="24"/>
        </w:rPr>
        <w:t xml:space="preserve">the </w:t>
      </w:r>
      <w:r>
        <w:rPr>
          <w:bCs/>
          <w:sz w:val="24"/>
        </w:rPr>
        <w:t xml:space="preserve">lengths of </w:t>
      </w:r>
      <w:r w:rsidR="00184A05">
        <w:rPr>
          <w:bCs/>
          <w:sz w:val="24"/>
        </w:rPr>
        <w:t xml:space="preserve">the </w:t>
      </w:r>
      <w:r>
        <w:rPr>
          <w:bCs/>
          <w:sz w:val="24"/>
        </w:rPr>
        <w:t xml:space="preserve">arms in the mobile are adjusted and do not reflect functional contributions of neurotransmitters. </w:t>
      </w:r>
    </w:p>
    <w:p w:rsidR="00CE298A" w:rsidRDefault="00CE298A" w:rsidP="007C194C">
      <w:pPr>
        <w:tabs>
          <w:tab w:val="left" w:pos="1202"/>
        </w:tabs>
        <w:rPr>
          <w:sz w:val="24"/>
        </w:rPr>
      </w:pPr>
    </w:p>
    <w:p w:rsidR="00184A05" w:rsidRDefault="00184A05" w:rsidP="007C194C">
      <w:pPr>
        <w:tabs>
          <w:tab w:val="left" w:pos="1202"/>
        </w:tabs>
        <w:rPr>
          <w:sz w:val="24"/>
        </w:rPr>
      </w:pPr>
    </w:p>
    <w:p w:rsidR="00CD098F" w:rsidRDefault="00CD098F" w:rsidP="00F50DF4">
      <w:pPr>
        <w:tabs>
          <w:tab w:val="left" w:pos="1202"/>
        </w:tabs>
        <w:spacing w:line="360" w:lineRule="auto"/>
        <w:rPr>
          <w:rFonts w:cs="Arial"/>
          <w:sz w:val="24"/>
          <w:szCs w:val="22"/>
        </w:rPr>
      </w:pPr>
      <w:r w:rsidRPr="00CD098F">
        <w:rPr>
          <w:b/>
          <w:bCs/>
          <w:sz w:val="24"/>
        </w:rPr>
        <w:t xml:space="preserve">Computation of </w:t>
      </w:r>
      <w:r w:rsidR="00184A05">
        <w:rPr>
          <w:b/>
          <w:bCs/>
          <w:sz w:val="24"/>
        </w:rPr>
        <w:t>the</w:t>
      </w:r>
      <w:r w:rsidR="00184A05" w:rsidRPr="00CD098F">
        <w:rPr>
          <w:b/>
          <w:bCs/>
          <w:sz w:val="24"/>
        </w:rPr>
        <w:t xml:space="preserve"> </w:t>
      </w:r>
      <w:r w:rsidRPr="00CD098F">
        <w:rPr>
          <w:b/>
          <w:bCs/>
          <w:sz w:val="24"/>
        </w:rPr>
        <w:t xml:space="preserve">rotation angle of a </w:t>
      </w:r>
      <w:r w:rsidR="00184A05">
        <w:rPr>
          <w:b/>
          <w:bCs/>
          <w:sz w:val="24"/>
        </w:rPr>
        <w:t>rod</w:t>
      </w:r>
      <w:r w:rsidR="00184A05" w:rsidRPr="00CD098F">
        <w:rPr>
          <w:b/>
          <w:bCs/>
          <w:sz w:val="24"/>
        </w:rPr>
        <w:t xml:space="preserve"> </w:t>
      </w:r>
      <w:r w:rsidRPr="00CD098F">
        <w:rPr>
          <w:b/>
          <w:bCs/>
          <w:sz w:val="24"/>
        </w:rPr>
        <w:t>in the mobile system</w:t>
      </w:r>
      <w:r>
        <w:rPr>
          <w:b/>
          <w:bCs/>
          <w:sz w:val="24"/>
        </w:rPr>
        <w:t xml:space="preserve"> </w:t>
      </w:r>
    </w:p>
    <w:p w:rsidR="00184A05" w:rsidRDefault="00184A05" w:rsidP="00F50DF4">
      <w:pPr>
        <w:tabs>
          <w:tab w:val="left" w:pos="1202"/>
        </w:tabs>
        <w:spacing w:line="360" w:lineRule="auto"/>
        <w:rPr>
          <w:sz w:val="24"/>
        </w:rPr>
      </w:pPr>
      <w:r>
        <w:rPr>
          <w:sz w:val="24"/>
        </w:rPr>
        <w:t>The l</w:t>
      </w:r>
      <w:r w:rsidRPr="00434FC0">
        <w:rPr>
          <w:sz w:val="24"/>
        </w:rPr>
        <w:t xml:space="preserve">ever </w:t>
      </w:r>
      <w:r w:rsidR="00434FC0" w:rsidRPr="00434FC0">
        <w:rPr>
          <w:sz w:val="24"/>
        </w:rPr>
        <w:t xml:space="preserve">arms of a scale in </w:t>
      </w:r>
      <w:r>
        <w:rPr>
          <w:sz w:val="24"/>
        </w:rPr>
        <w:t>the</w:t>
      </w:r>
      <w:r w:rsidRPr="00434FC0">
        <w:rPr>
          <w:sz w:val="24"/>
        </w:rPr>
        <w:t xml:space="preserve"> </w:t>
      </w:r>
      <w:r w:rsidR="00434FC0" w:rsidRPr="00434FC0">
        <w:rPr>
          <w:sz w:val="24"/>
        </w:rPr>
        <w:t xml:space="preserve">mobile can have different lengths. To show an imbalance within the mobile properly, and to prevent a rotation angle from </w:t>
      </w:r>
      <w:r>
        <w:rPr>
          <w:sz w:val="24"/>
        </w:rPr>
        <w:t>approa</w:t>
      </w:r>
      <w:r w:rsidRPr="00434FC0">
        <w:rPr>
          <w:sz w:val="24"/>
        </w:rPr>
        <w:t xml:space="preserve">ching </w:t>
      </w:r>
      <w:r w:rsidR="00434FC0" w:rsidRPr="00434FC0">
        <w:rPr>
          <w:sz w:val="24"/>
        </w:rPr>
        <w:sym w:font="Symbol" w:char="F0B1"/>
      </w:r>
      <w:r w:rsidR="00434FC0" w:rsidRPr="00434FC0">
        <w:rPr>
          <w:sz w:val="24"/>
        </w:rPr>
        <w:t>90</w:t>
      </w:r>
      <w:r w:rsidR="00434FC0" w:rsidRPr="00434FC0">
        <w:rPr>
          <w:sz w:val="24"/>
        </w:rPr>
        <w:sym w:font="Symbol" w:char="F0B0"/>
      </w:r>
      <w:r>
        <w:rPr>
          <w:sz w:val="24"/>
        </w:rPr>
        <w:t xml:space="preserve"> under the smallest of perturbations</w:t>
      </w:r>
      <w:r w:rsidR="00434FC0" w:rsidRPr="00434FC0">
        <w:rPr>
          <w:sz w:val="24"/>
        </w:rPr>
        <w:t xml:space="preserve">, we add a resistant force at the end of each lever arm, which is proportional to the vertical displacement of the end of a lever arm from its corresponding balanced position. </w:t>
      </w:r>
      <w:r w:rsidR="00443BA2">
        <w:rPr>
          <w:sz w:val="24"/>
        </w:rPr>
        <w:t xml:space="preserve">Since the lever arms of a scale can have different lengths, the resistant forces at two sides of a scale can also be different. </w:t>
      </w:r>
    </w:p>
    <w:p w:rsidR="00C101B0" w:rsidRDefault="00184A05" w:rsidP="00180163">
      <w:pPr>
        <w:spacing w:line="360" w:lineRule="auto"/>
        <w:rPr>
          <w:sz w:val="24"/>
        </w:rPr>
      </w:pPr>
      <w:r>
        <w:rPr>
          <w:sz w:val="24"/>
        </w:rPr>
        <w:tab/>
        <w:t>Let’s consider</w:t>
      </w:r>
      <w:r w:rsidR="00C101B0">
        <w:rPr>
          <w:sz w:val="24"/>
        </w:rPr>
        <w:t xml:space="preserve"> an example of </w:t>
      </w:r>
      <w:r w:rsidR="00443BA2">
        <w:rPr>
          <w:sz w:val="24"/>
        </w:rPr>
        <w:t xml:space="preserve">the </w:t>
      </w:r>
      <w:r w:rsidR="00C101B0">
        <w:rPr>
          <w:sz w:val="24"/>
        </w:rPr>
        <w:t>computation</w:t>
      </w:r>
      <w:r w:rsidR="00C101B0" w:rsidRPr="00C101B0">
        <w:t xml:space="preserve"> </w:t>
      </w:r>
      <w:r w:rsidR="00C101B0" w:rsidRPr="00C101B0">
        <w:rPr>
          <w:sz w:val="24"/>
        </w:rPr>
        <w:t xml:space="preserve">of a rotation angle of a </w:t>
      </w:r>
      <w:r>
        <w:rPr>
          <w:sz w:val="24"/>
        </w:rPr>
        <w:t>rod</w:t>
      </w:r>
      <w:r w:rsidRPr="00C101B0">
        <w:rPr>
          <w:sz w:val="24"/>
        </w:rPr>
        <w:t xml:space="preserve"> </w:t>
      </w:r>
      <w:r w:rsidR="00C101B0" w:rsidRPr="00C101B0">
        <w:rPr>
          <w:sz w:val="24"/>
        </w:rPr>
        <w:t>in the mobile system</w:t>
      </w:r>
      <w:r w:rsidR="00C101B0">
        <w:rPr>
          <w:sz w:val="24"/>
        </w:rPr>
        <w:t xml:space="preserve"> (Fig. S3). W</w:t>
      </w:r>
      <w:r w:rsidR="00434FC0" w:rsidRPr="00434FC0">
        <w:rPr>
          <w:sz w:val="24"/>
        </w:rPr>
        <w:t xml:space="preserve">e define counterclockwise and downward as positive directions for rotation and force, respectively. </w:t>
      </w:r>
      <w:r w:rsidR="00C101B0">
        <w:rPr>
          <w:sz w:val="24"/>
        </w:rPr>
        <w:t xml:space="preserve">When the scale is off balance, it rotates and the resistant forces change accordingly. Finally, the scale reaches a new balanced state that is represented by the rotation </w:t>
      </w:r>
      <w:r w:rsidR="00C101B0">
        <w:rPr>
          <w:sz w:val="24"/>
        </w:rPr>
        <w:lastRenderedPageBreak/>
        <w:t>angle. At the new balance</w:t>
      </w:r>
      <w:r w:rsidR="00443BA2">
        <w:rPr>
          <w:sz w:val="24"/>
        </w:rPr>
        <w:t>d</w:t>
      </w:r>
      <w:r w:rsidR="00C101B0">
        <w:rPr>
          <w:sz w:val="24"/>
        </w:rPr>
        <w:t xml:space="preserve"> state, the </w:t>
      </w:r>
      <w:r w:rsidR="00983EB6">
        <w:rPr>
          <w:sz w:val="24"/>
        </w:rPr>
        <w:t xml:space="preserve">sum of torques on the scale equals zero, </w:t>
      </w:r>
      <w:r>
        <w:rPr>
          <w:sz w:val="24"/>
        </w:rPr>
        <w:t xml:space="preserve">and this fact </w:t>
      </w:r>
      <w:r w:rsidR="00983EB6">
        <w:rPr>
          <w:sz w:val="24"/>
        </w:rPr>
        <w:t>is used to compute to the rotation angle as shown by the following equations</w:t>
      </w:r>
      <w:r>
        <w:rPr>
          <w:sz w:val="24"/>
        </w:rPr>
        <w:t xml:space="preserve">: </w:t>
      </w:r>
    </w:p>
    <w:p w:rsidR="00184A05" w:rsidRDefault="00184A05" w:rsidP="00434FC0">
      <w:pPr>
        <w:tabs>
          <w:tab w:val="left" w:pos="1202"/>
        </w:tabs>
        <w:rPr>
          <w:sz w:val="24"/>
        </w:rPr>
      </w:pPr>
    </w:p>
    <w:p w:rsidR="00983EB6" w:rsidRDefault="00184A05" w:rsidP="00184A05">
      <w:pPr>
        <w:rPr>
          <w:sz w:val="24"/>
        </w:rPr>
      </w:pPr>
      <w:r>
        <w:rPr>
          <w:sz w:val="24"/>
        </w:rPr>
        <w:tab/>
      </w:r>
      <w:r w:rsidR="00324F52" w:rsidRPr="0050522F">
        <w:rPr>
          <w:position w:val="-12"/>
          <w:sz w:val="24"/>
        </w:rPr>
        <w:object w:dxaOrig="48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18pt" o:ole="">
            <v:imagedata r:id="rId10" o:title=""/>
          </v:shape>
          <o:OLEObject Type="Embed" ProgID="Equation.3" ShapeID="_x0000_i1025" DrawAspect="Content" ObjectID="_1453622900" r:id="rId11"/>
        </w:object>
      </w:r>
      <w:r w:rsidR="00983EB6">
        <w:rPr>
          <w:sz w:val="24"/>
        </w:rPr>
        <w:tab/>
      </w:r>
      <w:r w:rsidR="00983EB6">
        <w:rPr>
          <w:sz w:val="24"/>
        </w:rPr>
        <w:tab/>
      </w:r>
      <w:r w:rsidR="00983EB6">
        <w:rPr>
          <w:sz w:val="24"/>
        </w:rPr>
        <w:tab/>
        <w:t>(1)</w:t>
      </w:r>
    </w:p>
    <w:p w:rsidR="00184A05" w:rsidRDefault="00184A05" w:rsidP="00184A05">
      <w:pPr>
        <w:rPr>
          <w:sz w:val="24"/>
        </w:rPr>
      </w:pPr>
    </w:p>
    <w:p w:rsidR="0050522F" w:rsidRDefault="00184A05" w:rsidP="00184A05">
      <w:pPr>
        <w:rPr>
          <w:sz w:val="24"/>
        </w:rPr>
      </w:pPr>
      <w:r>
        <w:rPr>
          <w:sz w:val="24"/>
        </w:rPr>
        <w:tab/>
      </w:r>
      <w:r w:rsidR="00324F52" w:rsidRPr="00983EB6">
        <w:rPr>
          <w:position w:val="-30"/>
          <w:sz w:val="24"/>
        </w:rPr>
        <w:object w:dxaOrig="1880" w:dyaOrig="680">
          <v:shape id="_x0000_i1026" type="#_x0000_t75" style="width:93.8pt;height:34.35pt" o:ole="">
            <v:imagedata r:id="rId12" o:title=""/>
          </v:shape>
          <o:OLEObject Type="Embed" ProgID="Equation.3" ShapeID="_x0000_i1026" DrawAspect="Content" ObjectID="_1453622901" r:id="rId13"/>
        </w:object>
      </w:r>
      <w:r w:rsidR="00983EB6">
        <w:rPr>
          <w:sz w:val="24"/>
        </w:rPr>
        <w:tab/>
      </w:r>
      <w:r w:rsidR="00983EB6">
        <w:rPr>
          <w:sz w:val="24"/>
        </w:rPr>
        <w:tab/>
      </w:r>
      <w:r w:rsidR="00983EB6">
        <w:rPr>
          <w:sz w:val="24"/>
        </w:rPr>
        <w:tab/>
      </w:r>
      <w:r w:rsidR="00983EB6">
        <w:rPr>
          <w:sz w:val="24"/>
        </w:rPr>
        <w:tab/>
      </w:r>
      <w:r w:rsidR="00983EB6">
        <w:rPr>
          <w:sz w:val="24"/>
        </w:rPr>
        <w:tab/>
      </w:r>
      <w:r w:rsidR="00983EB6">
        <w:rPr>
          <w:sz w:val="24"/>
        </w:rPr>
        <w:tab/>
      </w:r>
      <w:r w:rsidR="00983EB6">
        <w:rPr>
          <w:sz w:val="24"/>
        </w:rPr>
        <w:tab/>
        <w:t>(2)</w:t>
      </w:r>
      <w:r w:rsidR="00983EB6">
        <w:rPr>
          <w:sz w:val="24"/>
        </w:rPr>
        <w:tab/>
      </w:r>
    </w:p>
    <w:p w:rsidR="00184A05" w:rsidRDefault="00184A05" w:rsidP="006F5D30">
      <w:pPr>
        <w:spacing w:line="360" w:lineRule="auto"/>
        <w:rPr>
          <w:sz w:val="24"/>
        </w:rPr>
      </w:pPr>
    </w:p>
    <w:p w:rsidR="00324F52" w:rsidRDefault="00443BA2" w:rsidP="006F5D30">
      <w:pPr>
        <w:spacing w:line="360" w:lineRule="auto"/>
        <w:rPr>
          <w:sz w:val="24"/>
        </w:rPr>
      </w:pPr>
      <w:r>
        <w:rPr>
          <w:sz w:val="24"/>
        </w:rPr>
        <w:t xml:space="preserve">Here, </w:t>
      </w:r>
      <w:r w:rsidRPr="00D96C48">
        <w:rPr>
          <w:i/>
          <w:sz w:val="24"/>
        </w:rPr>
        <w:t>A</w:t>
      </w:r>
      <w:r>
        <w:rPr>
          <w:sz w:val="24"/>
        </w:rPr>
        <w:t xml:space="preserve"> and </w:t>
      </w:r>
      <w:r w:rsidRPr="00D96C48">
        <w:rPr>
          <w:i/>
          <w:sz w:val="24"/>
        </w:rPr>
        <w:t>B</w:t>
      </w:r>
      <w:r>
        <w:rPr>
          <w:sz w:val="24"/>
        </w:rPr>
        <w:t xml:space="preserve"> are the signal intensities of two neurotransmitters</w:t>
      </w:r>
      <w:r w:rsidR="00184A05">
        <w:rPr>
          <w:sz w:val="24"/>
        </w:rPr>
        <w:t xml:space="preserve"> at the ends of the same rod</w:t>
      </w:r>
      <w:r>
        <w:rPr>
          <w:sz w:val="24"/>
        </w:rPr>
        <w:t xml:space="preserve">. </w:t>
      </w:r>
      <w:proofErr w:type="gramStart"/>
      <w:r w:rsidRPr="00D96C48">
        <w:rPr>
          <w:i/>
          <w:sz w:val="24"/>
        </w:rPr>
        <w:t>θ</w:t>
      </w:r>
      <w:proofErr w:type="gramEnd"/>
      <w:r w:rsidR="00D96C48">
        <w:rPr>
          <w:sz w:val="24"/>
        </w:rPr>
        <w:t xml:space="preserve"> is the rotation angle, while </w:t>
      </w:r>
      <w:proofErr w:type="spellStart"/>
      <w:r w:rsidR="00D96C48" w:rsidRPr="00D96C48">
        <w:rPr>
          <w:i/>
          <w:sz w:val="24"/>
        </w:rPr>
        <w:t>r</w:t>
      </w:r>
      <w:r w:rsidR="00D96C48" w:rsidRPr="00D96C48">
        <w:rPr>
          <w:i/>
          <w:sz w:val="24"/>
          <w:vertAlign w:val="subscript"/>
        </w:rPr>
        <w:t>a</w:t>
      </w:r>
      <w:proofErr w:type="spellEnd"/>
      <w:r w:rsidR="00D96C48">
        <w:rPr>
          <w:sz w:val="24"/>
        </w:rPr>
        <w:t xml:space="preserve"> and </w:t>
      </w:r>
      <w:proofErr w:type="spellStart"/>
      <w:r w:rsidR="00D96C48" w:rsidRPr="00D96C48">
        <w:rPr>
          <w:i/>
          <w:sz w:val="24"/>
        </w:rPr>
        <w:t>r</w:t>
      </w:r>
      <w:r w:rsidR="00D96C48" w:rsidRPr="00D96C48">
        <w:rPr>
          <w:i/>
          <w:sz w:val="24"/>
          <w:vertAlign w:val="subscript"/>
        </w:rPr>
        <w:t>b</w:t>
      </w:r>
      <w:proofErr w:type="spellEnd"/>
      <w:r w:rsidR="00D96C48">
        <w:rPr>
          <w:sz w:val="24"/>
        </w:rPr>
        <w:t xml:space="preserve"> are the length</w:t>
      </w:r>
      <w:r w:rsidR="00184A05">
        <w:rPr>
          <w:sz w:val="24"/>
        </w:rPr>
        <w:t>s</w:t>
      </w:r>
      <w:r w:rsidR="00D96C48">
        <w:rPr>
          <w:sz w:val="24"/>
        </w:rPr>
        <w:t xml:space="preserve"> of lever arms. </w:t>
      </w:r>
      <w:r w:rsidR="00184A05">
        <w:rPr>
          <w:sz w:val="24"/>
        </w:rPr>
        <w:t xml:space="preserve">The parameter </w:t>
      </w:r>
      <w:r w:rsidR="00184A05" w:rsidRPr="006F5D30">
        <w:rPr>
          <w:i/>
          <w:sz w:val="24"/>
        </w:rPr>
        <w:t>k</w:t>
      </w:r>
      <w:r w:rsidR="00D96C48">
        <w:rPr>
          <w:sz w:val="24"/>
        </w:rPr>
        <w:t xml:space="preserve"> is the coefficient of resistant force.</w:t>
      </w:r>
      <w:r w:rsidR="000E23AF">
        <w:rPr>
          <w:sz w:val="24"/>
        </w:rPr>
        <w:t xml:space="preserve"> These equations apply to clockwise and counter-clockwise rotation. The sum of two signal intensities and two resistant forces is the following, which is needed for the computation of rotation angles of other scales in the hierarchical mobile.</w:t>
      </w:r>
    </w:p>
    <w:p w:rsidR="00184A05" w:rsidRDefault="00184A05" w:rsidP="006F5D30">
      <w:pPr>
        <w:spacing w:line="360" w:lineRule="auto"/>
        <w:rPr>
          <w:sz w:val="24"/>
        </w:rPr>
      </w:pPr>
    </w:p>
    <w:p w:rsidR="00184A05" w:rsidRDefault="00184A05" w:rsidP="006F5D30">
      <w:pPr>
        <w:rPr>
          <w:sz w:val="24"/>
        </w:rPr>
      </w:pPr>
      <w:r>
        <w:rPr>
          <w:sz w:val="24"/>
        </w:rPr>
        <w:tab/>
      </w:r>
      <w:r w:rsidR="00443BA2" w:rsidRPr="00324F52">
        <w:rPr>
          <w:position w:val="-14"/>
          <w:sz w:val="24"/>
        </w:rPr>
        <w:object w:dxaOrig="3019" w:dyaOrig="400">
          <v:shape id="_x0000_i1027" type="#_x0000_t75" style="width:150.55pt;height:20.2pt" o:ole="">
            <v:imagedata r:id="rId14" o:title=""/>
          </v:shape>
          <o:OLEObject Type="Embed" ProgID="Equation.3" ShapeID="_x0000_i1027" DrawAspect="Content" ObjectID="_1453622902" r:id="rId15"/>
        </w:object>
      </w:r>
      <w:r w:rsidR="00983EB6">
        <w:rPr>
          <w:sz w:val="24"/>
        </w:rPr>
        <w:tab/>
      </w:r>
      <w:r w:rsidR="00983EB6">
        <w:rPr>
          <w:sz w:val="24"/>
        </w:rPr>
        <w:tab/>
      </w:r>
      <w:r w:rsidR="00983EB6">
        <w:rPr>
          <w:sz w:val="24"/>
        </w:rPr>
        <w:tab/>
      </w:r>
      <w:r w:rsidR="00324F52">
        <w:rPr>
          <w:sz w:val="24"/>
        </w:rPr>
        <w:tab/>
      </w:r>
      <w:r w:rsidR="00324F52">
        <w:rPr>
          <w:sz w:val="24"/>
        </w:rPr>
        <w:tab/>
        <w:t>(3)</w:t>
      </w:r>
    </w:p>
    <w:p w:rsidR="00C76A88" w:rsidRDefault="00983EB6" w:rsidP="006F5D30">
      <w:pPr>
        <w:rPr>
          <w:sz w:val="24"/>
        </w:rPr>
      </w:pPr>
      <w:r>
        <w:rPr>
          <w:sz w:val="24"/>
        </w:rPr>
        <w:tab/>
      </w:r>
    </w:p>
    <w:p w:rsidR="00C76A88" w:rsidRDefault="00C76A88" w:rsidP="00434FC0">
      <w:pPr>
        <w:tabs>
          <w:tab w:val="left" w:pos="1202"/>
        </w:tabs>
        <w:rPr>
          <w:sz w:val="24"/>
        </w:rPr>
      </w:pPr>
    </w:p>
    <w:p w:rsidR="00434FC0" w:rsidRDefault="00C76A88" w:rsidP="00C76A88">
      <w:pPr>
        <w:tabs>
          <w:tab w:val="left" w:pos="1202"/>
        </w:tabs>
        <w:jc w:val="center"/>
        <w:rPr>
          <w:sz w:val="24"/>
        </w:rPr>
      </w:pPr>
      <w:r>
        <w:rPr>
          <w:noProof/>
          <w:sz w:val="24"/>
        </w:rPr>
        <w:drawing>
          <wp:inline distT="0" distB="0" distL="0" distR="0">
            <wp:extent cx="2581955"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955" cy="2286000"/>
                    </a:xfrm>
                    <a:prstGeom prst="rect">
                      <a:avLst/>
                    </a:prstGeom>
                  </pic:spPr>
                </pic:pic>
              </a:graphicData>
            </a:graphic>
          </wp:inline>
        </w:drawing>
      </w:r>
    </w:p>
    <w:p w:rsidR="00184A05" w:rsidRDefault="00184A05" w:rsidP="00434FC0">
      <w:pPr>
        <w:tabs>
          <w:tab w:val="left" w:pos="1202"/>
        </w:tabs>
        <w:rPr>
          <w:b/>
          <w:bCs/>
          <w:sz w:val="24"/>
        </w:rPr>
      </w:pPr>
    </w:p>
    <w:p w:rsidR="00C76A88" w:rsidRPr="00434FC0" w:rsidRDefault="00C76A88" w:rsidP="00434FC0">
      <w:pPr>
        <w:tabs>
          <w:tab w:val="left" w:pos="1202"/>
        </w:tabs>
        <w:rPr>
          <w:sz w:val="24"/>
        </w:rPr>
      </w:pPr>
      <w:r w:rsidRPr="00C76A88">
        <w:rPr>
          <w:b/>
          <w:bCs/>
          <w:sz w:val="24"/>
        </w:rPr>
        <w:t>Figure S</w:t>
      </w:r>
      <w:r>
        <w:rPr>
          <w:b/>
          <w:bCs/>
          <w:sz w:val="24"/>
        </w:rPr>
        <w:t>3</w:t>
      </w:r>
      <w:r w:rsidRPr="00C76A88">
        <w:rPr>
          <w:b/>
          <w:bCs/>
          <w:sz w:val="24"/>
        </w:rPr>
        <w:t xml:space="preserve">: Computation of a rotation angle of a scale in the mobile system. </w:t>
      </w:r>
      <w:r>
        <w:rPr>
          <w:bCs/>
          <w:sz w:val="24"/>
        </w:rPr>
        <w:t xml:space="preserve">The scales in the mobile can have different lengths of lever arms. </w:t>
      </w:r>
      <w:proofErr w:type="gramStart"/>
      <w:r w:rsidRPr="00C76A88">
        <w:rPr>
          <w:bCs/>
          <w:i/>
          <w:sz w:val="24"/>
        </w:rPr>
        <w:t>A</w:t>
      </w:r>
      <w:r w:rsidRPr="00C76A88">
        <w:rPr>
          <w:bCs/>
          <w:sz w:val="24"/>
        </w:rPr>
        <w:t xml:space="preserve"> and</w:t>
      </w:r>
      <w:proofErr w:type="gramEnd"/>
      <w:r w:rsidRPr="00C76A88">
        <w:rPr>
          <w:bCs/>
          <w:sz w:val="24"/>
        </w:rPr>
        <w:t xml:space="preserve"> </w:t>
      </w:r>
      <w:r w:rsidRPr="00C76A88">
        <w:rPr>
          <w:bCs/>
          <w:i/>
          <w:sz w:val="24"/>
        </w:rPr>
        <w:t>B</w:t>
      </w:r>
      <w:r w:rsidRPr="00C76A88">
        <w:rPr>
          <w:bCs/>
          <w:sz w:val="24"/>
        </w:rPr>
        <w:t xml:space="preserve"> are the signal intensities of two neurotransmitters in this study. </w:t>
      </w:r>
      <w:proofErr w:type="gramStart"/>
      <w:r w:rsidRPr="00C76A88">
        <w:rPr>
          <w:bCs/>
          <w:i/>
          <w:sz w:val="24"/>
        </w:rPr>
        <w:t>θ</w:t>
      </w:r>
      <w:proofErr w:type="gramEnd"/>
      <w:r w:rsidRPr="00C76A88">
        <w:rPr>
          <w:bCs/>
          <w:sz w:val="24"/>
        </w:rPr>
        <w:t xml:space="preserve"> is the rotation angle, while </w:t>
      </w:r>
      <w:proofErr w:type="spellStart"/>
      <w:r w:rsidRPr="00C76A88">
        <w:rPr>
          <w:bCs/>
          <w:i/>
          <w:sz w:val="24"/>
        </w:rPr>
        <w:t>r</w:t>
      </w:r>
      <w:r w:rsidRPr="00C76A88">
        <w:rPr>
          <w:bCs/>
          <w:i/>
          <w:sz w:val="24"/>
          <w:vertAlign w:val="subscript"/>
        </w:rPr>
        <w:t>a</w:t>
      </w:r>
      <w:proofErr w:type="spellEnd"/>
      <w:r w:rsidRPr="00C76A88">
        <w:rPr>
          <w:bCs/>
          <w:sz w:val="24"/>
        </w:rPr>
        <w:t xml:space="preserve"> and </w:t>
      </w:r>
      <w:proofErr w:type="spellStart"/>
      <w:r w:rsidRPr="00C76A88">
        <w:rPr>
          <w:bCs/>
          <w:i/>
          <w:sz w:val="24"/>
        </w:rPr>
        <w:t>r</w:t>
      </w:r>
      <w:r w:rsidRPr="00C76A88">
        <w:rPr>
          <w:bCs/>
          <w:i/>
          <w:sz w:val="24"/>
          <w:vertAlign w:val="subscript"/>
        </w:rPr>
        <w:t>b</w:t>
      </w:r>
      <w:proofErr w:type="spellEnd"/>
      <w:r w:rsidRPr="00C76A88">
        <w:rPr>
          <w:bCs/>
          <w:sz w:val="24"/>
        </w:rPr>
        <w:t xml:space="preserve"> are the length</w:t>
      </w:r>
      <w:r w:rsidR="00184A05">
        <w:rPr>
          <w:bCs/>
          <w:sz w:val="24"/>
        </w:rPr>
        <w:t>s</w:t>
      </w:r>
      <w:r w:rsidRPr="00C76A88">
        <w:rPr>
          <w:bCs/>
          <w:sz w:val="24"/>
        </w:rPr>
        <w:t xml:space="preserve"> of lever arms. </w:t>
      </w:r>
      <w:proofErr w:type="spellStart"/>
      <w:r>
        <w:rPr>
          <w:bCs/>
          <w:sz w:val="24"/>
        </w:rPr>
        <w:t>F</w:t>
      </w:r>
      <w:r w:rsidRPr="00C76A88">
        <w:rPr>
          <w:bCs/>
          <w:sz w:val="24"/>
          <w:vertAlign w:val="subscript"/>
        </w:rPr>
        <w:t>a</w:t>
      </w:r>
      <w:proofErr w:type="spellEnd"/>
      <w:r>
        <w:rPr>
          <w:bCs/>
          <w:sz w:val="24"/>
        </w:rPr>
        <w:t xml:space="preserve"> and </w:t>
      </w:r>
      <w:proofErr w:type="spellStart"/>
      <w:r>
        <w:rPr>
          <w:bCs/>
          <w:sz w:val="24"/>
        </w:rPr>
        <w:t>F</w:t>
      </w:r>
      <w:r w:rsidRPr="00C76A88">
        <w:rPr>
          <w:bCs/>
          <w:sz w:val="24"/>
          <w:vertAlign w:val="subscript"/>
        </w:rPr>
        <w:t>b</w:t>
      </w:r>
      <w:proofErr w:type="spellEnd"/>
      <w:r>
        <w:rPr>
          <w:bCs/>
          <w:sz w:val="24"/>
        </w:rPr>
        <w:t xml:space="preserve"> are resistant forces, while </w:t>
      </w:r>
      <w:r w:rsidR="00184A05">
        <w:rPr>
          <w:bCs/>
          <w:i/>
          <w:sz w:val="24"/>
        </w:rPr>
        <w:t>k</w:t>
      </w:r>
      <w:r w:rsidR="00184A05" w:rsidRPr="00C76A88">
        <w:rPr>
          <w:bCs/>
          <w:sz w:val="24"/>
        </w:rPr>
        <w:t xml:space="preserve"> </w:t>
      </w:r>
      <w:r w:rsidRPr="00C76A88">
        <w:rPr>
          <w:bCs/>
          <w:sz w:val="24"/>
        </w:rPr>
        <w:t>is the coefficient of resistant force.</w:t>
      </w:r>
    </w:p>
    <w:sectPr w:rsidR="00C76A88" w:rsidRPr="00434FC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02" w:rsidRDefault="009E3302" w:rsidP="00596789">
      <w:r>
        <w:separator/>
      </w:r>
    </w:p>
  </w:endnote>
  <w:endnote w:type="continuationSeparator" w:id="0">
    <w:p w:rsidR="009E3302" w:rsidRDefault="009E3302" w:rsidP="005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61314"/>
      <w:docPartObj>
        <w:docPartGallery w:val="Page Numbers (Bottom of Page)"/>
        <w:docPartUnique/>
      </w:docPartObj>
    </w:sdtPr>
    <w:sdtEndPr>
      <w:rPr>
        <w:noProof/>
      </w:rPr>
    </w:sdtEndPr>
    <w:sdtContent>
      <w:p w:rsidR="00596789" w:rsidRDefault="00596789">
        <w:pPr>
          <w:pStyle w:val="Footer"/>
          <w:jc w:val="center"/>
        </w:pPr>
        <w:r>
          <w:fldChar w:fldCharType="begin"/>
        </w:r>
        <w:r>
          <w:instrText xml:space="preserve"> PAGE   \* MERGEFORMAT </w:instrText>
        </w:r>
        <w:r>
          <w:fldChar w:fldCharType="separate"/>
        </w:r>
        <w:r w:rsidR="00963B9F">
          <w:rPr>
            <w:noProof/>
          </w:rPr>
          <w:t>3</w:t>
        </w:r>
        <w:r>
          <w:rPr>
            <w:noProof/>
          </w:rPr>
          <w:fldChar w:fldCharType="end"/>
        </w:r>
      </w:p>
    </w:sdtContent>
  </w:sdt>
  <w:p w:rsidR="00596789" w:rsidRDefault="0059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02" w:rsidRDefault="009E3302" w:rsidP="00596789">
      <w:r>
        <w:separator/>
      </w:r>
    </w:p>
  </w:footnote>
  <w:footnote w:type="continuationSeparator" w:id="0">
    <w:p w:rsidR="009E3302" w:rsidRDefault="009E3302" w:rsidP="00596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A"/>
    <w:rsid w:val="00035A5D"/>
    <w:rsid w:val="00041167"/>
    <w:rsid w:val="00050175"/>
    <w:rsid w:val="000D4F18"/>
    <w:rsid w:val="000E23AF"/>
    <w:rsid w:val="00120E22"/>
    <w:rsid w:val="00180163"/>
    <w:rsid w:val="00184A05"/>
    <w:rsid w:val="0018788E"/>
    <w:rsid w:val="002D425F"/>
    <w:rsid w:val="00324F52"/>
    <w:rsid w:val="003D1D13"/>
    <w:rsid w:val="00434FC0"/>
    <w:rsid w:val="00443BA2"/>
    <w:rsid w:val="00473754"/>
    <w:rsid w:val="004A67EA"/>
    <w:rsid w:val="0050522F"/>
    <w:rsid w:val="00596789"/>
    <w:rsid w:val="00620D95"/>
    <w:rsid w:val="006F5D30"/>
    <w:rsid w:val="00705876"/>
    <w:rsid w:val="007149ED"/>
    <w:rsid w:val="007C194C"/>
    <w:rsid w:val="008B2FB6"/>
    <w:rsid w:val="00905B23"/>
    <w:rsid w:val="009317AD"/>
    <w:rsid w:val="00943661"/>
    <w:rsid w:val="00946FF4"/>
    <w:rsid w:val="00963B9F"/>
    <w:rsid w:val="00983EB6"/>
    <w:rsid w:val="009E3302"/>
    <w:rsid w:val="009E7E6E"/>
    <w:rsid w:val="00A6694A"/>
    <w:rsid w:val="00AF663D"/>
    <w:rsid w:val="00B62B83"/>
    <w:rsid w:val="00BE09C7"/>
    <w:rsid w:val="00C101B0"/>
    <w:rsid w:val="00C54F5C"/>
    <w:rsid w:val="00C76A88"/>
    <w:rsid w:val="00CD098F"/>
    <w:rsid w:val="00CE298A"/>
    <w:rsid w:val="00D52E68"/>
    <w:rsid w:val="00D5743E"/>
    <w:rsid w:val="00D62103"/>
    <w:rsid w:val="00D96C48"/>
    <w:rsid w:val="00DF691B"/>
    <w:rsid w:val="00F43678"/>
    <w:rsid w:val="00F50DF4"/>
    <w:rsid w:val="00FC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8F"/>
    <w:pPr>
      <w:widowControl w:val="0"/>
      <w:ind w:right="0"/>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8A"/>
    <w:rPr>
      <w:rFonts w:ascii="Tahoma" w:hAnsi="Tahoma" w:cs="Tahoma"/>
      <w:sz w:val="16"/>
      <w:szCs w:val="16"/>
    </w:rPr>
  </w:style>
  <w:style w:type="character" w:customStyle="1" w:styleId="BalloonTextChar">
    <w:name w:val="Balloon Text Char"/>
    <w:basedOn w:val="DefaultParagraphFont"/>
    <w:link w:val="BalloonText"/>
    <w:uiPriority w:val="99"/>
    <w:semiHidden/>
    <w:rsid w:val="00CE298A"/>
    <w:rPr>
      <w:rFonts w:ascii="Tahoma" w:eastAsia="宋体" w:hAnsi="Tahoma" w:cs="Tahoma"/>
      <w:kern w:val="2"/>
      <w:sz w:val="16"/>
      <w:szCs w:val="16"/>
      <w:lang w:eastAsia="zh-CN"/>
    </w:rPr>
  </w:style>
  <w:style w:type="paragraph" w:styleId="Header">
    <w:name w:val="header"/>
    <w:basedOn w:val="Normal"/>
    <w:link w:val="HeaderChar"/>
    <w:uiPriority w:val="99"/>
    <w:unhideWhenUsed/>
    <w:rsid w:val="00596789"/>
    <w:pPr>
      <w:tabs>
        <w:tab w:val="center" w:pos="4680"/>
        <w:tab w:val="right" w:pos="9360"/>
      </w:tabs>
    </w:pPr>
  </w:style>
  <w:style w:type="character" w:customStyle="1" w:styleId="HeaderChar">
    <w:name w:val="Header Char"/>
    <w:basedOn w:val="DefaultParagraphFont"/>
    <w:link w:val="Header"/>
    <w:uiPriority w:val="99"/>
    <w:rsid w:val="00596789"/>
    <w:rPr>
      <w:rFonts w:ascii="Times New Roman" w:eastAsia="宋体" w:hAnsi="Times New Roman" w:cs="Times New Roman"/>
      <w:kern w:val="2"/>
      <w:sz w:val="21"/>
      <w:szCs w:val="24"/>
      <w:lang w:eastAsia="zh-CN"/>
    </w:rPr>
  </w:style>
  <w:style w:type="paragraph" w:styleId="Footer">
    <w:name w:val="footer"/>
    <w:basedOn w:val="Normal"/>
    <w:link w:val="FooterChar"/>
    <w:uiPriority w:val="99"/>
    <w:unhideWhenUsed/>
    <w:rsid w:val="00596789"/>
    <w:pPr>
      <w:tabs>
        <w:tab w:val="center" w:pos="4680"/>
        <w:tab w:val="right" w:pos="9360"/>
      </w:tabs>
    </w:pPr>
  </w:style>
  <w:style w:type="character" w:customStyle="1" w:styleId="FooterChar">
    <w:name w:val="Footer Char"/>
    <w:basedOn w:val="DefaultParagraphFont"/>
    <w:link w:val="Footer"/>
    <w:uiPriority w:val="99"/>
    <w:rsid w:val="00596789"/>
    <w:rPr>
      <w:rFonts w:ascii="Times New Roman" w:eastAsia="宋体" w:hAnsi="Times New Roman" w:cs="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8F"/>
    <w:pPr>
      <w:widowControl w:val="0"/>
      <w:ind w:right="0"/>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8A"/>
    <w:rPr>
      <w:rFonts w:ascii="Tahoma" w:hAnsi="Tahoma" w:cs="Tahoma"/>
      <w:sz w:val="16"/>
      <w:szCs w:val="16"/>
    </w:rPr>
  </w:style>
  <w:style w:type="character" w:customStyle="1" w:styleId="BalloonTextChar">
    <w:name w:val="Balloon Text Char"/>
    <w:basedOn w:val="DefaultParagraphFont"/>
    <w:link w:val="BalloonText"/>
    <w:uiPriority w:val="99"/>
    <w:semiHidden/>
    <w:rsid w:val="00CE298A"/>
    <w:rPr>
      <w:rFonts w:ascii="Tahoma" w:eastAsia="宋体" w:hAnsi="Tahoma" w:cs="Tahoma"/>
      <w:kern w:val="2"/>
      <w:sz w:val="16"/>
      <w:szCs w:val="16"/>
      <w:lang w:eastAsia="zh-CN"/>
    </w:rPr>
  </w:style>
  <w:style w:type="paragraph" w:styleId="Header">
    <w:name w:val="header"/>
    <w:basedOn w:val="Normal"/>
    <w:link w:val="HeaderChar"/>
    <w:uiPriority w:val="99"/>
    <w:unhideWhenUsed/>
    <w:rsid w:val="00596789"/>
    <w:pPr>
      <w:tabs>
        <w:tab w:val="center" w:pos="4680"/>
        <w:tab w:val="right" w:pos="9360"/>
      </w:tabs>
    </w:pPr>
  </w:style>
  <w:style w:type="character" w:customStyle="1" w:styleId="HeaderChar">
    <w:name w:val="Header Char"/>
    <w:basedOn w:val="DefaultParagraphFont"/>
    <w:link w:val="Header"/>
    <w:uiPriority w:val="99"/>
    <w:rsid w:val="00596789"/>
    <w:rPr>
      <w:rFonts w:ascii="Times New Roman" w:eastAsia="宋体" w:hAnsi="Times New Roman" w:cs="Times New Roman"/>
      <w:kern w:val="2"/>
      <w:sz w:val="21"/>
      <w:szCs w:val="24"/>
      <w:lang w:eastAsia="zh-CN"/>
    </w:rPr>
  </w:style>
  <w:style w:type="paragraph" w:styleId="Footer">
    <w:name w:val="footer"/>
    <w:basedOn w:val="Normal"/>
    <w:link w:val="FooterChar"/>
    <w:uiPriority w:val="99"/>
    <w:unhideWhenUsed/>
    <w:rsid w:val="00596789"/>
    <w:pPr>
      <w:tabs>
        <w:tab w:val="center" w:pos="4680"/>
        <w:tab w:val="right" w:pos="9360"/>
      </w:tabs>
    </w:pPr>
  </w:style>
  <w:style w:type="character" w:customStyle="1" w:styleId="FooterChar">
    <w:name w:val="Footer Char"/>
    <w:basedOn w:val="DefaultParagraphFont"/>
    <w:link w:val="Footer"/>
    <w:uiPriority w:val="99"/>
    <w:rsid w:val="00596789"/>
    <w:rPr>
      <w:rFonts w:ascii="Times New Roman" w:eastAsia="宋体"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tif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GT - Biomedical Engineering</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VOIT , EBERHARD O</dc:creator>
  <cp:lastModifiedBy>Rain</cp:lastModifiedBy>
  <cp:revision>8</cp:revision>
  <dcterms:created xsi:type="dcterms:W3CDTF">2014-02-10T20:58:00Z</dcterms:created>
  <dcterms:modified xsi:type="dcterms:W3CDTF">2014-02-11T16:22:00Z</dcterms:modified>
</cp:coreProperties>
</file>