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B" w:rsidRPr="006219A8" w:rsidRDefault="000850CB" w:rsidP="000850CB">
      <w:pPr>
        <w:jc w:val="center"/>
        <w:rPr>
          <w:rFonts w:ascii="Times New Roman" w:hAnsi="Times New Roman" w:cs="Times New Roman"/>
          <w:b/>
          <w:sz w:val="28"/>
        </w:rPr>
      </w:pPr>
      <w:r w:rsidRPr="006219A8">
        <w:rPr>
          <w:rFonts w:ascii="Times New Roman" w:hAnsi="Times New Roman" w:cs="Times New Roman"/>
          <w:b/>
          <w:sz w:val="28"/>
        </w:rPr>
        <w:t>Supp</w:t>
      </w:r>
      <w:r w:rsidR="00605119" w:rsidRPr="006219A8">
        <w:rPr>
          <w:rFonts w:ascii="Times New Roman" w:hAnsi="Times New Roman" w:cs="Times New Roman"/>
          <w:b/>
          <w:sz w:val="28"/>
        </w:rPr>
        <w:t>lementary Material</w:t>
      </w:r>
    </w:p>
    <w:p w:rsidR="004A1706" w:rsidRDefault="004A1706" w:rsidP="000850CB">
      <w:pPr>
        <w:pStyle w:val="Authors"/>
        <w:spacing w:before="0" w:after="0" w:line="360" w:lineRule="auto"/>
        <w:jc w:val="left"/>
        <w:rPr>
          <w:sz w:val="28"/>
          <w:szCs w:val="28"/>
        </w:rPr>
      </w:pPr>
    </w:p>
    <w:p w:rsidR="004A1706" w:rsidRPr="004A1706" w:rsidRDefault="004A1706" w:rsidP="004A1706">
      <w:pPr>
        <w:pStyle w:val="Title1"/>
        <w:spacing w:before="0" w:after="0" w:line="240" w:lineRule="auto"/>
        <w:rPr>
          <w:b w:val="0"/>
          <w:bCs/>
          <w:sz w:val="26"/>
          <w:szCs w:val="26"/>
          <w:lang w:val="en-GB"/>
        </w:rPr>
      </w:pPr>
      <w:r w:rsidRPr="004A1706">
        <w:rPr>
          <w:b w:val="0"/>
          <w:bCs/>
          <w:sz w:val="26"/>
          <w:szCs w:val="26"/>
          <w:lang w:val="en-GB"/>
        </w:rPr>
        <w:t>Electrochemical studies and potential anticancer activity in ferrocene derivatives</w:t>
      </w:r>
    </w:p>
    <w:p w:rsidR="004A1706" w:rsidRDefault="004A1706" w:rsidP="004A1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1706" w:rsidRDefault="004A1706" w:rsidP="004A1706">
      <w:pPr>
        <w:pStyle w:val="Authors"/>
        <w:spacing w:before="0" w:after="0" w:line="240" w:lineRule="auto"/>
        <w:rPr>
          <w:b w:val="0"/>
          <w:sz w:val="20"/>
          <w:szCs w:val="20"/>
          <w:lang w:val="pt-PT"/>
        </w:rPr>
      </w:pPr>
      <w:r>
        <w:rPr>
          <w:b w:val="0"/>
          <w:sz w:val="20"/>
          <w:szCs w:val="20"/>
          <w:lang w:val="pt-PT"/>
        </w:rPr>
        <w:t>SARA REALISTA, SUSANA QUINTAL, PAULO N. MARTINHO*, ANA I. MELATO, ADRIÀ GIL*, TERESA ESTEVES, MARIA DE DEUS CARVALHO, LILIANA P. FERREIRA, PEDRO D. VAZ and MARIA JOSÉ CALHORDA</w:t>
      </w:r>
    </w:p>
    <w:p w:rsidR="004A1706" w:rsidRDefault="004A1706" w:rsidP="004A17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1611F5" w:rsidRDefault="001611F5" w:rsidP="001611F5">
      <w:pPr>
        <w:spacing w:after="0" w:line="360" w:lineRule="auto"/>
        <w:rPr>
          <w:rFonts w:ascii="Times New Roman" w:hAnsi="Times New Roman" w:cs="Times New Roman"/>
          <w:iCs/>
          <w:sz w:val="20"/>
          <w:lang w:val="es-ES"/>
        </w:rPr>
      </w:pPr>
    </w:p>
    <w:p w:rsidR="004A1706" w:rsidRPr="007B3A76" w:rsidRDefault="004A1706" w:rsidP="001611F5">
      <w:pPr>
        <w:spacing w:after="0" w:line="360" w:lineRule="auto"/>
        <w:rPr>
          <w:rFonts w:ascii="Times New Roman" w:hAnsi="Times New Roman" w:cs="Times New Roman"/>
          <w:iCs/>
          <w:sz w:val="20"/>
          <w:lang w:val="es-ES"/>
        </w:rPr>
      </w:pPr>
    </w:p>
    <w:p w:rsidR="00D55F2A" w:rsidRPr="00F13422" w:rsidRDefault="006F290F" w:rsidP="00E45D17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  <w:r w:rsidRPr="00F13422">
        <w:rPr>
          <w:rFonts w:ascii="Times New Roman" w:hAnsi="Times New Roman" w:cs="Times New Roman"/>
          <w:iCs/>
        </w:rPr>
        <w:t>This Supplementary Material includes</w:t>
      </w:r>
      <w:r w:rsidR="00D55F2A" w:rsidRPr="00F13422">
        <w:rPr>
          <w:rFonts w:ascii="Times New Roman" w:hAnsi="Times New Roman" w:cs="Times New Roman"/>
          <w:iCs/>
        </w:rPr>
        <w:t>:</w:t>
      </w:r>
    </w:p>
    <w:p w:rsidR="00D55F2A" w:rsidRPr="00F13422" w:rsidRDefault="00D55F2A" w:rsidP="004A170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iCs/>
        </w:rPr>
      </w:pPr>
      <w:r w:rsidRPr="00F13422">
        <w:rPr>
          <w:rFonts w:ascii="Times New Roman" w:hAnsi="Times New Roman" w:cs="Times New Roman"/>
          <w:iCs/>
        </w:rPr>
        <w:t>-</w:t>
      </w:r>
      <w:r w:rsidR="004A1706" w:rsidRPr="00F13422">
        <w:rPr>
          <w:rFonts w:ascii="Times New Roman" w:hAnsi="Times New Roman" w:cs="Times New Roman"/>
          <w:iCs/>
        </w:rPr>
        <w:tab/>
      </w:r>
      <w:r w:rsidR="006F290F" w:rsidRPr="00F13422">
        <w:rPr>
          <w:rFonts w:ascii="Times New Roman" w:hAnsi="Times New Roman" w:cs="Times New Roman"/>
          <w:i/>
          <w:iCs/>
        </w:rPr>
        <w:t>In vitro</w:t>
      </w:r>
      <w:r w:rsidR="006F290F" w:rsidRPr="00F13422">
        <w:rPr>
          <w:rFonts w:ascii="Times New Roman" w:hAnsi="Times New Roman" w:cs="Times New Roman"/>
          <w:iCs/>
        </w:rPr>
        <w:t xml:space="preserve"> cytotoxicity assays against A549 and A375 cells for all </w:t>
      </w:r>
      <w:r w:rsidRPr="00F13422">
        <w:rPr>
          <w:rFonts w:ascii="Times New Roman" w:hAnsi="Times New Roman" w:cs="Times New Roman"/>
          <w:iCs/>
        </w:rPr>
        <w:t>the studied ferrocene complexes</w:t>
      </w:r>
    </w:p>
    <w:p w:rsidR="00D55F2A" w:rsidRPr="00F13422" w:rsidRDefault="00D55F2A" w:rsidP="004A170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iCs/>
        </w:rPr>
      </w:pPr>
      <w:r w:rsidRPr="00F13422">
        <w:rPr>
          <w:rFonts w:ascii="Times New Roman" w:hAnsi="Times New Roman" w:cs="Times New Roman"/>
          <w:iCs/>
        </w:rPr>
        <w:t>-</w:t>
      </w:r>
      <w:r w:rsidR="004A1706" w:rsidRPr="00F13422">
        <w:rPr>
          <w:rFonts w:ascii="Times New Roman" w:hAnsi="Times New Roman" w:cs="Times New Roman"/>
          <w:iCs/>
        </w:rPr>
        <w:tab/>
      </w:r>
      <w:r w:rsidR="00E45D17" w:rsidRPr="00F13422">
        <w:rPr>
          <w:rFonts w:ascii="Times New Roman" w:hAnsi="Times New Roman" w:cs="Times New Roman"/>
          <w:iCs/>
        </w:rPr>
        <w:t>isomer shift and quadrupole splitting parameters from Mössbauer experiments and DFT calculations for all the studied complexes</w:t>
      </w:r>
    </w:p>
    <w:p w:rsidR="00D55F2A" w:rsidRPr="00F13422" w:rsidRDefault="004A1706" w:rsidP="004A170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iCs/>
        </w:rPr>
      </w:pPr>
      <w:r w:rsidRPr="00F13422">
        <w:rPr>
          <w:rFonts w:ascii="Times New Roman" w:hAnsi="Times New Roman" w:cs="Times New Roman"/>
          <w:iCs/>
        </w:rPr>
        <w:t>-</w:t>
      </w:r>
      <w:r w:rsidRPr="00F13422">
        <w:rPr>
          <w:rFonts w:ascii="Times New Roman" w:hAnsi="Times New Roman" w:cs="Times New Roman"/>
          <w:iCs/>
        </w:rPr>
        <w:tab/>
      </w:r>
      <w:r w:rsidR="00AF0E62" w:rsidRPr="00F13422">
        <w:rPr>
          <w:rFonts w:ascii="Times New Roman" w:hAnsi="Times New Roman" w:cs="Times New Roman"/>
          <w:iCs/>
        </w:rPr>
        <w:t xml:space="preserve">the cell viability by the MTT assay of A375 cells in the presence of compound </w:t>
      </w:r>
      <w:r w:rsidR="00AF0E62" w:rsidRPr="00F13422">
        <w:rPr>
          <w:rFonts w:ascii="Times New Roman" w:hAnsi="Times New Roman" w:cs="Times New Roman"/>
          <w:b/>
          <w:iCs/>
        </w:rPr>
        <w:t>6</w:t>
      </w:r>
    </w:p>
    <w:p w:rsidR="00D55F2A" w:rsidRPr="00F13422" w:rsidRDefault="00D55F2A" w:rsidP="004A170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iCs/>
        </w:rPr>
      </w:pPr>
      <w:r w:rsidRPr="00F13422">
        <w:rPr>
          <w:rFonts w:ascii="Times New Roman" w:hAnsi="Times New Roman" w:cs="Times New Roman"/>
          <w:iCs/>
        </w:rPr>
        <w:t>-</w:t>
      </w:r>
      <w:r w:rsidR="004A1706" w:rsidRPr="00F13422">
        <w:rPr>
          <w:rFonts w:ascii="Times New Roman" w:hAnsi="Times New Roman" w:cs="Times New Roman"/>
          <w:iCs/>
        </w:rPr>
        <w:tab/>
      </w:r>
      <w:r w:rsidR="004241C7" w:rsidRPr="00F13422">
        <w:rPr>
          <w:rFonts w:ascii="Times New Roman" w:hAnsi="Times New Roman" w:cs="Times New Roman"/>
          <w:iCs/>
        </w:rPr>
        <w:t>cyclic voltammograms, i</w:t>
      </w:r>
      <w:r w:rsidR="004241C7" w:rsidRPr="00F13422">
        <w:rPr>
          <w:rFonts w:ascii="Times New Roman" w:hAnsi="Times New Roman" w:cs="Times New Roman"/>
          <w:iCs/>
          <w:vertAlign w:val="subscript"/>
        </w:rPr>
        <w:t>p</w:t>
      </w:r>
      <w:r w:rsidR="004241C7" w:rsidRPr="00F13422">
        <w:rPr>
          <w:rFonts w:ascii="Times New Roman" w:hAnsi="Times New Roman" w:cs="Times New Roman"/>
          <w:iCs/>
          <w:vertAlign w:val="superscript"/>
        </w:rPr>
        <w:t>a</w:t>
      </w:r>
      <w:r w:rsidR="004241C7" w:rsidRPr="00F13422">
        <w:rPr>
          <w:rFonts w:ascii="Times New Roman" w:hAnsi="Times New Roman" w:cs="Times New Roman"/>
          <w:iCs/>
        </w:rPr>
        <w:t xml:space="preserve"> versus v</w:t>
      </w:r>
      <w:r w:rsidR="004241C7" w:rsidRPr="00F13422">
        <w:rPr>
          <w:rFonts w:ascii="Times New Roman" w:hAnsi="Times New Roman" w:cs="Times New Roman"/>
          <w:iCs/>
          <w:vertAlign w:val="superscript"/>
        </w:rPr>
        <w:t xml:space="preserve">1/2 </w:t>
      </w:r>
      <w:r w:rsidR="004241C7" w:rsidRPr="00F13422">
        <w:rPr>
          <w:rFonts w:ascii="Times New Roman" w:hAnsi="Times New Roman" w:cs="Times New Roman"/>
          <w:iCs/>
        </w:rPr>
        <w:t>plots of the analyzed complexes</w:t>
      </w:r>
    </w:p>
    <w:p w:rsidR="001611F5" w:rsidRPr="00F13422" w:rsidRDefault="004A1706" w:rsidP="004A1706">
      <w:pPr>
        <w:spacing w:after="0" w:line="360" w:lineRule="auto"/>
        <w:ind w:left="180" w:hanging="180"/>
        <w:jc w:val="both"/>
        <w:rPr>
          <w:rFonts w:ascii="Times New Roman" w:hAnsi="Times New Roman" w:cs="Times New Roman"/>
          <w:iCs/>
        </w:rPr>
      </w:pPr>
      <w:r w:rsidRPr="00F13422">
        <w:rPr>
          <w:rFonts w:ascii="Times New Roman" w:hAnsi="Times New Roman" w:cs="Times New Roman"/>
          <w:iCs/>
        </w:rPr>
        <w:t>-</w:t>
      </w:r>
      <w:r w:rsidRPr="00F13422">
        <w:rPr>
          <w:rFonts w:ascii="Times New Roman" w:hAnsi="Times New Roman" w:cs="Times New Roman"/>
          <w:iCs/>
        </w:rPr>
        <w:tab/>
      </w:r>
      <w:r w:rsidR="00ED4A91" w:rsidRPr="00F13422">
        <w:rPr>
          <w:rFonts w:ascii="Times New Roman" w:hAnsi="Times New Roman" w:cs="Times New Roman"/>
          <w:iCs/>
        </w:rPr>
        <w:t>the plot of E</w:t>
      </w:r>
      <w:r w:rsidR="00ED4A91" w:rsidRPr="00F13422">
        <w:rPr>
          <w:rFonts w:ascii="Times New Roman" w:hAnsi="Times New Roman" w:cs="Times New Roman"/>
          <w:iCs/>
          <w:vertAlign w:val="superscript"/>
        </w:rPr>
        <w:t>a</w:t>
      </w:r>
      <w:r w:rsidR="00ED4A91" w:rsidRPr="00F13422">
        <w:rPr>
          <w:rFonts w:ascii="Times New Roman" w:hAnsi="Times New Roman" w:cs="Times New Roman"/>
          <w:iCs/>
          <w:vertAlign w:val="subscript"/>
        </w:rPr>
        <w:t>1/2</w:t>
      </w:r>
      <w:r w:rsidR="00ED4A91" w:rsidRPr="00F13422">
        <w:rPr>
          <w:rFonts w:ascii="Times New Roman" w:hAnsi="Times New Roman" w:cs="Times New Roman"/>
          <w:iCs/>
        </w:rPr>
        <w:t xml:space="preserve"> versus Hammet constant (</w:t>
      </w:r>
      <w:r w:rsidR="00ED4A91" w:rsidRPr="00F13422">
        <w:rPr>
          <w:rFonts w:ascii="Symbol" w:hAnsi="Symbol" w:cs="Times New Roman"/>
          <w:iCs/>
        </w:rPr>
        <w:t></w:t>
      </w:r>
      <w:r w:rsidR="00D55F2A" w:rsidRPr="00F13422">
        <w:rPr>
          <w:rFonts w:ascii="Times New Roman" w:hAnsi="Times New Roman" w:cs="Times New Roman"/>
          <w:iCs/>
        </w:rPr>
        <w:t>) for the</w:t>
      </w:r>
      <w:r w:rsidR="00ED4A91" w:rsidRPr="00F13422">
        <w:rPr>
          <w:rFonts w:ascii="Times New Roman" w:hAnsi="Times New Roman" w:cs="Times New Roman"/>
          <w:iCs/>
        </w:rPr>
        <w:t xml:space="preserve"> ferrocene derivatives</w:t>
      </w:r>
      <w:r w:rsidR="00D55F2A" w:rsidRPr="00F13422">
        <w:rPr>
          <w:rFonts w:ascii="Times New Roman" w:hAnsi="Times New Roman" w:cs="Times New Roman"/>
          <w:iCs/>
        </w:rPr>
        <w:t xml:space="preserve"> exhibiting diffusion controlled electrochemical processes</w:t>
      </w:r>
      <w:r w:rsidR="006F290F" w:rsidRPr="00F13422">
        <w:rPr>
          <w:rFonts w:ascii="Times New Roman" w:hAnsi="Times New Roman" w:cs="Times New Roman"/>
          <w:iCs/>
        </w:rPr>
        <w:t xml:space="preserve"> </w:t>
      </w:r>
    </w:p>
    <w:p w:rsidR="004A1706" w:rsidRDefault="004A1706">
      <w:pPr>
        <w:spacing w:after="200" w:line="276" w:lineRule="auto"/>
        <w:rPr>
          <w:rFonts w:ascii="Times New Roman" w:hAnsi="Times New Roman" w:cs="Times New Roman"/>
          <w:iCs/>
          <w:sz w:val="20"/>
          <w:lang w:val="en-US"/>
        </w:rPr>
      </w:pPr>
      <w:r>
        <w:rPr>
          <w:rFonts w:ascii="Times New Roman" w:hAnsi="Times New Roman" w:cs="Times New Roman"/>
          <w:iCs/>
          <w:sz w:val="20"/>
          <w:lang w:val="en-US"/>
        </w:rPr>
        <w:br w:type="page"/>
      </w:r>
    </w:p>
    <w:p w:rsidR="00A34981" w:rsidRPr="006219A8" w:rsidRDefault="004A1706" w:rsidP="00A34981">
      <w:pPr>
        <w:spacing w:after="0" w:line="360" w:lineRule="auto"/>
        <w:rPr>
          <w:rFonts w:ascii="Times New Roman" w:hAnsi="Times New Roman" w:cs="Times New Roman"/>
          <w:b/>
          <w:iCs/>
          <w:sz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lang w:val="en-US"/>
        </w:rPr>
        <w:lastRenderedPageBreak/>
        <w:t>C</w:t>
      </w:r>
      <w:r w:rsidR="00A34981" w:rsidRPr="006219A8">
        <w:rPr>
          <w:rFonts w:ascii="Times New Roman" w:hAnsi="Times New Roman" w:cs="Times New Roman"/>
          <w:b/>
          <w:iCs/>
          <w:sz w:val="24"/>
          <w:lang w:val="en-US"/>
        </w:rPr>
        <w:t>ontents</w:t>
      </w:r>
    </w:p>
    <w:p w:rsidR="00A34981" w:rsidRPr="006219A8" w:rsidRDefault="00A34981" w:rsidP="00A34981">
      <w:pPr>
        <w:spacing w:after="0" w:line="360" w:lineRule="auto"/>
        <w:rPr>
          <w:rFonts w:ascii="Times New Roman" w:hAnsi="Times New Roman" w:cs="Times New Roman"/>
          <w:b/>
          <w:iCs/>
          <w:sz w:val="24"/>
          <w:lang w:val="en-US"/>
        </w:rPr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200"/>
        <w:gridCol w:w="567"/>
      </w:tblGrid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Table S1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i/>
                <w:lang w:val="en-AU"/>
              </w:rPr>
              <w:t>In vitro</w:t>
            </w:r>
            <w:r w:rsidRPr="006219A8">
              <w:rPr>
                <w:rFonts w:ascii="Times New Roman" w:hAnsi="Times New Roman" w:cs="Times New Roman"/>
                <w:lang w:val="en-AU"/>
              </w:rPr>
              <w:t xml:space="preserve"> cytotoxicity assays for ferrocene complexes </w:t>
            </w:r>
            <w:r w:rsidRPr="00110168">
              <w:rPr>
                <w:rFonts w:ascii="Times New Roman" w:hAnsi="Times New Roman" w:cs="Times New Roman"/>
                <w:b/>
                <w:lang w:val="en-AU"/>
              </w:rPr>
              <w:t>1</w:t>
            </w:r>
            <w:r w:rsidRPr="006219A8">
              <w:rPr>
                <w:rFonts w:ascii="Times New Roman" w:hAnsi="Times New Roman" w:cs="Times New Roman"/>
                <w:lang w:val="en-AU"/>
              </w:rPr>
              <w:t>-</w:t>
            </w:r>
            <w:r w:rsidRPr="00110168">
              <w:rPr>
                <w:rFonts w:ascii="Times New Roman" w:hAnsi="Times New Roman" w:cs="Times New Roman"/>
                <w:b/>
                <w:lang w:val="en-AU"/>
              </w:rPr>
              <w:t>7</w:t>
            </w:r>
            <w:r w:rsidRPr="006219A8">
              <w:rPr>
                <w:rFonts w:ascii="Times New Roman" w:hAnsi="Times New Roman" w:cs="Times New Roman"/>
                <w:lang w:val="en-AU"/>
              </w:rPr>
              <w:t xml:space="preserve"> against A549 and A375 cells (mean ± SD).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SI3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Table S2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Isomer shift (IS</w:t>
            </w:r>
            <w:r w:rsidRPr="006219A8">
              <w:rPr>
                <w:rFonts w:ascii="Times New Roman" w:hAnsi="Times New Roman" w:cs="Times New Roman"/>
                <w:i/>
                <w:lang w:val="en-AU"/>
              </w:rPr>
              <w:t xml:space="preserve"> /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mm s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6219A8">
              <w:rPr>
                <w:rFonts w:ascii="Times New Roman" w:hAnsi="Times New Roman" w:cs="Times New Roman"/>
                <w:lang w:val="en-US"/>
              </w:rPr>
              <w:t>) and quadrupole splitting (QS / mm s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6219A8">
              <w:rPr>
                <w:rFonts w:ascii="Times New Roman" w:hAnsi="Times New Roman" w:cs="Times New Roman"/>
                <w:lang w:val="en-US"/>
              </w:rPr>
              <w:t>) determined from the Mössbauer spectra at room temperature (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Exp.)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of complexes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10168">
              <w:rPr>
                <w:rFonts w:ascii="Times New Roman" w:hAnsi="Times New Roman" w:cs="Times New Roman"/>
                <w:lang w:val="en-US"/>
              </w:rPr>
              <w:t>-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6219A8">
              <w:rPr>
                <w:rFonts w:ascii="Times New Roman" w:hAnsi="Times New Roman" w:cs="Times New Roman"/>
                <w:lang w:val="en-US"/>
              </w:rPr>
              <w:t>, electronic density at the nucleus (</w:t>
            </w:r>
            <w:r w:rsidRPr="006219A8">
              <w:rPr>
                <w:rFonts w:ascii="Times New Roman" w:hAnsi="Times New Roman" w:cs="Times New Roman"/>
                <w:lang w:val="en-AU"/>
              </w:rPr>
              <w:t>ρ</w:t>
            </w:r>
            <w:r w:rsidRPr="006219A8">
              <w:rPr>
                <w:rFonts w:ascii="Times New Roman" w:hAnsi="Times New Roman" w:cs="Times New Roman"/>
                <w:lang w:val="de-DE"/>
              </w:rPr>
              <w:t xml:space="preserve"> / a.u.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) and IS and </w:t>
            </w:r>
            <w:r w:rsidRPr="006219A8">
              <w:rPr>
                <w:rFonts w:ascii="Times New Roman" w:hAnsi="Times New Roman" w:cs="Times New Roman"/>
                <w:lang w:val="en-AU"/>
              </w:rPr>
              <w:t>QS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from DFT calculations (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Calc</w:t>
            </w:r>
            <w:r w:rsidRPr="006219A8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SI4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Cell viability by the MTT assay of A375</w:t>
            </w:r>
            <w:r w:rsid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cells, in the presence of compound </w:t>
            </w:r>
            <w:r w:rsidRPr="00110168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SI5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S2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>using different sweep scan rates.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SI5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S3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>using different sweep scan rates.</w:t>
            </w:r>
          </w:p>
        </w:tc>
        <w:tc>
          <w:tcPr>
            <w:tcW w:w="567" w:type="dxa"/>
          </w:tcPr>
          <w:p w:rsidR="00A34981" w:rsidRPr="006219A8" w:rsidRDefault="00A34981" w:rsidP="00896FAC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896FAC">
              <w:rPr>
                <w:rFonts w:ascii="Times New Roman" w:hAnsi="Times New Roman" w:cs="Times New Roman"/>
                <w:b/>
                <w:iCs/>
                <w:lang w:val="en-US"/>
              </w:rPr>
              <w:t>5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S4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SI6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S5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D86CE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D86CE6">
              <w:rPr>
                <w:rFonts w:ascii="Times New Roman" w:hAnsi="Times New Roman" w:cs="Times New Roman"/>
                <w:b/>
                <w:iCs/>
                <w:lang w:val="en-US"/>
              </w:rPr>
              <w:t>6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S6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D86CE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D86CE6">
              <w:rPr>
                <w:rFonts w:ascii="Times New Roman" w:hAnsi="Times New Roman" w:cs="Times New Roman"/>
                <w:b/>
                <w:iCs/>
                <w:lang w:val="en-US"/>
              </w:rPr>
              <w:t>6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S7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SI7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S8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383972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383972">
              <w:rPr>
                <w:rFonts w:ascii="Times New Roman" w:hAnsi="Times New Roman" w:cs="Times New Roman"/>
                <w:b/>
                <w:iCs/>
                <w:lang w:val="en-US"/>
              </w:rPr>
              <w:t>7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S9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i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p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versus v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1/2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for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383972">
              <w:rPr>
                <w:rFonts w:ascii="Times New Roman" w:hAnsi="Times New Roman" w:cs="Times New Roman"/>
                <w:b/>
                <w:iCs/>
                <w:lang w:val="en-US"/>
              </w:rPr>
              <w:t>7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S10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>using different sweep scan rates.</w:t>
            </w:r>
          </w:p>
        </w:tc>
        <w:tc>
          <w:tcPr>
            <w:tcW w:w="567" w:type="dxa"/>
          </w:tcPr>
          <w:p w:rsidR="00A34981" w:rsidRPr="006219A8" w:rsidRDefault="00A34981" w:rsidP="003F7F3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SI8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S11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2-aminobenzimidazole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>at 100 mV s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05131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051317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S12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 xml:space="preserve">4 </w:t>
            </w:r>
            <w:r w:rsidRPr="006219A8">
              <w:rPr>
                <w:rFonts w:ascii="Times New Roman" w:hAnsi="Times New Roman" w:cs="Times New Roman"/>
                <w:lang w:val="en-US"/>
              </w:rPr>
              <w:t>using different sweep scan rates.</w:t>
            </w:r>
          </w:p>
        </w:tc>
        <w:tc>
          <w:tcPr>
            <w:tcW w:w="567" w:type="dxa"/>
          </w:tcPr>
          <w:p w:rsidR="00A34981" w:rsidRPr="006219A8" w:rsidRDefault="00A34981" w:rsidP="0005131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051317">
              <w:rPr>
                <w:rFonts w:ascii="Times New Roman" w:hAnsi="Times New Roman" w:cs="Times New Roman"/>
                <w:b/>
                <w:iCs/>
                <w:lang w:val="en-US"/>
              </w:rPr>
              <w:t>8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S13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Cyclic voltammograms of a Pt electrode in 0.1 M TBAPF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  <w:r w:rsidRPr="006219A8">
              <w:rPr>
                <w:rFonts w:ascii="Times New Roman" w:hAnsi="Times New Roman" w:cs="Times New Roman"/>
                <w:lang w:val="en-US"/>
              </w:rPr>
              <w:t>/CH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>Cl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solution containing 0.8 mM of complex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>using different sweep scan rates.</w:t>
            </w:r>
          </w:p>
        </w:tc>
        <w:tc>
          <w:tcPr>
            <w:tcW w:w="567" w:type="dxa"/>
          </w:tcPr>
          <w:p w:rsidR="00A34981" w:rsidRPr="006219A8" w:rsidRDefault="00A34981" w:rsidP="0005131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051317">
              <w:rPr>
                <w:rFonts w:ascii="Times New Roman" w:hAnsi="Times New Roman" w:cs="Times New Roman"/>
                <w:b/>
                <w:iCs/>
                <w:lang w:val="en-US"/>
              </w:rPr>
              <w:t>9</w:t>
            </w:r>
          </w:p>
        </w:tc>
      </w:tr>
      <w:tr w:rsidR="00A34981" w:rsidRPr="006219A8" w:rsidTr="00110168">
        <w:tc>
          <w:tcPr>
            <w:tcW w:w="1278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Figure S14</w:t>
            </w:r>
          </w:p>
        </w:tc>
        <w:tc>
          <w:tcPr>
            <w:tcW w:w="7200" w:type="dxa"/>
          </w:tcPr>
          <w:p w:rsidR="00A34981" w:rsidRPr="006219A8" w:rsidRDefault="00A34981" w:rsidP="003F7F30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E</w:t>
            </w:r>
            <w:r w:rsidRPr="006219A8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Pr="006219A8">
              <w:rPr>
                <w:rFonts w:ascii="Times New Roman" w:hAnsi="Times New Roman" w:cs="Times New Roman"/>
                <w:vertAlign w:val="subscript"/>
                <w:lang w:val="en-US"/>
              </w:rPr>
              <w:t>1/2</w:t>
            </w:r>
            <w:r w:rsidRPr="001101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versus Hammet constant (σ) for ferrocene derivatives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219A8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6219A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6219A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7" w:type="dxa"/>
          </w:tcPr>
          <w:p w:rsidR="00A34981" w:rsidRPr="006219A8" w:rsidRDefault="00A34981" w:rsidP="0005131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iCs/>
                <w:lang w:val="en-US"/>
              </w:rPr>
              <w:t>SI</w:t>
            </w:r>
            <w:r w:rsidR="00051317">
              <w:rPr>
                <w:rFonts w:ascii="Times New Roman" w:hAnsi="Times New Roman" w:cs="Times New Roman"/>
                <w:b/>
                <w:iCs/>
                <w:lang w:val="en-US"/>
              </w:rPr>
              <w:t>9</w:t>
            </w:r>
          </w:p>
        </w:tc>
      </w:tr>
    </w:tbl>
    <w:p w:rsidR="00110168" w:rsidRDefault="00110168" w:rsidP="00A3498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10168" w:rsidRDefault="00110168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850CB" w:rsidRPr="006219A8" w:rsidRDefault="000850CB" w:rsidP="000850CB">
      <w:pPr>
        <w:spacing w:after="0" w:line="360" w:lineRule="auto"/>
        <w:rPr>
          <w:rFonts w:ascii="Times New Roman" w:hAnsi="Times New Roman" w:cs="Times New Roman"/>
          <w:sz w:val="24"/>
          <w:lang w:val="en-AU"/>
        </w:rPr>
      </w:pPr>
      <w:r w:rsidRPr="006219A8">
        <w:rPr>
          <w:rFonts w:ascii="Times New Roman" w:hAnsi="Times New Roman" w:cs="Times New Roman"/>
          <w:b/>
          <w:sz w:val="24"/>
          <w:lang w:val="en-AU"/>
        </w:rPr>
        <w:lastRenderedPageBreak/>
        <w:t>Table S1</w:t>
      </w:r>
      <w:r w:rsidRPr="006219A8">
        <w:rPr>
          <w:rFonts w:ascii="Times New Roman" w:hAnsi="Times New Roman" w:cs="Times New Roman"/>
          <w:sz w:val="24"/>
          <w:lang w:val="en-AU"/>
        </w:rPr>
        <w:t xml:space="preserve">. </w:t>
      </w:r>
      <w:r w:rsidRPr="006219A8">
        <w:rPr>
          <w:rFonts w:ascii="Times New Roman" w:hAnsi="Times New Roman" w:cs="Times New Roman"/>
          <w:i/>
          <w:sz w:val="24"/>
          <w:lang w:val="en-AU"/>
        </w:rPr>
        <w:t>In vitro</w:t>
      </w:r>
      <w:r w:rsidRPr="006219A8">
        <w:rPr>
          <w:rFonts w:ascii="Times New Roman" w:hAnsi="Times New Roman" w:cs="Times New Roman"/>
          <w:sz w:val="24"/>
          <w:lang w:val="en-AU"/>
        </w:rPr>
        <w:t xml:space="preserve"> cytotoxicity assays for ferrocene complexes </w:t>
      </w:r>
      <w:r w:rsidRPr="006219A8">
        <w:rPr>
          <w:rFonts w:ascii="Times New Roman" w:hAnsi="Times New Roman" w:cs="Times New Roman"/>
          <w:b/>
          <w:sz w:val="24"/>
          <w:lang w:val="en-AU"/>
        </w:rPr>
        <w:t>1</w:t>
      </w:r>
      <w:r w:rsidRPr="00110168">
        <w:rPr>
          <w:rFonts w:ascii="Times New Roman" w:hAnsi="Times New Roman" w:cs="Times New Roman"/>
          <w:sz w:val="24"/>
          <w:lang w:val="en-AU"/>
        </w:rPr>
        <w:t>-</w:t>
      </w:r>
      <w:r w:rsidRPr="006219A8">
        <w:rPr>
          <w:rFonts w:ascii="Times New Roman" w:hAnsi="Times New Roman" w:cs="Times New Roman"/>
          <w:b/>
          <w:sz w:val="24"/>
          <w:lang w:val="en-AU"/>
        </w:rPr>
        <w:t>7</w:t>
      </w:r>
      <w:r w:rsidRPr="006219A8">
        <w:rPr>
          <w:rFonts w:ascii="Times New Roman" w:hAnsi="Times New Roman" w:cs="Times New Roman"/>
          <w:sz w:val="24"/>
          <w:lang w:val="en-AU"/>
        </w:rPr>
        <w:t xml:space="preserve"> against A549 and A375 cells (mean ± SD).</w:t>
      </w:r>
    </w:p>
    <w:p w:rsidR="001611F5" w:rsidRPr="006219A8" w:rsidRDefault="001611F5" w:rsidP="000850CB">
      <w:pPr>
        <w:spacing w:after="0" w:line="360" w:lineRule="auto"/>
        <w:rPr>
          <w:rFonts w:ascii="Times New Roman" w:hAnsi="Times New Roman" w:cs="Times New Roman"/>
          <w:sz w:val="24"/>
          <w:lang w:val="en-AU"/>
        </w:rPr>
      </w:pPr>
    </w:p>
    <w:tbl>
      <w:tblPr>
        <w:tblW w:w="3228" w:type="pct"/>
        <w:tblInd w:w="166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46"/>
        <w:gridCol w:w="1983"/>
      </w:tblGrid>
      <w:tr w:rsidR="000850CB" w:rsidRPr="006219A8" w:rsidTr="001611F5">
        <w:tc>
          <w:tcPr>
            <w:tcW w:w="151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Complexes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IC</w:t>
            </w:r>
            <w:r w:rsidRPr="006219A8">
              <w:rPr>
                <w:rFonts w:ascii="Times New Roman" w:hAnsi="Times New Roman" w:cs="Times New Roman"/>
                <w:b/>
                <w:vertAlign w:val="subscript"/>
                <w:lang w:val="en-AU"/>
              </w:rPr>
              <w:t>50</w:t>
            </w:r>
            <w:r w:rsidRPr="006219A8">
              <w:rPr>
                <w:rFonts w:ascii="Times New Roman" w:hAnsi="Times New Roman" w:cs="Times New Roman"/>
                <w:b/>
                <w:lang w:val="en-AU"/>
              </w:rPr>
              <w:t xml:space="preserve"> (µM)</w:t>
            </w:r>
          </w:p>
        </w:tc>
      </w:tr>
      <w:tr w:rsidR="000850CB" w:rsidRPr="006219A8" w:rsidTr="001611F5">
        <w:tc>
          <w:tcPr>
            <w:tcW w:w="1511" w:type="pct"/>
            <w:vMerge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A549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A375</w:t>
            </w:r>
          </w:p>
        </w:tc>
      </w:tr>
      <w:tr w:rsidR="000850CB" w:rsidRPr="006219A8" w:rsidTr="001611F5">
        <w:tc>
          <w:tcPr>
            <w:tcW w:w="1511" w:type="pct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1</w:t>
            </w:r>
          </w:p>
        </w:tc>
        <w:tc>
          <w:tcPr>
            <w:tcW w:w="172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157.4 ± 1.16</w:t>
            </w:r>
          </w:p>
        </w:tc>
      </w:tr>
      <w:tr w:rsidR="000850CB" w:rsidRPr="006219A8" w:rsidTr="001611F5">
        <w:tc>
          <w:tcPr>
            <w:tcW w:w="15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2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</w:tr>
      <w:tr w:rsidR="000850CB" w:rsidRPr="006219A8" w:rsidTr="001611F5">
        <w:tc>
          <w:tcPr>
            <w:tcW w:w="15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3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99.12 ± 1.05</w:t>
            </w:r>
          </w:p>
        </w:tc>
      </w:tr>
      <w:tr w:rsidR="000850CB" w:rsidRPr="006219A8" w:rsidTr="001611F5">
        <w:tc>
          <w:tcPr>
            <w:tcW w:w="15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4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</w:tr>
      <w:tr w:rsidR="000850CB" w:rsidRPr="006219A8" w:rsidTr="001611F5">
        <w:tc>
          <w:tcPr>
            <w:tcW w:w="15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5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</w:tr>
      <w:tr w:rsidR="000850CB" w:rsidRPr="006219A8" w:rsidTr="001611F5">
        <w:trPr>
          <w:trHeight w:val="63"/>
        </w:trPr>
        <w:tc>
          <w:tcPr>
            <w:tcW w:w="151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6</w:t>
            </w: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28.16 ± 1.22</w:t>
            </w:r>
          </w:p>
        </w:tc>
      </w:tr>
      <w:tr w:rsidR="000850CB" w:rsidRPr="006219A8" w:rsidTr="001611F5">
        <w:tc>
          <w:tcPr>
            <w:tcW w:w="151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&gt;200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0CB" w:rsidRPr="006219A8" w:rsidRDefault="000850CB" w:rsidP="001C55E1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102.0 ± 1.10</w:t>
            </w:r>
          </w:p>
        </w:tc>
      </w:tr>
    </w:tbl>
    <w:p w:rsidR="00110168" w:rsidRDefault="00110168" w:rsidP="000850C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10168" w:rsidRDefault="00110168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850CB" w:rsidRPr="006219A8" w:rsidRDefault="000850CB" w:rsidP="000850CB">
      <w:pPr>
        <w:pStyle w:val="P1"/>
        <w:spacing w:before="0" w:after="0" w:line="360" w:lineRule="auto"/>
        <w:ind w:firstLine="0"/>
        <w:rPr>
          <w:sz w:val="24"/>
          <w:szCs w:val="24"/>
          <w:lang w:val="en-US"/>
        </w:rPr>
      </w:pPr>
      <w:r w:rsidRPr="006219A8">
        <w:rPr>
          <w:b/>
          <w:sz w:val="24"/>
          <w:szCs w:val="24"/>
          <w:lang w:val="en-US"/>
        </w:rPr>
        <w:lastRenderedPageBreak/>
        <w:t>Table S2</w:t>
      </w:r>
      <w:r w:rsidR="00554F49" w:rsidRPr="006219A8">
        <w:rPr>
          <w:b/>
          <w:sz w:val="24"/>
          <w:szCs w:val="24"/>
          <w:lang w:val="en-US"/>
        </w:rPr>
        <w:t>.</w:t>
      </w:r>
      <w:r w:rsidRPr="006219A8">
        <w:rPr>
          <w:sz w:val="24"/>
          <w:szCs w:val="24"/>
          <w:lang w:val="en-US"/>
        </w:rPr>
        <w:t xml:space="preserve">  Isomer Shift (IS</w:t>
      </w:r>
      <w:r w:rsidRPr="006219A8">
        <w:rPr>
          <w:rFonts w:ascii="Symbol" w:hAnsi="Symbol"/>
          <w:i/>
          <w:sz w:val="24"/>
          <w:szCs w:val="24"/>
          <w:lang w:val="en-AU"/>
        </w:rPr>
        <w:t></w:t>
      </w:r>
      <w:r w:rsidRPr="006219A8">
        <w:rPr>
          <w:rFonts w:ascii="Symbol" w:hAnsi="Symbol"/>
          <w:sz w:val="24"/>
          <w:szCs w:val="24"/>
          <w:lang w:val="en-US"/>
        </w:rPr>
        <w:t></w:t>
      </w:r>
      <w:r w:rsidRPr="006219A8">
        <w:rPr>
          <w:sz w:val="24"/>
          <w:szCs w:val="24"/>
          <w:lang w:val="en-US"/>
        </w:rPr>
        <w:t xml:space="preserve"> mm s</w:t>
      </w:r>
      <w:r w:rsidRPr="006219A8">
        <w:rPr>
          <w:sz w:val="24"/>
          <w:szCs w:val="24"/>
          <w:vertAlign w:val="superscript"/>
          <w:lang w:val="en-US"/>
        </w:rPr>
        <w:t>-1</w:t>
      </w:r>
      <w:r w:rsidRPr="006219A8">
        <w:rPr>
          <w:sz w:val="24"/>
          <w:szCs w:val="24"/>
          <w:lang w:val="en-US"/>
        </w:rPr>
        <w:t>) and quadrupole splitting (QS / mm s</w:t>
      </w:r>
      <w:r w:rsidRPr="006219A8">
        <w:rPr>
          <w:sz w:val="24"/>
          <w:szCs w:val="24"/>
          <w:vertAlign w:val="superscript"/>
          <w:lang w:val="en-US"/>
        </w:rPr>
        <w:t>-1</w:t>
      </w:r>
      <w:r w:rsidRPr="006219A8">
        <w:rPr>
          <w:sz w:val="24"/>
          <w:szCs w:val="24"/>
          <w:lang w:val="en-US"/>
        </w:rPr>
        <w:t>) determined from the Mössbauer spectra at room temperature (</w:t>
      </w:r>
      <w:r w:rsidRPr="006219A8">
        <w:rPr>
          <w:b/>
          <w:sz w:val="24"/>
          <w:szCs w:val="24"/>
          <w:lang w:val="en-US"/>
        </w:rPr>
        <w:t>Exp.)</w:t>
      </w:r>
      <w:r w:rsidRPr="006219A8">
        <w:rPr>
          <w:sz w:val="24"/>
          <w:szCs w:val="24"/>
          <w:lang w:val="en-US"/>
        </w:rPr>
        <w:t xml:space="preserve"> of complexes </w:t>
      </w:r>
      <w:r w:rsidRPr="006219A8">
        <w:rPr>
          <w:b/>
          <w:sz w:val="24"/>
          <w:szCs w:val="24"/>
          <w:lang w:val="en-US"/>
        </w:rPr>
        <w:t>1</w:t>
      </w:r>
      <w:r w:rsidRPr="00110168">
        <w:rPr>
          <w:sz w:val="24"/>
          <w:szCs w:val="24"/>
          <w:lang w:val="en-US"/>
        </w:rPr>
        <w:t>-</w:t>
      </w:r>
      <w:r w:rsidRPr="006219A8">
        <w:rPr>
          <w:b/>
          <w:sz w:val="24"/>
          <w:szCs w:val="24"/>
          <w:lang w:val="en-US"/>
        </w:rPr>
        <w:t>7</w:t>
      </w:r>
      <w:r w:rsidRPr="006219A8">
        <w:rPr>
          <w:sz w:val="24"/>
          <w:szCs w:val="24"/>
          <w:lang w:val="en-US"/>
        </w:rPr>
        <w:t>, electronic density at the nucleus (</w:t>
      </w:r>
      <w:r w:rsidRPr="006219A8">
        <w:rPr>
          <w:sz w:val="24"/>
          <w:szCs w:val="24"/>
          <w:lang w:val="en-AU"/>
        </w:rPr>
        <w:t>ρ</w:t>
      </w:r>
      <w:r w:rsidRPr="006219A8">
        <w:rPr>
          <w:sz w:val="24"/>
          <w:szCs w:val="24"/>
          <w:lang w:val="de-DE"/>
        </w:rPr>
        <w:t xml:space="preserve"> / a.u.</w:t>
      </w:r>
      <w:r w:rsidRPr="006219A8">
        <w:rPr>
          <w:sz w:val="24"/>
          <w:szCs w:val="24"/>
          <w:lang w:val="en-US"/>
        </w:rPr>
        <w:t xml:space="preserve">) and IS and </w:t>
      </w:r>
      <w:r w:rsidRPr="006219A8">
        <w:rPr>
          <w:sz w:val="24"/>
          <w:szCs w:val="24"/>
          <w:lang w:val="en-AU"/>
        </w:rPr>
        <w:t>QS</w:t>
      </w:r>
      <w:r w:rsidRPr="006219A8">
        <w:rPr>
          <w:sz w:val="24"/>
          <w:szCs w:val="24"/>
          <w:lang w:val="en-US"/>
        </w:rPr>
        <w:t xml:space="preserve"> from DFT calculations (</w:t>
      </w:r>
      <w:r w:rsidRPr="006219A8">
        <w:rPr>
          <w:b/>
          <w:sz w:val="24"/>
          <w:szCs w:val="24"/>
          <w:lang w:val="en-US"/>
        </w:rPr>
        <w:t>Calc</w:t>
      </w:r>
      <w:r w:rsidRPr="006219A8">
        <w:rPr>
          <w:sz w:val="24"/>
          <w:szCs w:val="24"/>
          <w:lang w:val="en-US"/>
        </w:rPr>
        <w:t>).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261"/>
        <w:gridCol w:w="1768"/>
        <w:gridCol w:w="1498"/>
        <w:gridCol w:w="1507"/>
        <w:gridCol w:w="1518"/>
      </w:tblGrid>
      <w:tr w:rsidR="000850CB" w:rsidRPr="006219A8" w:rsidTr="001C55E1">
        <w:trPr>
          <w:jc w:val="center"/>
        </w:trPr>
        <w:tc>
          <w:tcPr>
            <w:tcW w:w="1173" w:type="dxa"/>
            <w:vMerge w:val="restart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Complex</w:t>
            </w:r>
          </w:p>
        </w:tc>
        <w:tc>
          <w:tcPr>
            <w:tcW w:w="4583" w:type="dxa"/>
            <w:gridSpan w:val="3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IS</w:t>
            </w:r>
          </w:p>
        </w:tc>
        <w:tc>
          <w:tcPr>
            <w:tcW w:w="3056" w:type="dxa"/>
            <w:gridSpan w:val="2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QS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vMerge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Exp.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Symbol" w:hAnsi="Symbol"/>
                <w:b/>
                <w:lang w:val="en-US"/>
              </w:rPr>
              <w:t>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Calc.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Exp.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US"/>
              </w:rPr>
              <w:t>Calc.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1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0.422(1)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11816.04150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0.667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2.324(3)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1.528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2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0.438(1)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11816.02986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0.671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2.260(1)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1.510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3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0.446(1)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11816.00327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0.681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2.305(1)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1.512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4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0.431(1)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11816.04011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0.667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2.263(2)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1.543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5</w:t>
            </w: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0.433(1)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11816.03303</w:t>
            </w:r>
          </w:p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11816.04000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pStyle w:val="P1"/>
              <w:spacing w:before="0" w:after="0"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219A8">
              <w:rPr>
                <w:sz w:val="22"/>
                <w:szCs w:val="22"/>
                <w:lang w:val="en-US"/>
              </w:rPr>
              <w:t>0.670</w:t>
            </w:r>
          </w:p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0.667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2.279(2)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1.491/1.469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6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0.439(1)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11816.04097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0.667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2.267(1)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1.504</w:t>
            </w:r>
          </w:p>
        </w:tc>
      </w:tr>
      <w:tr w:rsidR="000850CB" w:rsidRPr="006219A8" w:rsidTr="001C55E1">
        <w:trPr>
          <w:jc w:val="center"/>
        </w:trPr>
        <w:tc>
          <w:tcPr>
            <w:tcW w:w="1173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b/>
                <w:lang w:val="en-AU"/>
              </w:rPr>
              <w:t>7</w:t>
            </w: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0.424(1)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pStyle w:val="P1"/>
              <w:spacing w:before="0" w:after="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219A8">
              <w:rPr>
                <w:sz w:val="22"/>
                <w:szCs w:val="22"/>
                <w:lang w:val="en-US"/>
              </w:rPr>
              <w:t>11816.04241</w:t>
            </w:r>
          </w:p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11816.03054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0850CB" w:rsidRPr="006219A8" w:rsidRDefault="000850CB" w:rsidP="001C55E1">
            <w:pPr>
              <w:pStyle w:val="P1"/>
              <w:spacing w:before="0" w:after="0" w:line="36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219A8">
              <w:rPr>
                <w:sz w:val="22"/>
                <w:szCs w:val="22"/>
                <w:lang w:val="en-US"/>
              </w:rPr>
              <w:t>0.667</w:t>
            </w:r>
          </w:p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0.671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AU"/>
              </w:rPr>
              <w:t>2.243(2)</w:t>
            </w:r>
          </w:p>
        </w:tc>
        <w:tc>
          <w:tcPr>
            <w:tcW w:w="1528" w:type="dxa"/>
            <w:tcBorders>
              <w:left w:val="nil"/>
              <w:right w:val="nil"/>
            </w:tcBorders>
            <w:vAlign w:val="center"/>
          </w:tcPr>
          <w:p w:rsidR="000850CB" w:rsidRPr="006219A8" w:rsidRDefault="000850CB" w:rsidP="001C55E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9A8">
              <w:rPr>
                <w:rFonts w:ascii="Times New Roman" w:hAnsi="Times New Roman" w:cs="Times New Roman"/>
                <w:lang w:val="en-US"/>
              </w:rPr>
              <w:t>1.516/1.486</w:t>
            </w:r>
          </w:p>
        </w:tc>
      </w:tr>
    </w:tbl>
    <w:p w:rsidR="000850CB" w:rsidRPr="006219A8" w:rsidRDefault="000850CB" w:rsidP="000850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sz w:val="24"/>
          <w:lang w:val="en-US"/>
        </w:rPr>
        <w:t>DFT calculations were also performed in order to rationalize the Mössbauer parameters. The electronic density at the nucleus (</w:t>
      </w:r>
      <w:r w:rsidRPr="006219A8">
        <w:rPr>
          <w:rFonts w:ascii="Times New Roman" w:hAnsi="Times New Roman" w:cs="Times New Roman"/>
          <w:sz w:val="24"/>
          <w:lang w:val="en-AU"/>
        </w:rPr>
        <w:t>ρ</w:t>
      </w:r>
      <w:r w:rsidRPr="006219A8">
        <w:rPr>
          <w:rFonts w:ascii="Times New Roman" w:hAnsi="Times New Roman" w:cs="Times New Roman"/>
          <w:sz w:val="24"/>
          <w:lang w:val="en-US"/>
        </w:rPr>
        <w:t>), were converted in isomer shifts (IS) using the approach of Neese [</w:t>
      </w:r>
      <w:r w:rsidR="009508D3">
        <w:rPr>
          <w:rFonts w:ascii="Times New Roman" w:hAnsi="Times New Roman" w:cs="Times New Roman"/>
          <w:sz w:val="24"/>
          <w:lang w:val="en-US"/>
        </w:rPr>
        <w:t>83</w:t>
      </w:r>
      <w:r w:rsidRPr="006219A8">
        <w:rPr>
          <w:rFonts w:ascii="Times New Roman" w:hAnsi="Times New Roman" w:cs="Times New Roman"/>
          <w:sz w:val="24"/>
          <w:lang w:val="en-US"/>
        </w:rPr>
        <w:t>,</w:t>
      </w:r>
      <w:r w:rsidR="00110168">
        <w:rPr>
          <w:rFonts w:ascii="Times New Roman" w:hAnsi="Times New Roman" w:cs="Times New Roman"/>
          <w:sz w:val="24"/>
          <w:lang w:val="en-US"/>
        </w:rPr>
        <w:t xml:space="preserve"> </w:t>
      </w:r>
      <w:r w:rsidR="009508D3">
        <w:rPr>
          <w:rFonts w:ascii="Times New Roman" w:hAnsi="Times New Roman" w:cs="Times New Roman"/>
          <w:sz w:val="24"/>
          <w:lang w:val="en-US"/>
        </w:rPr>
        <w:t>84</w:t>
      </w:r>
      <w:r w:rsidRPr="006219A8">
        <w:rPr>
          <w:rFonts w:ascii="Times New Roman" w:hAnsi="Times New Roman" w:cs="Times New Roman"/>
          <w:sz w:val="24"/>
          <w:lang w:val="en-US"/>
        </w:rPr>
        <w:t>] and the ORCA program</w:t>
      </w:r>
      <w:r w:rsidRPr="006219A8">
        <w:rPr>
          <w:rFonts w:ascii="Times New Roman" w:hAnsi="Times New Roman" w:cs="Times New Roman"/>
          <w:sz w:val="24"/>
        </w:rPr>
        <w:t xml:space="preserve">.  Taking into account that the experimental results were obtained at room temperature, it can be considered that 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the calculated </w:t>
      </w:r>
      <w:r w:rsidR="002125C5" w:rsidRPr="006219A8">
        <w:rPr>
          <w:rFonts w:ascii="Times New Roman" w:hAnsi="Times New Roman" w:cs="Times New Roman"/>
          <w:sz w:val="24"/>
          <w:lang w:val="en-US"/>
        </w:rPr>
        <w:t>isomer shifts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are close to the experimental ones, (shifted ~0.2</w:t>
      </w:r>
      <w:r w:rsidRPr="006219A8">
        <w:rPr>
          <w:rFonts w:ascii="Times New Roman" w:hAnsi="Times New Roman" w:cs="Times New Roman"/>
          <w:strike/>
          <w:sz w:val="24"/>
          <w:lang w:val="en-US"/>
        </w:rPr>
        <w:t xml:space="preserve"> </w:t>
      </w:r>
      <w:r w:rsidRPr="006219A8">
        <w:rPr>
          <w:rFonts w:ascii="Times New Roman" w:hAnsi="Times New Roman" w:cs="Times New Roman"/>
          <w:sz w:val="24"/>
          <w:lang w:val="de-DE"/>
        </w:rPr>
        <w:t>mm s</w:t>
      </w:r>
      <w:r w:rsidRPr="006219A8">
        <w:rPr>
          <w:rFonts w:ascii="Times New Roman" w:hAnsi="Times New Roman" w:cs="Times New Roman"/>
          <w:sz w:val="24"/>
          <w:vertAlign w:val="superscript"/>
          <w:lang w:val="de-DE"/>
        </w:rPr>
        <w:t>-1</w:t>
      </w:r>
      <w:r w:rsidRPr="006219A8">
        <w:rPr>
          <w:rFonts w:ascii="Times New Roman" w:hAnsi="Times New Roman" w:cs="Times New Roman"/>
          <w:sz w:val="24"/>
          <w:lang w:val="en-US"/>
        </w:rPr>
        <w:t>), while the QS values have a larger difference. Contrary to what has been found for other families of Fe(II) complexes, the trend of the experimental values are not well reproduced, most probably due to the</w:t>
      </w:r>
      <w:r w:rsidRPr="006219A8">
        <w:rPr>
          <w:rFonts w:ascii="Times New Roman" w:hAnsi="Times New Roman" w:cs="Times New Roman"/>
          <w:sz w:val="24"/>
          <w:lang w:val="de-DE"/>
        </w:rPr>
        <w:t xml:space="preserve"> very small influence of the substituents.</w:t>
      </w:r>
    </w:p>
    <w:p w:rsidR="00110168" w:rsidRDefault="00110168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850CB" w:rsidRPr="006219A8" w:rsidRDefault="00662F96" w:rsidP="000850CB">
      <w:pPr>
        <w:rPr>
          <w:sz w:val="24"/>
        </w:rPr>
      </w:pPr>
      <w:r w:rsidRPr="00662F96">
        <w:rPr>
          <w:noProof/>
          <w:sz w:val="24"/>
          <w:lang w:val="pt-PT" w:eastAsia="pt-P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3" o:spid="_x0000_s1026" type="#_x0000_t75" style="position:absolute;margin-left:86.5pt;margin-top:7.55pt;width:243.95pt;height:162.4pt;z-index:251660288;visibility:visible">
            <v:imagedata r:id="rId7" o:title=""/>
          </v:shape>
          <o:OLEObject Type="Embed" ProgID="Unknown" ShapeID="Objeto 3" DrawAspect="Content" ObjectID="_1539678969" r:id="rId8"/>
        </w:pict>
      </w: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110168">
      <w:pPr>
        <w:spacing w:after="0" w:line="240" w:lineRule="auto"/>
        <w:ind w:right="-136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. Cell viability by the MTT assay of A375cells, in the presence of compound </w:t>
      </w:r>
      <w:r w:rsidRPr="006219A8">
        <w:rPr>
          <w:rFonts w:ascii="Times New Roman" w:hAnsi="Times New Roman" w:cs="Times New Roman"/>
          <w:b/>
          <w:bCs/>
          <w:sz w:val="24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jc w:val="center"/>
        <w:rPr>
          <w:sz w:val="24"/>
        </w:rPr>
      </w:pPr>
      <w:r w:rsidRPr="006219A8">
        <w:rPr>
          <w:noProof/>
          <w:sz w:val="24"/>
          <w:lang w:val="en-US"/>
        </w:rPr>
        <w:drawing>
          <wp:inline distT="0" distB="0" distL="0" distR="0">
            <wp:extent cx="3322097" cy="2340000"/>
            <wp:effectExtent l="0" t="0" r="0" b="317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o_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9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S2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2 </w:t>
      </w:r>
      <w:r w:rsidRPr="006219A8">
        <w:rPr>
          <w:rFonts w:ascii="Times New Roman" w:hAnsi="Times New Roman" w:cs="Times New Roman"/>
          <w:sz w:val="24"/>
          <w:lang w:val="en-US"/>
        </w:rPr>
        <w:t>using different sweep scan rates.</w:t>
      </w: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322097" cy="2340000"/>
            <wp:effectExtent l="0" t="0" r="0" b="3175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lo_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9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S3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5 </w:t>
      </w:r>
      <w:r w:rsidRPr="006219A8">
        <w:rPr>
          <w:rFonts w:ascii="Times New Roman" w:hAnsi="Times New Roman" w:cs="Times New Roman"/>
          <w:sz w:val="24"/>
          <w:lang w:val="en-US"/>
        </w:rPr>
        <w:t>using different sweep scan rates.</w:t>
      </w:r>
    </w:p>
    <w:p w:rsidR="00110168" w:rsidRDefault="00110168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>
            <wp:extent cx="3274432" cy="2296800"/>
            <wp:effectExtent l="0" t="0" r="254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lacao_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32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11016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S4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1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260766" cy="2296800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lacao_2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66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11016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S5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2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60766" cy="2296800"/>
            <wp:effectExtent l="0" t="0" r="0" b="82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lacao_5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66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850CB" w:rsidRPr="0011016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S6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5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110168" w:rsidRDefault="00110168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850CB" w:rsidRPr="006219A8" w:rsidRDefault="000850CB" w:rsidP="000850CB">
      <w:pPr>
        <w:spacing w:after="0" w:line="240" w:lineRule="auto"/>
        <w:jc w:val="center"/>
        <w:rPr>
          <w:sz w:val="24"/>
        </w:rPr>
      </w:pPr>
      <w:r w:rsidRPr="006219A8">
        <w:rPr>
          <w:noProof/>
          <w:sz w:val="24"/>
          <w:lang w:val="en-US"/>
        </w:rPr>
        <w:lastRenderedPageBreak/>
        <w:drawing>
          <wp:inline distT="0" distB="0" distL="0" distR="0">
            <wp:extent cx="3260766" cy="2296800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lacao_3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66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11016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S7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3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60766" cy="2296800"/>
            <wp:effectExtent l="0" t="0" r="0" b="825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lacao_4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66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S8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4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rPr>
          <w:sz w:val="24"/>
        </w:rPr>
      </w:pP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3260766" cy="2296800"/>
            <wp:effectExtent l="0" t="0" r="0" b="825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lacao_7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66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S9</w:t>
      </w:r>
      <w:r w:rsidRPr="006219A8">
        <w:rPr>
          <w:rFonts w:ascii="Times New Roman" w:hAnsi="Times New Roman" w:cs="Times New Roman"/>
          <w:sz w:val="24"/>
          <w:lang w:val="en-US"/>
        </w:rPr>
        <w:t>. i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p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versus v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1/2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for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>7</w:t>
      </w:r>
      <w:r w:rsidR="00110168">
        <w:rPr>
          <w:rFonts w:ascii="Times New Roman" w:hAnsi="Times New Roman" w:cs="Times New Roman"/>
          <w:sz w:val="24"/>
          <w:lang w:val="en-US"/>
        </w:rPr>
        <w:t>.</w:t>
      </w:r>
    </w:p>
    <w:p w:rsidR="00110168" w:rsidRDefault="00110168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219A8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drawing>
          <wp:inline distT="0" distB="0" distL="0" distR="0">
            <wp:extent cx="3322097" cy="2340000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lo_6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9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110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S10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6 </w:t>
      </w:r>
      <w:r w:rsidRPr="006219A8">
        <w:rPr>
          <w:rFonts w:ascii="Times New Roman" w:hAnsi="Times New Roman" w:cs="Times New Roman"/>
          <w:sz w:val="24"/>
          <w:lang w:val="en-US"/>
        </w:rPr>
        <w:t>using different sweep scan rates.</w:t>
      </w:r>
    </w:p>
    <w:p w:rsidR="000850CB" w:rsidRPr="006219A8" w:rsidRDefault="000850CB" w:rsidP="000850CB">
      <w:pPr>
        <w:rPr>
          <w:lang w:val="en-US"/>
        </w:rPr>
      </w:pP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336098" cy="2340000"/>
            <wp:effectExtent l="0" t="0" r="0" b="317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minobenzimidazole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9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110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S11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2-aminobenzimidazole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219A8">
        <w:rPr>
          <w:rFonts w:ascii="Times New Roman" w:hAnsi="Times New Roman" w:cs="Times New Roman"/>
          <w:sz w:val="24"/>
          <w:lang w:val="en-US"/>
        </w:rPr>
        <w:t>at 100 mV s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6219A8">
        <w:rPr>
          <w:rFonts w:ascii="Times New Roman" w:hAnsi="Times New Roman" w:cs="Times New Roman"/>
          <w:sz w:val="24"/>
          <w:lang w:val="en-US"/>
        </w:rPr>
        <w:t>.</w:t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850CB" w:rsidRPr="006219A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322097" cy="2340000"/>
            <wp:effectExtent l="0" t="0" r="0" b="3175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lo_4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097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110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S12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4 </w:t>
      </w:r>
      <w:r w:rsidRPr="006219A8">
        <w:rPr>
          <w:rFonts w:ascii="Times New Roman" w:hAnsi="Times New Roman" w:cs="Times New Roman"/>
          <w:sz w:val="24"/>
          <w:lang w:val="en-US"/>
        </w:rPr>
        <w:t>using different sweep scan rates.</w:t>
      </w:r>
    </w:p>
    <w:p w:rsidR="000850CB" w:rsidRPr="00110168" w:rsidRDefault="000850CB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10168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>
            <wp:extent cx="3322454" cy="2340000"/>
            <wp:effectExtent l="0" t="0" r="0" b="317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elo 7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45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6219A8" w:rsidRDefault="000850CB" w:rsidP="00110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S13</w:t>
      </w:r>
      <w:r w:rsidRPr="006219A8">
        <w:rPr>
          <w:rFonts w:ascii="Times New Roman" w:hAnsi="Times New Roman" w:cs="Times New Roman"/>
          <w:sz w:val="24"/>
          <w:lang w:val="en-US"/>
        </w:rPr>
        <w:t>. Cyclic voltammograms of a Pt electrode in 0.1 M TBAPF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 w:rsidRPr="006219A8">
        <w:rPr>
          <w:rFonts w:ascii="Times New Roman" w:hAnsi="Times New Roman" w:cs="Times New Roman"/>
          <w:sz w:val="24"/>
          <w:lang w:val="en-US"/>
        </w:rPr>
        <w:t>/CH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>Cl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solution containing 0.8 mM of complex </w:t>
      </w:r>
      <w:r w:rsidRPr="006219A8">
        <w:rPr>
          <w:rFonts w:ascii="Times New Roman" w:hAnsi="Times New Roman" w:cs="Times New Roman"/>
          <w:b/>
          <w:sz w:val="24"/>
          <w:lang w:val="en-US"/>
        </w:rPr>
        <w:t xml:space="preserve">7 </w:t>
      </w:r>
      <w:r w:rsidRPr="006219A8">
        <w:rPr>
          <w:rFonts w:ascii="Times New Roman" w:hAnsi="Times New Roman" w:cs="Times New Roman"/>
          <w:sz w:val="24"/>
          <w:lang w:val="en-US"/>
        </w:rPr>
        <w:t>using different sweep scan rates.</w:t>
      </w:r>
    </w:p>
    <w:p w:rsidR="000850CB" w:rsidRPr="006219A8" w:rsidRDefault="000850CB" w:rsidP="0008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850CB" w:rsidRPr="006219A8" w:rsidRDefault="00D77E01" w:rsidP="000850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400040" cy="3787775"/>
            <wp:effectExtent l="19050" t="0" r="0" b="0"/>
            <wp:docPr id="1" name="0 Imagen" descr="hammettnov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ttnovo.t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0CB" w:rsidRPr="00E201C9" w:rsidRDefault="000850CB" w:rsidP="0011016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219A8">
        <w:rPr>
          <w:rFonts w:ascii="Times New Roman" w:hAnsi="Times New Roman" w:cs="Times New Roman"/>
          <w:b/>
          <w:sz w:val="24"/>
          <w:lang w:val="en-US"/>
        </w:rPr>
        <w:t>Figure S14</w:t>
      </w:r>
      <w:r w:rsidRPr="006219A8">
        <w:rPr>
          <w:rFonts w:ascii="Times New Roman" w:hAnsi="Times New Roman" w:cs="Times New Roman"/>
          <w:sz w:val="24"/>
          <w:lang w:val="en-US"/>
        </w:rPr>
        <w:t>. E</w:t>
      </w:r>
      <w:r w:rsidRPr="006219A8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6219A8">
        <w:rPr>
          <w:rFonts w:ascii="Times New Roman" w:hAnsi="Times New Roman" w:cs="Times New Roman"/>
          <w:sz w:val="24"/>
          <w:vertAlign w:val="subscript"/>
          <w:lang w:val="en-US"/>
        </w:rPr>
        <w:t>1/2</w:t>
      </w:r>
      <w:r w:rsidRPr="00110168">
        <w:rPr>
          <w:rFonts w:ascii="Times New Roman" w:hAnsi="Times New Roman" w:cs="Times New Roman"/>
          <w:sz w:val="24"/>
          <w:lang w:val="en-US"/>
        </w:rPr>
        <w:t xml:space="preserve"> </w:t>
      </w:r>
      <w:r w:rsidRPr="006219A8">
        <w:rPr>
          <w:rFonts w:ascii="Times New Roman" w:hAnsi="Times New Roman" w:cs="Times New Roman"/>
          <w:sz w:val="24"/>
          <w:lang w:val="en-US"/>
        </w:rPr>
        <w:t>ver</w:t>
      </w:r>
      <w:r w:rsidR="00D77E01" w:rsidRPr="006219A8">
        <w:rPr>
          <w:rFonts w:ascii="Times New Roman" w:hAnsi="Times New Roman" w:cs="Times New Roman"/>
          <w:sz w:val="24"/>
          <w:lang w:val="en-US"/>
        </w:rPr>
        <w:t>sus Hammet constant (σ) for</w:t>
      </w:r>
      <w:r w:rsidRPr="006219A8">
        <w:rPr>
          <w:rFonts w:ascii="Times New Roman" w:hAnsi="Times New Roman" w:cs="Times New Roman"/>
          <w:sz w:val="24"/>
          <w:lang w:val="en-US"/>
        </w:rPr>
        <w:t xml:space="preserve"> ferrocene derivative</w:t>
      </w:r>
      <w:r w:rsidR="00D77E01" w:rsidRPr="006219A8">
        <w:rPr>
          <w:rFonts w:ascii="Times New Roman" w:hAnsi="Times New Roman" w:cs="Times New Roman"/>
          <w:sz w:val="24"/>
          <w:lang w:val="en-US"/>
        </w:rPr>
        <w:t xml:space="preserve">s </w:t>
      </w:r>
      <w:r w:rsidR="00D77E01" w:rsidRPr="006219A8">
        <w:rPr>
          <w:rFonts w:ascii="Times New Roman" w:hAnsi="Times New Roman" w:cs="Times New Roman"/>
          <w:b/>
          <w:sz w:val="24"/>
          <w:lang w:val="en-US"/>
        </w:rPr>
        <w:t>1</w:t>
      </w:r>
      <w:r w:rsidR="00D77E01" w:rsidRPr="006219A8">
        <w:rPr>
          <w:rFonts w:ascii="Times New Roman" w:hAnsi="Times New Roman" w:cs="Times New Roman"/>
          <w:sz w:val="24"/>
          <w:lang w:val="en-US"/>
        </w:rPr>
        <w:t xml:space="preserve">, </w:t>
      </w:r>
      <w:r w:rsidR="00D77E01" w:rsidRPr="006219A8">
        <w:rPr>
          <w:rFonts w:ascii="Times New Roman" w:hAnsi="Times New Roman" w:cs="Times New Roman"/>
          <w:b/>
          <w:sz w:val="24"/>
          <w:lang w:val="en-US"/>
        </w:rPr>
        <w:t>2</w:t>
      </w:r>
      <w:r w:rsidR="00D77E01" w:rsidRPr="006219A8">
        <w:rPr>
          <w:rFonts w:ascii="Times New Roman" w:hAnsi="Times New Roman" w:cs="Times New Roman"/>
          <w:sz w:val="24"/>
          <w:lang w:val="en-US"/>
        </w:rPr>
        <w:t xml:space="preserve"> and </w:t>
      </w:r>
      <w:r w:rsidR="00D77E01" w:rsidRPr="006219A8">
        <w:rPr>
          <w:rFonts w:ascii="Times New Roman" w:hAnsi="Times New Roman" w:cs="Times New Roman"/>
          <w:b/>
          <w:sz w:val="24"/>
          <w:lang w:val="en-US"/>
        </w:rPr>
        <w:t>5</w:t>
      </w:r>
      <w:r w:rsidRPr="006219A8">
        <w:rPr>
          <w:rFonts w:ascii="Times New Roman" w:hAnsi="Times New Roman" w:cs="Times New Roman"/>
          <w:sz w:val="24"/>
          <w:lang w:val="en-US"/>
        </w:rPr>
        <w:t>.</w:t>
      </w:r>
    </w:p>
    <w:p w:rsidR="007B625A" w:rsidRPr="000850CB" w:rsidRDefault="007F084D">
      <w:pPr>
        <w:rPr>
          <w:lang w:val="en-US"/>
        </w:rPr>
      </w:pPr>
    </w:p>
    <w:sectPr w:rsidR="007B625A" w:rsidRPr="000850CB" w:rsidSect="00DB0E27">
      <w:footerReference w:type="default" r:id="rId22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4D" w:rsidRDefault="007F084D" w:rsidP="00DB0E27">
      <w:pPr>
        <w:spacing w:after="0" w:line="240" w:lineRule="auto"/>
      </w:pPr>
      <w:r>
        <w:separator/>
      </w:r>
    </w:p>
  </w:endnote>
  <w:endnote w:type="continuationSeparator" w:id="0">
    <w:p w:rsidR="007F084D" w:rsidRDefault="007F084D" w:rsidP="00DB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974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E27" w:rsidRPr="004A1706" w:rsidRDefault="00DB0E2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1706">
          <w:rPr>
            <w:rFonts w:ascii="Times New Roman" w:hAnsi="Times New Roman" w:cs="Times New Roman"/>
            <w:sz w:val="24"/>
            <w:szCs w:val="24"/>
          </w:rPr>
          <w:t>SI</w:t>
        </w:r>
        <w:r w:rsidR="00662F96" w:rsidRPr="004A17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7E42" w:rsidRPr="004A17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62F96" w:rsidRPr="004A17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FE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662F96" w:rsidRPr="004A17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0E27" w:rsidRDefault="00DB0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4D" w:rsidRDefault="007F084D" w:rsidP="00DB0E27">
      <w:pPr>
        <w:spacing w:after="0" w:line="240" w:lineRule="auto"/>
      </w:pPr>
      <w:r>
        <w:separator/>
      </w:r>
    </w:p>
  </w:footnote>
  <w:footnote w:type="continuationSeparator" w:id="0">
    <w:p w:rsidR="007F084D" w:rsidRDefault="007F084D" w:rsidP="00DB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CB"/>
    <w:rsid w:val="00044F10"/>
    <w:rsid w:val="00050413"/>
    <w:rsid w:val="00051317"/>
    <w:rsid w:val="00063631"/>
    <w:rsid w:val="000850CB"/>
    <w:rsid w:val="00110168"/>
    <w:rsid w:val="0012133C"/>
    <w:rsid w:val="001611F5"/>
    <w:rsid w:val="00170FEE"/>
    <w:rsid w:val="00182E86"/>
    <w:rsid w:val="001B39C3"/>
    <w:rsid w:val="002108D0"/>
    <w:rsid w:val="002125C5"/>
    <w:rsid w:val="00235B25"/>
    <w:rsid w:val="002611AA"/>
    <w:rsid w:val="00267635"/>
    <w:rsid w:val="002D1E73"/>
    <w:rsid w:val="002D212D"/>
    <w:rsid w:val="002D2F43"/>
    <w:rsid w:val="0031053C"/>
    <w:rsid w:val="00324C7C"/>
    <w:rsid w:val="003263EC"/>
    <w:rsid w:val="00370C7E"/>
    <w:rsid w:val="003830A7"/>
    <w:rsid w:val="00383972"/>
    <w:rsid w:val="00423DCE"/>
    <w:rsid w:val="004241C7"/>
    <w:rsid w:val="00426779"/>
    <w:rsid w:val="00462F57"/>
    <w:rsid w:val="004A1706"/>
    <w:rsid w:val="00554F49"/>
    <w:rsid w:val="005D691B"/>
    <w:rsid w:val="00600022"/>
    <w:rsid w:val="00605119"/>
    <w:rsid w:val="006219A8"/>
    <w:rsid w:val="006238C4"/>
    <w:rsid w:val="00662F96"/>
    <w:rsid w:val="0069714C"/>
    <w:rsid w:val="006C5492"/>
    <w:rsid w:val="006F290F"/>
    <w:rsid w:val="006F5247"/>
    <w:rsid w:val="007754B7"/>
    <w:rsid w:val="00775FE2"/>
    <w:rsid w:val="007B3A76"/>
    <w:rsid w:val="007B3C3A"/>
    <w:rsid w:val="007B420D"/>
    <w:rsid w:val="007D0BC6"/>
    <w:rsid w:val="007F084D"/>
    <w:rsid w:val="00817E42"/>
    <w:rsid w:val="00853A18"/>
    <w:rsid w:val="00864ABE"/>
    <w:rsid w:val="00896FAC"/>
    <w:rsid w:val="008C7438"/>
    <w:rsid w:val="008E6759"/>
    <w:rsid w:val="008F6C8D"/>
    <w:rsid w:val="009508D3"/>
    <w:rsid w:val="009A21B5"/>
    <w:rsid w:val="009B69C4"/>
    <w:rsid w:val="00A164D8"/>
    <w:rsid w:val="00A34981"/>
    <w:rsid w:val="00A418E5"/>
    <w:rsid w:val="00A87773"/>
    <w:rsid w:val="00A9536E"/>
    <w:rsid w:val="00AD290C"/>
    <w:rsid w:val="00AF0E62"/>
    <w:rsid w:val="00B71D12"/>
    <w:rsid w:val="00B96150"/>
    <w:rsid w:val="00BF64B1"/>
    <w:rsid w:val="00C14AB4"/>
    <w:rsid w:val="00C6205F"/>
    <w:rsid w:val="00C7476A"/>
    <w:rsid w:val="00D05353"/>
    <w:rsid w:val="00D2094F"/>
    <w:rsid w:val="00D55F2A"/>
    <w:rsid w:val="00D77E01"/>
    <w:rsid w:val="00D86CE6"/>
    <w:rsid w:val="00DB0E27"/>
    <w:rsid w:val="00DD4F10"/>
    <w:rsid w:val="00DE094D"/>
    <w:rsid w:val="00DF4C08"/>
    <w:rsid w:val="00E36B08"/>
    <w:rsid w:val="00E45D17"/>
    <w:rsid w:val="00ED4A91"/>
    <w:rsid w:val="00EE3A79"/>
    <w:rsid w:val="00F11A35"/>
    <w:rsid w:val="00F13422"/>
    <w:rsid w:val="00F45407"/>
    <w:rsid w:val="00F822E1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0850CB"/>
    <w:pPr>
      <w:spacing w:before="360" w:after="460" w:line="260" w:lineRule="exact"/>
      <w:jc w:val="center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customStyle="1" w:styleId="P1">
    <w:name w:val="P1"/>
    <w:basedOn w:val="Normal"/>
    <w:rsid w:val="000850CB"/>
    <w:pPr>
      <w:spacing w:before="230" w:after="120" w:line="220" w:lineRule="exact"/>
      <w:ind w:firstLine="170"/>
      <w:jc w:val="both"/>
    </w:pPr>
    <w:rPr>
      <w:rFonts w:ascii="Times New Roman" w:eastAsia="MS Mincho" w:hAnsi="Times New Roman" w:cs="Times New Roman"/>
      <w:sz w:val="18"/>
      <w:szCs w:val="14"/>
      <w:lang w:eastAsia="ja-JP"/>
    </w:rPr>
  </w:style>
  <w:style w:type="table" w:styleId="TableGrid">
    <w:name w:val="Table Grid"/>
    <w:basedOn w:val="TableNormal"/>
    <w:uiPriority w:val="39"/>
    <w:rsid w:val="000850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2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0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B69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706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706"/>
    <w:rPr>
      <w:rFonts w:eastAsia="MS Mincho"/>
      <w:sz w:val="20"/>
      <w:szCs w:val="20"/>
      <w:lang w:val="en-GB"/>
    </w:rPr>
  </w:style>
  <w:style w:type="paragraph" w:customStyle="1" w:styleId="Title1">
    <w:name w:val="Title1"/>
    <w:basedOn w:val="Normal"/>
    <w:next w:val="Normal"/>
    <w:rsid w:val="004A1706"/>
    <w:pPr>
      <w:spacing w:before="230" w:after="230" w:line="300" w:lineRule="exact"/>
      <w:jc w:val="center"/>
    </w:pPr>
    <w:rPr>
      <w:rFonts w:ascii="Times New Roman" w:eastAsia="MS Mincho" w:hAnsi="Times New Roman" w:cs="Times New Roman"/>
      <w:b/>
      <w:sz w:val="28"/>
      <w:szCs w:val="28"/>
      <w:lang w:val="de-DE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A1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3" Type="http://schemas.openxmlformats.org/officeDocument/2006/relationships/settings" Target="settings.xml"/><Relationship Id="rId21" Type="http://schemas.openxmlformats.org/officeDocument/2006/relationships/image" Target="media/image14.tiff"/><Relationship Id="rId7" Type="http://schemas.openxmlformats.org/officeDocument/2006/relationships/image" Target="media/image1.wmf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02D6-E6A7-4828-A236-057E8B39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0011942</cp:lastModifiedBy>
  <cp:revision>2</cp:revision>
  <dcterms:created xsi:type="dcterms:W3CDTF">2016-11-03T06:20:00Z</dcterms:created>
  <dcterms:modified xsi:type="dcterms:W3CDTF">2016-11-03T06:20:00Z</dcterms:modified>
</cp:coreProperties>
</file>