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A505" w14:textId="0D5F5FF0" w:rsidR="009A56FD" w:rsidRDefault="009A56FD" w:rsidP="009A56FD">
      <w:pPr>
        <w:pStyle w:val="ListParagraph"/>
        <w:spacing w:line="276" w:lineRule="auto"/>
        <w:ind w:left="0"/>
        <w:rPr>
          <w:rFonts w:ascii="Century Gothic" w:hAnsi="Century Gothic" w:cs="Century Gothi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20762">
        <w:rPr>
          <w:rFonts w:ascii="Times New Roman" w:hAnsi="Times New Roman" w:cs="Times New Roman"/>
          <w:b/>
          <w:sz w:val="24"/>
          <w:szCs w:val="24"/>
        </w:rPr>
        <w:t xml:space="preserve"> sociolinguistic</w:t>
      </w:r>
      <w:r>
        <w:rPr>
          <w:rFonts w:ascii="Times New Roman" w:hAnsi="Times New Roman" w:cs="Times New Roman"/>
          <w:b/>
          <w:sz w:val="24"/>
          <w:szCs w:val="24"/>
        </w:rPr>
        <w:t xml:space="preserve"> perspective on</w:t>
      </w:r>
      <w:r w:rsidR="00D20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38B">
        <w:rPr>
          <w:rFonts w:ascii="Times New Roman" w:hAnsi="Times New Roman" w:cs="Times New Roman"/>
          <w:b/>
          <w:sz w:val="24"/>
          <w:szCs w:val="24"/>
        </w:rPr>
        <w:t xml:space="preserve">root </w:t>
      </w:r>
      <w:r w:rsidR="00663938">
        <w:rPr>
          <w:rFonts w:ascii="Times New Roman" w:hAnsi="Times New Roman" w:cs="Times New Roman"/>
          <w:b/>
          <w:sz w:val="24"/>
          <w:szCs w:val="24"/>
        </w:rPr>
        <w:t xml:space="preserve">modality in </w:t>
      </w:r>
      <w:r w:rsidR="00D20762">
        <w:rPr>
          <w:rFonts w:ascii="Times New Roman" w:hAnsi="Times New Roman" w:cs="Times New Roman"/>
          <w:b/>
          <w:sz w:val="24"/>
          <w:szCs w:val="24"/>
        </w:rPr>
        <w:t xml:space="preserve">Australian English </w:t>
      </w:r>
    </w:p>
    <w:p w14:paraId="22C77D9F" w14:textId="77777777" w:rsidR="00D8679A" w:rsidRDefault="00D8679A" w:rsidP="00DA17E9">
      <w:pPr>
        <w:pStyle w:val="ListParagraph"/>
        <w:spacing w:line="276" w:lineRule="auto"/>
        <w:ind w:left="0"/>
        <w:rPr>
          <w:rFonts w:ascii="Century Gothic" w:hAnsi="Century Gothic" w:cs="Century Gothic"/>
          <w:sz w:val="24"/>
          <w:szCs w:val="24"/>
        </w:rPr>
      </w:pPr>
    </w:p>
    <w:p w14:paraId="5A2AF734" w14:textId="77777777" w:rsidR="00D8679A" w:rsidRDefault="00D8679A" w:rsidP="00DA17E9">
      <w:pPr>
        <w:pStyle w:val="ListParagraph"/>
        <w:spacing w:line="276" w:lineRule="auto"/>
        <w:ind w:left="0"/>
        <w:rPr>
          <w:rFonts w:ascii="Century Gothic" w:hAnsi="Century Gothic" w:cs="Century Gothic"/>
          <w:sz w:val="24"/>
          <w:szCs w:val="24"/>
        </w:rPr>
      </w:pPr>
    </w:p>
    <w:p w14:paraId="3D5A79CE" w14:textId="77777777" w:rsidR="00733887" w:rsidRPr="00894169" w:rsidRDefault="00DA17E9" w:rsidP="00DA17E9">
      <w:pPr>
        <w:pStyle w:val="ListParagraph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paper examines the distribution and sociolinguistic patterning 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of a set of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modals </w:t>
      </w:r>
      <w:r w:rsidR="0042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quasi modals 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1142A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express necessity and obligation</w:t>
      </w:r>
      <w:r w:rsidR="00733887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Australian English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05E5A"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must</w:t>
      </w:r>
      <w:r w:rsidR="00005E5A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2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 to, have got to, got to</w:t>
      </w:r>
      <w:r w:rsidR="001142A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142AE"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need to</w:t>
      </w:r>
      <w:r w:rsidR="001142A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FFAD99" w14:textId="77777777" w:rsidR="00C625A8" w:rsidRPr="00894169" w:rsidRDefault="00C625A8" w:rsidP="00DA17E9">
      <w:pPr>
        <w:pStyle w:val="ListParagraph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3B7A6" w14:textId="77777777" w:rsidR="008A5E00" w:rsidRPr="00894169" w:rsidRDefault="00C625A8" w:rsidP="00BC06A3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Collins (e.g. 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="00790FD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a, 2009b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has extensively discussed and quantified the distribution of </w:t>
      </w:r>
      <w:r w:rsidR="0066393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quasi</w:t>
      </w:r>
      <w:r w:rsidR="006639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modals in </w:t>
      </w:r>
      <w:r w:rsidR="00AA3A1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 of 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Australian English</w:t>
      </w:r>
      <w:r w:rsidR="008835A1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(AusE)</w:t>
      </w:r>
      <w:r w:rsidR="00952669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. In terms of the</w:t>
      </w:r>
      <w:r w:rsidR="00863E78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root</w:t>
      </w:r>
      <w:r w:rsidR="008253C7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modality</w:t>
      </w:r>
      <w:r w:rsidR="00663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E78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(deontic and dynamic)</w:t>
      </w:r>
      <w:r w:rsidR="00952669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669" w:rsidRPr="00AE5150">
        <w:rPr>
          <w:rFonts w:ascii="Times New Roman" w:hAnsi="Times New Roman" w:cs="Times New Roman"/>
          <w:color w:val="000000" w:themeColor="text1"/>
          <w:sz w:val="24"/>
          <w:szCs w:val="24"/>
        </w:rPr>
        <w:t>fo</w:t>
      </w:r>
      <w:r w:rsidR="00952669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rms of concern here, he has found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is sensitive to genre and, for instance, </w:t>
      </w:r>
      <w:r w:rsidR="001976D0"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must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rare in speech where forms like </w:t>
      </w:r>
      <w:r w:rsidR="001976D0"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 to</w:t>
      </w:r>
      <w:r w:rsidR="00733887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976D0"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 got to</w:t>
      </w:r>
      <w:r w:rsidR="001976D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increasingly common. </w:t>
      </w:r>
      <w:r w:rsidR="00BC06A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focussing on the sociolinguistic dimension of their distribution has not </w:t>
      </w:r>
      <w:r w:rsidR="00CC11F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previously been</w:t>
      </w:r>
      <w:r w:rsidR="00BC06A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completed </w:t>
      </w:r>
      <w:r w:rsidR="008835A1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in AusE</w:t>
      </w:r>
      <w:r w:rsidR="00BC06A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Studies </w:t>
      </w:r>
      <w:r w:rsidR="00CC11F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elsewhere, </w:t>
      </w:r>
      <w:r w:rsidR="00BC06A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multiple </w:t>
      </w:r>
      <w:r w:rsidR="00186DE4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British varieties of English</w:t>
      </w:r>
      <w:r w:rsidR="00CC11F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C11F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Tagli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amonte</w:t>
      </w:r>
      <w:proofErr w:type="spellEnd"/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Smith</w:t>
      </w:r>
      <w:r w:rsidR="008E7009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, 2006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) and Canadian English</w:t>
      </w:r>
      <w:r w:rsidR="00186DE4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Tagliamonte</w:t>
      </w:r>
      <w:proofErr w:type="spellEnd"/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D’Arcy, 2007)</w:t>
      </w:r>
      <w:r w:rsidR="00CC11F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6A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shown </w:t>
      </w:r>
      <w:r w:rsidR="00186DE4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frequency of forms </w:t>
      </w:r>
      <w:r w:rsidR="008835A1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speech </w:t>
      </w:r>
      <w:r w:rsidR="008253C7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differs 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by variety</w:t>
      </w:r>
      <w:r w:rsidR="008253C7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BC06A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are </w:t>
      </w:r>
      <w:r w:rsidR="00D40605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sensitive to </w:t>
      </w:r>
      <w:r w:rsidR="002B59E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a r</w:t>
      </w:r>
      <w:r w:rsidR="00A67775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 of </w:t>
      </w:r>
      <w:r w:rsidR="00D40605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790FD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cial factors including 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age and gender.</w:t>
      </w:r>
      <w:r w:rsidR="00951E3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 </w:t>
      </w:r>
      <w:r w:rsidR="00951E3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study replicating these methods in Tyneside</w:t>
      </w:r>
      <w:r w:rsidR="00666BA2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6A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 </w:t>
      </w:r>
      <w:r w:rsidR="00951E3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proofErr w:type="spellStart"/>
      <w:r w:rsidR="00666BA2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Fehringer</w:t>
      </w:r>
      <w:proofErr w:type="spellEnd"/>
      <w:r w:rsidR="00666BA2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Corrigan (2015) </w:t>
      </w:r>
      <w:r w:rsidR="00951E3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did not find these same relationships</w:t>
      </w:r>
      <w:r w:rsidR="0082402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social factors</w:t>
      </w:r>
      <w:r w:rsidR="00951E3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5B3D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9938D1" w14:textId="77777777" w:rsidR="008A5E00" w:rsidRPr="00894169" w:rsidRDefault="008A5E00" w:rsidP="00C86496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577C6" w14:textId="77777777" w:rsidR="00605253" w:rsidRPr="00894169" w:rsidRDefault="00003185" w:rsidP="00605253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E5134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investigation is based on </w:t>
      </w:r>
      <w:r w:rsidR="00AE515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interview material</w:t>
      </w:r>
      <w:r w:rsid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15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0E5134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169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AusE </w:t>
      </w:r>
      <w:r w:rsidR="00AE515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speakers</w:t>
      </w:r>
      <w:r w:rsidR="0089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515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analysed in four age groups: </w:t>
      </w:r>
      <w:r w:rsidR="0042088D">
        <w:rPr>
          <w:rFonts w:ascii="Times New Roman" w:hAnsi="Times New Roman" w:cs="Times New Roman"/>
          <w:color w:val="000000" w:themeColor="text1"/>
          <w:sz w:val="24"/>
          <w:szCs w:val="24"/>
        </w:rPr>
        <w:t>adolescent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, young adult, middle-aged and older participants.</w:t>
      </w:r>
      <w:r w:rsidR="0060525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aim is to explore the distribution of these (quasi) modals in AusE by firstly comparing the cross varietal differences after which the analysis centre</w:t>
      </w:r>
      <w:r w:rsidR="0089416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0525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exploring whether AusE displays distribution of forms related to speaker age and/or gender. </w:t>
      </w:r>
    </w:p>
    <w:p w14:paraId="7F70DC90" w14:textId="77777777" w:rsidR="00C86496" w:rsidRPr="00894169" w:rsidRDefault="00C86496" w:rsidP="00C86496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B6352" w14:textId="61F498B1" w:rsidR="00BC6566" w:rsidRDefault="0023653A" w:rsidP="00C25B3D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4A40F8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overall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E8C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 the </w:t>
      </w:r>
      <w:r w:rsidR="0043238B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increasing rareness of</w:t>
      </w:r>
      <w:r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must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82402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speech with it accounting for 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 than ten tokens while </w:t>
      </w:r>
      <w:r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 to</w:t>
      </w:r>
      <w:r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dominates the dataset</w:t>
      </w:r>
      <w:r w:rsidR="0082402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E8C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In terms of the sociolinguistic distribution</w:t>
      </w:r>
      <w:r w:rsidR="004A40F8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E8C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24023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he data</w:t>
      </w:r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suggest</w:t>
      </w:r>
      <w:r w:rsidR="00003185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in AusE </w:t>
      </w:r>
      <w:r w:rsidR="00003185"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 to</w:t>
      </w:r>
      <w:r w:rsidR="00003185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sensitive to age and gender</w:t>
      </w:r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185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younger people and females favouring this construction. </w:t>
      </w:r>
      <w:r w:rsidR="0089416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03185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association between males and </w:t>
      </w:r>
      <w:r w:rsidR="00FC1680" w:rsidRPr="008941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got to</w:t>
      </w:r>
      <w:r w:rsidR="001B6BC2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also supported by the data</w:t>
      </w:r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6BC2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findings </w:t>
      </w:r>
      <w:r w:rsidR="001B6BC2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are both</w:t>
      </w:r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line with the results of </w:t>
      </w:r>
      <w:proofErr w:type="spellStart"/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Tagliamonte</w:t>
      </w:r>
      <w:proofErr w:type="spellEnd"/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Smith (2006) and </w:t>
      </w:r>
      <w:proofErr w:type="spellStart"/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>Tagliamonte</w:t>
      </w:r>
      <w:proofErr w:type="spellEnd"/>
      <w:r w:rsidR="00FC1680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D’Arcy (2007).</w:t>
      </w:r>
      <w:r w:rsidR="003B5476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4225EA" w14:textId="77777777" w:rsidR="00BC6566" w:rsidRDefault="00BC6566" w:rsidP="00C25B3D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A8769" w14:textId="44158642" w:rsidR="005362BC" w:rsidRPr="00894169" w:rsidRDefault="0043238B" w:rsidP="00C25B3D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E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taking into consideration the importance of social factors, </w:t>
      </w:r>
      <w:r w:rsidR="003B5476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</w:t>
      </w:r>
      <w:r w:rsidR="009C13D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contributes to the </w:t>
      </w:r>
      <w:r w:rsidR="00943CAD">
        <w:rPr>
          <w:rFonts w:ascii="Times New Roman" w:hAnsi="Times New Roman" w:cs="Times New Roman"/>
          <w:color w:val="000000" w:themeColor="text1"/>
          <w:sz w:val="24"/>
          <w:szCs w:val="24"/>
        </w:rPr>
        <w:t>understanding</w:t>
      </w:r>
      <w:r w:rsidR="009C13D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943CA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C13D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modality in AusE</w:t>
      </w:r>
      <w:r w:rsidR="002B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it </w:t>
      </w:r>
      <w:r w:rsidR="002B55DA">
        <w:rPr>
          <w:rFonts w:ascii="Times New Roman" w:hAnsi="Times New Roman" w:cs="Times New Roman"/>
          <w:color w:val="000000" w:themeColor="text1"/>
          <w:sz w:val="24"/>
          <w:szCs w:val="24"/>
        </w:rPr>
        <w:t>allows comparisons with sociolinguistic work on other varieties of English</w:t>
      </w:r>
      <w:r w:rsidR="009C13DE" w:rsidRPr="0089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BC6566">
        <w:rPr>
          <w:rFonts w:ascii="Times New Roman" w:hAnsi="Times New Roman" w:cs="Times New Roman"/>
          <w:color w:val="000000" w:themeColor="text1"/>
          <w:sz w:val="24"/>
          <w:szCs w:val="24"/>
        </w:rPr>
        <w:t>with the use</w:t>
      </w:r>
      <w:r w:rsidR="008E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generational data</w:t>
      </w:r>
      <w:r w:rsidR="00BC6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highlights potential language change</w:t>
      </w:r>
      <w:r w:rsidR="0043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566">
        <w:rPr>
          <w:rFonts w:ascii="Times New Roman" w:hAnsi="Times New Roman" w:cs="Times New Roman"/>
          <w:color w:val="000000" w:themeColor="text1"/>
          <w:sz w:val="24"/>
          <w:szCs w:val="24"/>
        </w:rPr>
        <w:t>in progress</w:t>
      </w:r>
      <w:r w:rsidR="008E4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B98DCE" w14:textId="77777777" w:rsidR="00280A3C" w:rsidRPr="00894169" w:rsidRDefault="00280A3C" w:rsidP="003B1B01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60C9E" w14:textId="2C00C029" w:rsidR="00C625A8" w:rsidRDefault="00EC1B4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bookmarkStart w:id="0" w:name="_GoBack"/>
      <w:bookmarkEnd w:id="0"/>
    </w:p>
    <w:p w14:paraId="534EC1F8" w14:textId="77777777" w:rsidR="009A56FD" w:rsidRPr="009A56FD" w:rsidRDefault="009A56FD">
      <w:pPr>
        <w:rPr>
          <w:rFonts w:ascii="Times New Roman" w:hAnsi="Times New Roman" w:cs="Times New Roman"/>
          <w:b/>
          <w:sz w:val="24"/>
          <w:szCs w:val="24"/>
        </w:rPr>
      </w:pPr>
      <w:r w:rsidRPr="009A56F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F742642" w14:textId="77777777" w:rsidR="009A56FD" w:rsidRPr="009A56FD" w:rsidRDefault="009A56FD">
      <w:pPr>
        <w:rPr>
          <w:rFonts w:ascii="Times New Roman" w:hAnsi="Times New Roman" w:cs="Times New Roman"/>
        </w:rPr>
      </w:pPr>
      <w:r w:rsidRPr="009A56FD">
        <w:rPr>
          <w:rFonts w:ascii="Times New Roman" w:hAnsi="Times New Roman" w:cs="Times New Roman"/>
          <w:sz w:val="24"/>
          <w:szCs w:val="24"/>
        </w:rPr>
        <w:t xml:space="preserve">Collins, P. C. (2009a). Modals and quasi-modals. In P. C. Collins, P. Peters &amp; A. Smith (Eds.), </w:t>
      </w:r>
      <w:r w:rsidRPr="009A56FD">
        <w:rPr>
          <w:rFonts w:ascii="Times New Roman" w:hAnsi="Times New Roman" w:cs="Times New Roman"/>
          <w:i/>
          <w:iCs/>
          <w:sz w:val="24"/>
          <w:szCs w:val="24"/>
        </w:rPr>
        <w:t>Comparative studies in Australian and New Zealand English</w:t>
      </w:r>
      <w:r w:rsidRPr="009A56FD">
        <w:rPr>
          <w:rFonts w:ascii="Times New Roman" w:hAnsi="Times New Roman" w:cs="Times New Roman"/>
          <w:sz w:val="24"/>
          <w:szCs w:val="24"/>
        </w:rPr>
        <w:t xml:space="preserve"> (pp. 73-88). Amsterdam and Philadelphia: John </w:t>
      </w:r>
      <w:proofErr w:type="spellStart"/>
      <w:r w:rsidRPr="009A56FD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9A56FD">
        <w:rPr>
          <w:rFonts w:ascii="Times New Roman" w:hAnsi="Times New Roman" w:cs="Times New Roman"/>
          <w:sz w:val="24"/>
          <w:szCs w:val="24"/>
        </w:rPr>
        <w:t>.</w:t>
      </w:r>
    </w:p>
    <w:p w14:paraId="75EC5950" w14:textId="77777777" w:rsidR="00C625A8" w:rsidRPr="009A56FD" w:rsidRDefault="00C625A8">
      <w:pPr>
        <w:rPr>
          <w:rFonts w:ascii="Times New Roman" w:hAnsi="Times New Roman" w:cs="Times New Roman"/>
          <w:sz w:val="24"/>
          <w:szCs w:val="24"/>
        </w:rPr>
      </w:pPr>
      <w:r w:rsidRPr="009A56FD">
        <w:rPr>
          <w:rFonts w:ascii="Times New Roman" w:hAnsi="Times New Roman" w:cs="Times New Roman"/>
          <w:sz w:val="24"/>
          <w:szCs w:val="24"/>
        </w:rPr>
        <w:t>Collins, P. C. (2009</w:t>
      </w:r>
      <w:r w:rsidR="009A56FD" w:rsidRPr="009A56FD">
        <w:rPr>
          <w:rFonts w:ascii="Times New Roman" w:hAnsi="Times New Roman" w:cs="Times New Roman"/>
          <w:sz w:val="24"/>
          <w:szCs w:val="24"/>
        </w:rPr>
        <w:t>b</w:t>
      </w:r>
      <w:r w:rsidRPr="009A56FD">
        <w:rPr>
          <w:rFonts w:ascii="Times New Roman" w:hAnsi="Times New Roman" w:cs="Times New Roman"/>
          <w:sz w:val="24"/>
          <w:szCs w:val="24"/>
        </w:rPr>
        <w:t xml:space="preserve">). </w:t>
      </w:r>
      <w:r w:rsidRPr="009A56FD">
        <w:rPr>
          <w:rFonts w:ascii="Times New Roman" w:hAnsi="Times New Roman" w:cs="Times New Roman"/>
          <w:i/>
          <w:iCs/>
          <w:sz w:val="24"/>
          <w:szCs w:val="24"/>
        </w:rPr>
        <w:t>Modals and quasi-modals in English</w:t>
      </w:r>
      <w:r w:rsidRPr="009A56FD">
        <w:rPr>
          <w:rFonts w:ascii="Times New Roman" w:hAnsi="Times New Roman" w:cs="Times New Roman"/>
          <w:sz w:val="24"/>
          <w:szCs w:val="24"/>
        </w:rPr>
        <w:t xml:space="preserve">. Amsterdam: </w:t>
      </w:r>
      <w:proofErr w:type="spellStart"/>
      <w:r w:rsidRPr="009A56FD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9A56FD">
        <w:rPr>
          <w:rFonts w:ascii="Times New Roman" w:hAnsi="Times New Roman" w:cs="Times New Roman"/>
          <w:sz w:val="24"/>
          <w:szCs w:val="24"/>
        </w:rPr>
        <w:t>.</w:t>
      </w:r>
    </w:p>
    <w:p w14:paraId="072B39C4" w14:textId="77777777" w:rsidR="00EC1B46" w:rsidRPr="009A56FD" w:rsidRDefault="00C625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6FD">
        <w:rPr>
          <w:rFonts w:ascii="Times New Roman" w:hAnsi="Times New Roman" w:cs="Times New Roman"/>
          <w:sz w:val="24"/>
          <w:szCs w:val="24"/>
        </w:rPr>
        <w:t>F</w:t>
      </w:r>
      <w:r w:rsidR="009A56FD">
        <w:rPr>
          <w:rFonts w:ascii="Times New Roman" w:hAnsi="Times New Roman" w:cs="Times New Roman"/>
          <w:sz w:val="24"/>
          <w:szCs w:val="24"/>
        </w:rPr>
        <w:t>ehringer</w:t>
      </w:r>
      <w:proofErr w:type="spellEnd"/>
      <w:r w:rsidRPr="009A56FD">
        <w:rPr>
          <w:rFonts w:ascii="Times New Roman" w:hAnsi="Times New Roman" w:cs="Times New Roman"/>
          <w:sz w:val="24"/>
          <w:szCs w:val="24"/>
        </w:rPr>
        <w:t>, C., &amp; C</w:t>
      </w:r>
      <w:r w:rsidR="009A56FD">
        <w:rPr>
          <w:rFonts w:ascii="Times New Roman" w:hAnsi="Times New Roman" w:cs="Times New Roman"/>
          <w:sz w:val="24"/>
          <w:szCs w:val="24"/>
        </w:rPr>
        <w:t>orrigan</w:t>
      </w:r>
      <w:r w:rsidRPr="009A56FD">
        <w:rPr>
          <w:rFonts w:ascii="Times New Roman" w:hAnsi="Times New Roman" w:cs="Times New Roman"/>
          <w:sz w:val="24"/>
          <w:szCs w:val="24"/>
        </w:rPr>
        <w:t xml:space="preserve">, K. (2015). ‘You’ve got to sort of eh hoy the Geordie out’: modals of obligation and necessity in fifty years of Tyneside English. </w:t>
      </w:r>
      <w:r w:rsidRPr="009A56FD">
        <w:rPr>
          <w:rFonts w:ascii="Times New Roman" w:hAnsi="Times New Roman" w:cs="Times New Roman"/>
          <w:i/>
          <w:iCs/>
          <w:sz w:val="24"/>
          <w:szCs w:val="24"/>
        </w:rPr>
        <w:t>English Language and Linguistics, 19</w:t>
      </w:r>
      <w:r w:rsidRPr="009A56FD">
        <w:rPr>
          <w:rFonts w:ascii="Times New Roman" w:hAnsi="Times New Roman" w:cs="Times New Roman"/>
          <w:sz w:val="24"/>
          <w:szCs w:val="24"/>
        </w:rPr>
        <w:t>(Special Issue 02), 355-381.</w:t>
      </w:r>
    </w:p>
    <w:p w14:paraId="2053D6AB" w14:textId="77777777" w:rsidR="00C625A8" w:rsidRPr="009A56FD" w:rsidRDefault="00C625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56FD">
        <w:rPr>
          <w:rFonts w:ascii="Times New Roman" w:hAnsi="Times New Roman" w:cs="Times New Roman"/>
          <w:sz w:val="24"/>
          <w:szCs w:val="24"/>
        </w:rPr>
        <w:t>Tagliamonte</w:t>
      </w:r>
      <w:proofErr w:type="spellEnd"/>
      <w:r w:rsidRPr="009A56FD">
        <w:rPr>
          <w:rFonts w:ascii="Times New Roman" w:hAnsi="Times New Roman" w:cs="Times New Roman"/>
          <w:sz w:val="24"/>
          <w:szCs w:val="24"/>
        </w:rPr>
        <w:t xml:space="preserve">, S. A., &amp; D'Arcy, A. (2007). The modals of obligation/necessity in Canadian perspective. </w:t>
      </w:r>
      <w:r w:rsidRPr="009A56FD">
        <w:rPr>
          <w:rFonts w:ascii="Times New Roman" w:hAnsi="Times New Roman" w:cs="Times New Roman"/>
          <w:i/>
          <w:iCs/>
          <w:sz w:val="24"/>
          <w:szCs w:val="24"/>
        </w:rPr>
        <w:t>English World-Wide, 28</w:t>
      </w:r>
      <w:r w:rsidRPr="009A56FD">
        <w:rPr>
          <w:rFonts w:ascii="Times New Roman" w:hAnsi="Times New Roman" w:cs="Times New Roman"/>
          <w:sz w:val="24"/>
          <w:szCs w:val="24"/>
        </w:rPr>
        <w:t>(1), 47-87.</w:t>
      </w:r>
    </w:p>
    <w:p w14:paraId="4B5F1604" w14:textId="77777777" w:rsidR="00C625A8" w:rsidRPr="009A56FD" w:rsidRDefault="00C625A8">
      <w:pPr>
        <w:rPr>
          <w:rFonts w:ascii="Times New Roman" w:hAnsi="Times New Roman" w:cs="Times New Roman"/>
        </w:rPr>
      </w:pPr>
      <w:proofErr w:type="spellStart"/>
      <w:r w:rsidRPr="009A56FD">
        <w:rPr>
          <w:rFonts w:ascii="Times New Roman" w:hAnsi="Times New Roman" w:cs="Times New Roman"/>
          <w:sz w:val="24"/>
          <w:szCs w:val="24"/>
        </w:rPr>
        <w:t>Tagliamonte</w:t>
      </w:r>
      <w:proofErr w:type="spellEnd"/>
      <w:r w:rsidRPr="009A56FD">
        <w:rPr>
          <w:rFonts w:ascii="Times New Roman" w:hAnsi="Times New Roman" w:cs="Times New Roman"/>
          <w:sz w:val="24"/>
          <w:szCs w:val="24"/>
        </w:rPr>
        <w:t xml:space="preserve">, S., &amp; Smith, J. (2006). Layering, competition and a twist of fate: Deontic modality in dialects of English. </w:t>
      </w:r>
      <w:proofErr w:type="spellStart"/>
      <w:r w:rsidRPr="009A56FD">
        <w:rPr>
          <w:rFonts w:ascii="Times New Roman" w:hAnsi="Times New Roman" w:cs="Times New Roman"/>
          <w:i/>
          <w:iCs/>
          <w:sz w:val="24"/>
          <w:szCs w:val="24"/>
        </w:rPr>
        <w:t>Diachronica</w:t>
      </w:r>
      <w:proofErr w:type="spellEnd"/>
      <w:r w:rsidRPr="009A56FD">
        <w:rPr>
          <w:rFonts w:ascii="Times New Roman" w:hAnsi="Times New Roman" w:cs="Times New Roman"/>
          <w:i/>
          <w:iCs/>
          <w:sz w:val="24"/>
          <w:szCs w:val="24"/>
        </w:rPr>
        <w:t>, 23</w:t>
      </w:r>
      <w:r w:rsidRPr="009A56FD">
        <w:rPr>
          <w:rFonts w:ascii="Times New Roman" w:hAnsi="Times New Roman" w:cs="Times New Roman"/>
          <w:sz w:val="24"/>
          <w:szCs w:val="24"/>
        </w:rPr>
        <w:t>(2), 341-380.</w:t>
      </w:r>
    </w:p>
    <w:sectPr w:rsidR="00C625A8" w:rsidRPr="009A56FD" w:rsidSect="00114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5B70" w14:textId="77777777" w:rsidR="005558B9" w:rsidRDefault="005558B9" w:rsidP="00A62B5E">
      <w:pPr>
        <w:spacing w:after="0" w:line="240" w:lineRule="auto"/>
      </w:pPr>
      <w:r>
        <w:separator/>
      </w:r>
    </w:p>
  </w:endnote>
  <w:endnote w:type="continuationSeparator" w:id="0">
    <w:p w14:paraId="3CD26613" w14:textId="77777777" w:rsidR="005558B9" w:rsidRDefault="005558B9" w:rsidP="00A6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991FB" w14:textId="77777777" w:rsidR="00A60052" w:rsidRDefault="00A60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07F9" w14:textId="77777777" w:rsidR="00A60052" w:rsidRDefault="00A60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8DC0" w14:textId="77777777" w:rsidR="00A60052" w:rsidRDefault="00A60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65540" w14:textId="77777777" w:rsidR="005558B9" w:rsidRDefault="005558B9" w:rsidP="00A62B5E">
      <w:pPr>
        <w:spacing w:after="0" w:line="240" w:lineRule="auto"/>
      </w:pPr>
      <w:r>
        <w:separator/>
      </w:r>
    </w:p>
  </w:footnote>
  <w:footnote w:type="continuationSeparator" w:id="0">
    <w:p w14:paraId="61DA7F3B" w14:textId="77777777" w:rsidR="005558B9" w:rsidRDefault="005558B9" w:rsidP="00A6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8D61" w14:textId="77777777" w:rsidR="00A60052" w:rsidRDefault="00A60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8835" w14:textId="77777777" w:rsidR="00A60052" w:rsidRDefault="00A60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05CD" w14:textId="77777777" w:rsidR="00A60052" w:rsidRDefault="00A60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23B4"/>
    <w:multiLevelType w:val="hybridMultilevel"/>
    <w:tmpl w:val="CF42B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0D83"/>
    <w:multiLevelType w:val="hybridMultilevel"/>
    <w:tmpl w:val="CF42B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81481"/>
    <w:multiLevelType w:val="hybridMultilevel"/>
    <w:tmpl w:val="CF42B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A3CBB"/>
    <w:multiLevelType w:val="hybridMultilevel"/>
    <w:tmpl w:val="886AC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3B7F"/>
    <w:multiLevelType w:val="hybridMultilevel"/>
    <w:tmpl w:val="CF42B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a&amp;apos;s thesis sty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dv29s992sxwpetdwp59zv75erprdvttsx2&quot;&gt;CaRa&lt;record-ids&gt;&lt;item&gt;907&lt;/item&gt;&lt;item&gt;2474&lt;/item&gt;&lt;/record-ids&gt;&lt;/item&gt;&lt;/Libraries&gt;"/>
  </w:docVars>
  <w:rsids>
    <w:rsidRoot w:val="003D035D"/>
    <w:rsid w:val="00003185"/>
    <w:rsid w:val="00005CC0"/>
    <w:rsid w:val="00005E5A"/>
    <w:rsid w:val="0002406A"/>
    <w:rsid w:val="00024B94"/>
    <w:rsid w:val="00027F33"/>
    <w:rsid w:val="00030928"/>
    <w:rsid w:val="000318A3"/>
    <w:rsid w:val="00034617"/>
    <w:rsid w:val="000526F0"/>
    <w:rsid w:val="000572DA"/>
    <w:rsid w:val="00072D42"/>
    <w:rsid w:val="00095C86"/>
    <w:rsid w:val="000B1F2E"/>
    <w:rsid w:val="000E5134"/>
    <w:rsid w:val="000E6A03"/>
    <w:rsid w:val="00106FC7"/>
    <w:rsid w:val="001142AE"/>
    <w:rsid w:val="001231AD"/>
    <w:rsid w:val="00125746"/>
    <w:rsid w:val="00145B77"/>
    <w:rsid w:val="00153E34"/>
    <w:rsid w:val="00183DD3"/>
    <w:rsid w:val="00186DE4"/>
    <w:rsid w:val="001976D0"/>
    <w:rsid w:val="001A27D5"/>
    <w:rsid w:val="001B3EB1"/>
    <w:rsid w:val="001B6BC2"/>
    <w:rsid w:val="001F7124"/>
    <w:rsid w:val="0023653A"/>
    <w:rsid w:val="00246B92"/>
    <w:rsid w:val="00252FFD"/>
    <w:rsid w:val="0025556C"/>
    <w:rsid w:val="00263163"/>
    <w:rsid w:val="00265B49"/>
    <w:rsid w:val="00280A3C"/>
    <w:rsid w:val="002920DA"/>
    <w:rsid w:val="002A1073"/>
    <w:rsid w:val="002A7E61"/>
    <w:rsid w:val="002B18DE"/>
    <w:rsid w:val="002B55DA"/>
    <w:rsid w:val="002B59E0"/>
    <w:rsid w:val="002B67D8"/>
    <w:rsid w:val="002F50E7"/>
    <w:rsid w:val="00306BA3"/>
    <w:rsid w:val="00312427"/>
    <w:rsid w:val="00331697"/>
    <w:rsid w:val="00374D3E"/>
    <w:rsid w:val="00380A5B"/>
    <w:rsid w:val="003833A5"/>
    <w:rsid w:val="00383487"/>
    <w:rsid w:val="003B1B01"/>
    <w:rsid w:val="003B2D27"/>
    <w:rsid w:val="003B5476"/>
    <w:rsid w:val="003D035D"/>
    <w:rsid w:val="003D7E8C"/>
    <w:rsid w:val="003E0242"/>
    <w:rsid w:val="00402E7C"/>
    <w:rsid w:val="0042088D"/>
    <w:rsid w:val="0043179B"/>
    <w:rsid w:val="0043238B"/>
    <w:rsid w:val="00445EB8"/>
    <w:rsid w:val="00460717"/>
    <w:rsid w:val="004731EE"/>
    <w:rsid w:val="00490A63"/>
    <w:rsid w:val="00494259"/>
    <w:rsid w:val="004A40F8"/>
    <w:rsid w:val="004F7365"/>
    <w:rsid w:val="005129B1"/>
    <w:rsid w:val="00512C59"/>
    <w:rsid w:val="005362BC"/>
    <w:rsid w:val="00547342"/>
    <w:rsid w:val="005558B9"/>
    <w:rsid w:val="00563780"/>
    <w:rsid w:val="00582A61"/>
    <w:rsid w:val="005870EC"/>
    <w:rsid w:val="00591EED"/>
    <w:rsid w:val="005C671E"/>
    <w:rsid w:val="005C6CCF"/>
    <w:rsid w:val="005D73CE"/>
    <w:rsid w:val="005E4D59"/>
    <w:rsid w:val="005F27C3"/>
    <w:rsid w:val="00602DE5"/>
    <w:rsid w:val="00605253"/>
    <w:rsid w:val="00607FCF"/>
    <w:rsid w:val="00632D93"/>
    <w:rsid w:val="00634869"/>
    <w:rsid w:val="006441D3"/>
    <w:rsid w:val="0065005F"/>
    <w:rsid w:val="00663938"/>
    <w:rsid w:val="00666BA2"/>
    <w:rsid w:val="006819DC"/>
    <w:rsid w:val="0068287B"/>
    <w:rsid w:val="00695B00"/>
    <w:rsid w:val="006B1033"/>
    <w:rsid w:val="006D6E6F"/>
    <w:rsid w:val="006E3F7D"/>
    <w:rsid w:val="006F5EBC"/>
    <w:rsid w:val="0070252A"/>
    <w:rsid w:val="007169C5"/>
    <w:rsid w:val="00720E29"/>
    <w:rsid w:val="0073362A"/>
    <w:rsid w:val="00733887"/>
    <w:rsid w:val="00744282"/>
    <w:rsid w:val="00751AED"/>
    <w:rsid w:val="00761EEE"/>
    <w:rsid w:val="00762514"/>
    <w:rsid w:val="00780F3C"/>
    <w:rsid w:val="0078560C"/>
    <w:rsid w:val="00790FDD"/>
    <w:rsid w:val="007B2349"/>
    <w:rsid w:val="007F21A7"/>
    <w:rsid w:val="00805E3D"/>
    <w:rsid w:val="008219F0"/>
    <w:rsid w:val="00824023"/>
    <w:rsid w:val="008253C7"/>
    <w:rsid w:val="00860842"/>
    <w:rsid w:val="0086190E"/>
    <w:rsid w:val="00863E78"/>
    <w:rsid w:val="008835A1"/>
    <w:rsid w:val="008855F3"/>
    <w:rsid w:val="00886CFF"/>
    <w:rsid w:val="00894169"/>
    <w:rsid w:val="008A4FA3"/>
    <w:rsid w:val="008A5E00"/>
    <w:rsid w:val="008C7A16"/>
    <w:rsid w:val="008D7CAC"/>
    <w:rsid w:val="008E4280"/>
    <w:rsid w:val="008E7009"/>
    <w:rsid w:val="008F7718"/>
    <w:rsid w:val="00902C8C"/>
    <w:rsid w:val="009268B5"/>
    <w:rsid w:val="00943CAD"/>
    <w:rsid w:val="0094612A"/>
    <w:rsid w:val="009476BD"/>
    <w:rsid w:val="00950A39"/>
    <w:rsid w:val="00951E3E"/>
    <w:rsid w:val="00952669"/>
    <w:rsid w:val="009576A0"/>
    <w:rsid w:val="00966D39"/>
    <w:rsid w:val="00977D76"/>
    <w:rsid w:val="00980424"/>
    <w:rsid w:val="009A3CBB"/>
    <w:rsid w:val="009A56FD"/>
    <w:rsid w:val="009A6F21"/>
    <w:rsid w:val="009B3D98"/>
    <w:rsid w:val="009C13DE"/>
    <w:rsid w:val="009E57FE"/>
    <w:rsid w:val="00A60052"/>
    <w:rsid w:val="00A614F7"/>
    <w:rsid w:val="00A62B5E"/>
    <w:rsid w:val="00A67775"/>
    <w:rsid w:val="00A979C9"/>
    <w:rsid w:val="00AA3A13"/>
    <w:rsid w:val="00AC2D29"/>
    <w:rsid w:val="00AC7E7C"/>
    <w:rsid w:val="00AD0183"/>
    <w:rsid w:val="00AE36DA"/>
    <w:rsid w:val="00AE5150"/>
    <w:rsid w:val="00B026D6"/>
    <w:rsid w:val="00B36F23"/>
    <w:rsid w:val="00B51D16"/>
    <w:rsid w:val="00B84719"/>
    <w:rsid w:val="00B87533"/>
    <w:rsid w:val="00B9153B"/>
    <w:rsid w:val="00B93511"/>
    <w:rsid w:val="00BA53A4"/>
    <w:rsid w:val="00BA7D93"/>
    <w:rsid w:val="00BC06A3"/>
    <w:rsid w:val="00BC22D6"/>
    <w:rsid w:val="00BC4023"/>
    <w:rsid w:val="00BC6566"/>
    <w:rsid w:val="00BF11D2"/>
    <w:rsid w:val="00C13AEE"/>
    <w:rsid w:val="00C25B3D"/>
    <w:rsid w:val="00C4122C"/>
    <w:rsid w:val="00C515CA"/>
    <w:rsid w:val="00C625A8"/>
    <w:rsid w:val="00C86496"/>
    <w:rsid w:val="00C962F7"/>
    <w:rsid w:val="00CA054B"/>
    <w:rsid w:val="00CB2258"/>
    <w:rsid w:val="00CC11F3"/>
    <w:rsid w:val="00CC55B6"/>
    <w:rsid w:val="00CD2F76"/>
    <w:rsid w:val="00CD3897"/>
    <w:rsid w:val="00CD47A2"/>
    <w:rsid w:val="00CE6794"/>
    <w:rsid w:val="00D20762"/>
    <w:rsid w:val="00D40605"/>
    <w:rsid w:val="00D64786"/>
    <w:rsid w:val="00D85731"/>
    <w:rsid w:val="00D8679A"/>
    <w:rsid w:val="00DA17E9"/>
    <w:rsid w:val="00DA31C0"/>
    <w:rsid w:val="00DA450C"/>
    <w:rsid w:val="00DB4191"/>
    <w:rsid w:val="00DB4ABE"/>
    <w:rsid w:val="00DC2E04"/>
    <w:rsid w:val="00DE6034"/>
    <w:rsid w:val="00DF00F6"/>
    <w:rsid w:val="00DF7440"/>
    <w:rsid w:val="00DF7511"/>
    <w:rsid w:val="00E052E2"/>
    <w:rsid w:val="00E57B90"/>
    <w:rsid w:val="00E65855"/>
    <w:rsid w:val="00E66B24"/>
    <w:rsid w:val="00E70626"/>
    <w:rsid w:val="00E912E5"/>
    <w:rsid w:val="00EA5AA2"/>
    <w:rsid w:val="00EB53E2"/>
    <w:rsid w:val="00EC00D8"/>
    <w:rsid w:val="00EC1B46"/>
    <w:rsid w:val="00EF309D"/>
    <w:rsid w:val="00EF3793"/>
    <w:rsid w:val="00EF7FC4"/>
    <w:rsid w:val="00F07A95"/>
    <w:rsid w:val="00F12723"/>
    <w:rsid w:val="00F1655C"/>
    <w:rsid w:val="00F17130"/>
    <w:rsid w:val="00F240FA"/>
    <w:rsid w:val="00F248B0"/>
    <w:rsid w:val="00F359F9"/>
    <w:rsid w:val="00F617C8"/>
    <w:rsid w:val="00F7350F"/>
    <w:rsid w:val="00F87C13"/>
    <w:rsid w:val="00FC1680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5E"/>
  </w:style>
  <w:style w:type="paragraph" w:styleId="Footer">
    <w:name w:val="footer"/>
    <w:basedOn w:val="Normal"/>
    <w:link w:val="FooterChar"/>
    <w:uiPriority w:val="99"/>
    <w:unhideWhenUsed/>
    <w:rsid w:val="00A62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5E"/>
  </w:style>
  <w:style w:type="character" w:styleId="Hyperlink">
    <w:name w:val="Hyperlink"/>
    <w:basedOn w:val="DefaultParagraphFont"/>
    <w:uiPriority w:val="99"/>
    <w:unhideWhenUsed/>
    <w:rsid w:val="005129B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A6F2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6F2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A6F2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A6F21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6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2016-06-30T09:03:00Z</dcterms:created>
  <dcterms:modified xsi:type="dcterms:W3CDTF">2016-06-30T09:04:00Z</dcterms:modified>
</cp:coreProperties>
</file>