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C7" w:rsidRPr="00FD7796" w:rsidRDefault="00C275C7" w:rsidP="00C275C7">
      <w:pPr>
        <w:pStyle w:val="Heading1"/>
        <w:spacing w:before="0" w:line="360" w:lineRule="auto"/>
        <w:jc w:val="both"/>
        <w:rPr>
          <w:rFonts w:ascii="Arial" w:hAnsi="Arial" w:cs="Arial"/>
          <w:b w:val="0"/>
          <w:color w:val="000000" w:themeColor="text1"/>
          <w:sz w:val="36"/>
          <w:szCs w:val="32"/>
        </w:rPr>
      </w:pPr>
      <w:r w:rsidRPr="00FD7796">
        <w:rPr>
          <w:rFonts w:ascii="Arial" w:hAnsi="Arial" w:cs="Arial"/>
          <w:b w:val="0"/>
          <w:color w:val="000000" w:themeColor="text1"/>
          <w:sz w:val="36"/>
          <w:szCs w:val="32"/>
        </w:rPr>
        <w:t>Modulation of Recognition Memory Performance by Light Requires Both Melanopsin and Classical Photoreceptors</w:t>
      </w:r>
    </w:p>
    <w:p w:rsidR="00C275C7" w:rsidRPr="00FD7796" w:rsidRDefault="00C275C7" w:rsidP="00C275C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275C7" w:rsidRDefault="00C275C7" w:rsidP="00C275C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D7796">
        <w:rPr>
          <w:rFonts w:ascii="Arial" w:hAnsi="Arial" w:cs="Arial"/>
          <w:color w:val="000000" w:themeColor="text1"/>
        </w:rPr>
        <w:t xml:space="preserve">Shu K. E. Tam, </w:t>
      </w:r>
      <w:proofErr w:type="spellStart"/>
      <w:r w:rsidRPr="00FD7796">
        <w:rPr>
          <w:rFonts w:ascii="Arial" w:hAnsi="Arial" w:cs="Arial"/>
          <w:color w:val="000000" w:themeColor="text1"/>
        </w:rPr>
        <w:t>Sibah</w:t>
      </w:r>
      <w:proofErr w:type="spellEnd"/>
      <w:r w:rsidRPr="00FD7796">
        <w:rPr>
          <w:rFonts w:ascii="Arial" w:hAnsi="Arial" w:cs="Arial"/>
          <w:color w:val="000000" w:themeColor="text1"/>
        </w:rPr>
        <w:t xml:space="preserve"> Hasan, Steven Hughes, Mark W. Hankins, Russell G. Foster, David M. Bannerman and Stuart N. Peirson</w:t>
      </w:r>
    </w:p>
    <w:p w:rsidR="00C275C7" w:rsidRPr="00FD7796" w:rsidRDefault="00C275C7" w:rsidP="00C275C7">
      <w:pPr>
        <w:spacing w:after="0" w:line="360" w:lineRule="auto"/>
        <w:jc w:val="both"/>
        <w:rPr>
          <w:rFonts w:ascii="Arial" w:hAnsi="Arial" w:cs="Arial"/>
          <w:color w:val="000000" w:themeColor="text1"/>
          <w:vertAlign w:val="superscript"/>
        </w:rPr>
      </w:pPr>
    </w:p>
    <w:p w:rsidR="00C275C7" w:rsidRPr="008A52F2" w:rsidRDefault="00C275C7" w:rsidP="00C275C7">
      <w:pPr>
        <w:pStyle w:val="Heading1"/>
        <w:spacing w:line="360" w:lineRule="auto"/>
        <w:jc w:val="both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8A52F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Electronic Supplementary Material </w:t>
      </w:r>
      <w:r w:rsidR="009F7B30">
        <w:rPr>
          <w:rFonts w:ascii="Arial" w:hAnsi="Arial" w:cs="Arial"/>
          <w:b w:val="0"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: </w:t>
      </w:r>
      <w:r w:rsidR="009F7B30" w:rsidRPr="009F7B30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Spectral Power Distributions </w:t>
      </w:r>
      <w:proofErr w:type="gramStart"/>
      <w:r w:rsidR="009F7B30" w:rsidRPr="009F7B30">
        <w:rPr>
          <w:rFonts w:ascii="Arial" w:hAnsi="Arial" w:cs="Arial"/>
          <w:b w:val="0"/>
          <w:color w:val="000000" w:themeColor="text1"/>
          <w:sz w:val="32"/>
          <w:szCs w:val="32"/>
        </w:rPr>
        <w:t>Of</w:t>
      </w:r>
      <w:proofErr w:type="gramEnd"/>
      <w:r w:rsidR="009F7B30" w:rsidRPr="009F7B30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White LEDs</w:t>
      </w:r>
    </w:p>
    <w:p w:rsidR="00F21529" w:rsidRDefault="00F21529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 w:rsidP="009F7B30">
      <w:r>
        <w:rPr>
          <w:noProof/>
          <w:lang w:eastAsia="en-GB"/>
        </w:rPr>
        <w:lastRenderedPageBreak/>
        <w:drawing>
          <wp:inline distT="0" distB="0" distL="0" distR="0" wp14:anchorId="0C6D90D6" wp14:editId="0CF35D00">
            <wp:extent cx="3600000" cy="3600000"/>
            <wp:effectExtent l="0" t="0" r="635" b="6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3640" w:type="dxa"/>
        <w:tblLook w:val="04A0" w:firstRow="1" w:lastRow="0" w:firstColumn="1" w:lastColumn="0" w:noHBand="0" w:noVBand="1"/>
      </w:tblPr>
      <w:tblGrid>
        <w:gridCol w:w="780"/>
        <w:gridCol w:w="1560"/>
        <w:gridCol w:w="1300"/>
      </w:tblGrid>
      <w:tr w:rsidR="009F7B30" w:rsidRPr="009F7B30" w:rsidTr="009F7B30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nm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en-GB"/>
              </w:rPr>
              <w:t>350 lux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en-GB"/>
              </w:rPr>
              <w:t>10 lux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0.013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0.008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0.013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0.005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0.005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0.005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0.013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0.012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0.022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0.034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0.038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0.072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0.108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0.173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0.215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0.227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0.192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0.152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0.107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0.082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0.081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0.047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0.054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0.044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0.049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0.048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0.056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0.060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0.068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0.066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0.066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0.070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0.075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0.074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0.074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0.103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0.073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0.078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0.075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580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0.077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0.068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0.064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0.066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0.060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0.063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0.063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0.061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0.052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0.053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0.042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0.044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0.035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0.035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0.028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0.036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0.030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0.021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0.025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0.023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0.023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0.025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0.019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0.018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0.037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0.019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0.009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0.012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0.011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0.019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0.008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0.032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0.008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0.035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0.005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0.015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0.003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0.026</w:t>
            </w:r>
          </w:p>
        </w:tc>
      </w:tr>
      <w:tr w:rsidR="009F7B30" w:rsidRPr="009F7B30" w:rsidTr="009F7B3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0" w:rsidRPr="009F7B30" w:rsidRDefault="009F7B30" w:rsidP="009F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F7B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0.017</w:t>
            </w:r>
          </w:p>
        </w:tc>
      </w:tr>
    </w:tbl>
    <w:p w:rsidR="009F7B30" w:rsidRDefault="009F7B30"/>
    <w:p w:rsidR="009F7B30" w:rsidRDefault="009F7B30"/>
    <w:p w:rsidR="009F7B30" w:rsidRDefault="009F7B30"/>
    <w:p w:rsidR="009F7B30" w:rsidRDefault="009F7B30"/>
    <w:p w:rsidR="009F7B30" w:rsidRDefault="009F7B30">
      <w:bookmarkStart w:id="0" w:name="_GoBack"/>
      <w:bookmarkEnd w:id="0"/>
    </w:p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9F7B30" w:rsidRDefault="009F7B30"/>
    <w:p w:rsidR="00C275C7" w:rsidRDefault="00C275C7"/>
    <w:p w:rsidR="00C275C7" w:rsidRDefault="00C275C7"/>
    <w:p w:rsidR="00C275C7" w:rsidRDefault="00C275C7"/>
    <w:sectPr w:rsidR="00C275C7" w:rsidSect="00C27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C7"/>
    <w:rsid w:val="009F7B30"/>
    <w:rsid w:val="00B41B23"/>
    <w:rsid w:val="00C275C7"/>
    <w:rsid w:val="00F2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D2276-86EC-4894-8705-BB79E53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5C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5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tam\Documents\ProceedingsB_Resubmission_Tam_et_al_SUPPLEMENTARY2_03NOV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0"/>
          <c:tx>
            <c:strRef>
              <c:f>Sheet1!$E$6</c:f>
              <c:strCache>
                <c:ptCount val="1"/>
                <c:pt idx="0">
                  <c:v>10 lux</c:v>
                </c:pt>
              </c:strCache>
            </c:strRef>
          </c:tx>
          <c:spPr>
            <a:ln w="31750" cap="sq">
              <a:solidFill>
                <a:schemeClr val="bg1"/>
              </a:solidFill>
              <a:miter lim="800000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xVal>
            <c:numRef>
              <c:f>Sheet1!$C$7:$C$87</c:f>
              <c:numCache>
                <c:formatCode>General</c:formatCode>
                <c:ptCount val="81"/>
                <c:pt idx="0">
                  <c:v>380</c:v>
                </c:pt>
                <c:pt idx="1">
                  <c:v>385</c:v>
                </c:pt>
                <c:pt idx="2">
                  <c:v>390</c:v>
                </c:pt>
                <c:pt idx="3">
                  <c:v>395</c:v>
                </c:pt>
                <c:pt idx="4">
                  <c:v>400</c:v>
                </c:pt>
                <c:pt idx="5">
                  <c:v>405</c:v>
                </c:pt>
                <c:pt idx="6">
                  <c:v>410</c:v>
                </c:pt>
                <c:pt idx="7">
                  <c:v>415</c:v>
                </c:pt>
                <c:pt idx="8">
                  <c:v>420</c:v>
                </c:pt>
                <c:pt idx="9">
                  <c:v>425</c:v>
                </c:pt>
                <c:pt idx="10">
                  <c:v>430</c:v>
                </c:pt>
                <c:pt idx="11">
                  <c:v>435</c:v>
                </c:pt>
                <c:pt idx="12">
                  <c:v>440</c:v>
                </c:pt>
                <c:pt idx="13">
                  <c:v>445</c:v>
                </c:pt>
                <c:pt idx="14">
                  <c:v>450</c:v>
                </c:pt>
                <c:pt idx="15">
                  <c:v>455</c:v>
                </c:pt>
                <c:pt idx="16">
                  <c:v>460</c:v>
                </c:pt>
                <c:pt idx="17">
                  <c:v>465</c:v>
                </c:pt>
                <c:pt idx="18">
                  <c:v>470</c:v>
                </c:pt>
                <c:pt idx="19">
                  <c:v>475</c:v>
                </c:pt>
                <c:pt idx="20">
                  <c:v>480</c:v>
                </c:pt>
                <c:pt idx="21">
                  <c:v>485</c:v>
                </c:pt>
                <c:pt idx="22">
                  <c:v>490</c:v>
                </c:pt>
                <c:pt idx="23">
                  <c:v>495</c:v>
                </c:pt>
                <c:pt idx="24">
                  <c:v>500</c:v>
                </c:pt>
                <c:pt idx="25">
                  <c:v>505</c:v>
                </c:pt>
                <c:pt idx="26">
                  <c:v>510</c:v>
                </c:pt>
                <c:pt idx="27">
                  <c:v>515</c:v>
                </c:pt>
                <c:pt idx="28">
                  <c:v>520</c:v>
                </c:pt>
                <c:pt idx="29">
                  <c:v>525</c:v>
                </c:pt>
                <c:pt idx="30">
                  <c:v>530</c:v>
                </c:pt>
                <c:pt idx="31">
                  <c:v>535</c:v>
                </c:pt>
                <c:pt idx="32">
                  <c:v>540</c:v>
                </c:pt>
                <c:pt idx="33">
                  <c:v>545</c:v>
                </c:pt>
                <c:pt idx="34">
                  <c:v>550</c:v>
                </c:pt>
                <c:pt idx="35">
                  <c:v>555</c:v>
                </c:pt>
                <c:pt idx="36">
                  <c:v>560</c:v>
                </c:pt>
                <c:pt idx="37">
                  <c:v>565</c:v>
                </c:pt>
                <c:pt idx="38">
                  <c:v>570</c:v>
                </c:pt>
                <c:pt idx="39">
                  <c:v>575</c:v>
                </c:pt>
                <c:pt idx="40">
                  <c:v>580</c:v>
                </c:pt>
                <c:pt idx="41">
                  <c:v>585</c:v>
                </c:pt>
                <c:pt idx="42">
                  <c:v>590</c:v>
                </c:pt>
                <c:pt idx="43">
                  <c:v>595</c:v>
                </c:pt>
                <c:pt idx="44">
                  <c:v>600</c:v>
                </c:pt>
                <c:pt idx="45">
                  <c:v>605</c:v>
                </c:pt>
                <c:pt idx="46">
                  <c:v>610</c:v>
                </c:pt>
                <c:pt idx="47">
                  <c:v>615</c:v>
                </c:pt>
                <c:pt idx="48">
                  <c:v>620</c:v>
                </c:pt>
                <c:pt idx="49">
                  <c:v>625</c:v>
                </c:pt>
                <c:pt idx="50">
                  <c:v>630</c:v>
                </c:pt>
                <c:pt idx="51">
                  <c:v>635</c:v>
                </c:pt>
                <c:pt idx="52">
                  <c:v>640</c:v>
                </c:pt>
                <c:pt idx="53">
                  <c:v>645</c:v>
                </c:pt>
                <c:pt idx="54">
                  <c:v>650</c:v>
                </c:pt>
                <c:pt idx="55">
                  <c:v>655</c:v>
                </c:pt>
                <c:pt idx="56">
                  <c:v>660</c:v>
                </c:pt>
                <c:pt idx="57">
                  <c:v>665</c:v>
                </c:pt>
                <c:pt idx="58">
                  <c:v>670</c:v>
                </c:pt>
                <c:pt idx="59">
                  <c:v>675</c:v>
                </c:pt>
                <c:pt idx="60">
                  <c:v>680</c:v>
                </c:pt>
                <c:pt idx="61">
                  <c:v>685</c:v>
                </c:pt>
                <c:pt idx="62">
                  <c:v>690</c:v>
                </c:pt>
                <c:pt idx="63">
                  <c:v>695</c:v>
                </c:pt>
                <c:pt idx="64">
                  <c:v>700</c:v>
                </c:pt>
                <c:pt idx="65">
                  <c:v>705</c:v>
                </c:pt>
                <c:pt idx="66">
                  <c:v>710</c:v>
                </c:pt>
                <c:pt idx="67">
                  <c:v>715</c:v>
                </c:pt>
                <c:pt idx="68">
                  <c:v>720</c:v>
                </c:pt>
                <c:pt idx="69">
                  <c:v>725</c:v>
                </c:pt>
                <c:pt idx="70">
                  <c:v>730</c:v>
                </c:pt>
                <c:pt idx="71">
                  <c:v>735</c:v>
                </c:pt>
                <c:pt idx="72">
                  <c:v>740</c:v>
                </c:pt>
                <c:pt idx="73">
                  <c:v>745</c:v>
                </c:pt>
                <c:pt idx="74">
                  <c:v>750</c:v>
                </c:pt>
                <c:pt idx="75">
                  <c:v>755</c:v>
                </c:pt>
                <c:pt idx="76">
                  <c:v>760</c:v>
                </c:pt>
                <c:pt idx="77">
                  <c:v>765</c:v>
                </c:pt>
                <c:pt idx="78">
                  <c:v>770</c:v>
                </c:pt>
                <c:pt idx="79">
                  <c:v>775</c:v>
                </c:pt>
                <c:pt idx="80">
                  <c:v>780</c:v>
                </c:pt>
              </c:numCache>
            </c:numRef>
          </c:xVal>
          <c:yVal>
            <c:numRef>
              <c:f>Sheet1!$E$7:$E$87</c:f>
              <c:numCache>
                <c:formatCode>0.000</c:formatCode>
                <c:ptCount val="81"/>
                <c:pt idx="0">
                  <c:v>1.3189728306900999E-2</c:v>
                </c:pt>
                <c:pt idx="1">
                  <c:v>7.6395112846381645E-3</c:v>
                </c:pt>
                <c:pt idx="2">
                  <c:v>1.2658009318403619E-2</c:v>
                </c:pt>
                <c:pt idx="3">
                  <c:v>4.8416369410866173E-3</c:v>
                </c:pt>
                <c:pt idx="4">
                  <c:v>5.1357859504514783E-3</c:v>
                </c:pt>
                <c:pt idx="5">
                  <c:v>5.035533690678478E-3</c:v>
                </c:pt>
                <c:pt idx="6">
                  <c:v>7.1443415236996342E-3</c:v>
                </c:pt>
                <c:pt idx="7">
                  <c:v>1.3298137032711144E-2</c:v>
                </c:pt>
                <c:pt idx="8">
                  <c:v>1.2368919382909899E-2</c:v>
                </c:pt>
                <c:pt idx="9">
                  <c:v>2.1801510992447863E-2</c:v>
                </c:pt>
                <c:pt idx="10">
                  <c:v>3.4085768322820321E-2</c:v>
                </c:pt>
                <c:pt idx="11">
                  <c:v>3.8207364831716502E-2</c:v>
                </c:pt>
                <c:pt idx="12">
                  <c:v>7.1900796813509638E-2</c:v>
                </c:pt>
                <c:pt idx="13">
                  <c:v>0.10802671410967135</c:v>
                </c:pt>
                <c:pt idx="14">
                  <c:v>0.17251441900587772</c:v>
                </c:pt>
                <c:pt idx="15">
                  <c:v>0.21522745697507492</c:v>
                </c:pt>
                <c:pt idx="16">
                  <c:v>0.22740020818747125</c:v>
                </c:pt>
                <c:pt idx="17">
                  <c:v>0.19184214612174358</c:v>
                </c:pt>
                <c:pt idx="18">
                  <c:v>0.15160702188534969</c:v>
                </c:pt>
                <c:pt idx="19">
                  <c:v>0.10734528783315044</c:v>
                </c:pt>
                <c:pt idx="20">
                  <c:v>8.2495942949354487E-2</c:v>
                </c:pt>
                <c:pt idx="21">
                  <c:v>8.0968928611514432E-2</c:v>
                </c:pt>
                <c:pt idx="22">
                  <c:v>4.7309567943547362E-2</c:v>
                </c:pt>
                <c:pt idx="23">
                  <c:v>5.3766598145610675E-2</c:v>
                </c:pt>
                <c:pt idx="24">
                  <c:v>4.3735177383978571E-2</c:v>
                </c:pt>
                <c:pt idx="25">
                  <c:v>4.8989386961576946E-2</c:v>
                </c:pt>
                <c:pt idx="26">
                  <c:v>4.7520190610835643E-2</c:v>
                </c:pt>
                <c:pt idx="27">
                  <c:v>5.642725801620823E-2</c:v>
                </c:pt>
                <c:pt idx="28">
                  <c:v>6.0278348942606724E-2</c:v>
                </c:pt>
                <c:pt idx="29">
                  <c:v>6.7621233304147238E-2</c:v>
                </c:pt>
                <c:pt idx="30">
                  <c:v>6.5966193423445688E-2</c:v>
                </c:pt>
                <c:pt idx="31">
                  <c:v>6.5587279115137842E-2</c:v>
                </c:pt>
                <c:pt idx="32">
                  <c:v>6.9603564290389885E-2</c:v>
                </c:pt>
                <c:pt idx="33">
                  <c:v>7.4710131508075386E-2</c:v>
                </c:pt>
                <c:pt idx="34">
                  <c:v>7.365288831541264E-2</c:v>
                </c:pt>
                <c:pt idx="35">
                  <c:v>7.4134016565198607E-2</c:v>
                </c:pt>
                <c:pt idx="36">
                  <c:v>0.1034425737039852</c:v>
                </c:pt>
                <c:pt idx="37">
                  <c:v>7.2614229475745917E-2</c:v>
                </c:pt>
                <c:pt idx="38">
                  <c:v>7.8202957407272733E-2</c:v>
                </c:pt>
                <c:pt idx="39">
                  <c:v>7.4776209207616809E-2</c:v>
                </c:pt>
                <c:pt idx="40">
                  <c:v>7.7354271953787607E-2</c:v>
                </c:pt>
                <c:pt idx="41">
                  <c:v>6.7932004984802979E-2</c:v>
                </c:pt>
                <c:pt idx="42">
                  <c:v>6.4252303091590052E-2</c:v>
                </c:pt>
                <c:pt idx="43">
                  <c:v>6.5916635148789621E-2</c:v>
                </c:pt>
                <c:pt idx="44">
                  <c:v>5.9746629954109343E-2</c:v>
                </c:pt>
                <c:pt idx="45">
                  <c:v>6.2575581465726463E-2</c:v>
                </c:pt>
                <c:pt idx="46">
                  <c:v>6.2530153047291745E-2</c:v>
                </c:pt>
                <c:pt idx="47">
                  <c:v>6.0895762447696886E-2</c:v>
                </c:pt>
                <c:pt idx="48">
                  <c:v>5.2423362409620214E-2</c:v>
                </c:pt>
                <c:pt idx="49">
                  <c:v>5.3368067020251479E-2</c:v>
                </c:pt>
                <c:pt idx="50">
                  <c:v>4.2366130046604736E-2</c:v>
                </c:pt>
                <c:pt idx="51">
                  <c:v>4.3779573338357969E-2</c:v>
                </c:pt>
                <c:pt idx="52">
                  <c:v>3.5330919973553983E-2</c:v>
                </c:pt>
                <c:pt idx="53">
                  <c:v>3.5482692189688185E-2</c:v>
                </c:pt>
                <c:pt idx="54">
                  <c:v>2.8363852528155323E-2</c:v>
                </c:pt>
                <c:pt idx="55">
                  <c:v>3.5875028530715378E-2</c:v>
                </c:pt>
                <c:pt idx="56">
                  <c:v>3.0096327213006976E-2</c:v>
                </c:pt>
                <c:pt idx="57">
                  <c:v>2.082376753204589E-2</c:v>
                </c:pt>
                <c:pt idx="58">
                  <c:v>2.4852442275961954E-2</c:v>
                </c:pt>
                <c:pt idx="59">
                  <c:v>2.3384278389275984E-2</c:v>
                </c:pt>
                <c:pt idx="60">
                  <c:v>2.3347109683283934E-2</c:v>
                </c:pt>
                <c:pt idx="61">
                  <c:v>2.4646981928950342E-2</c:v>
                </c:pt>
                <c:pt idx="62">
                  <c:v>1.8515177904317462E-2</c:v>
                </c:pt>
                <c:pt idx="63">
                  <c:v>1.8206471151772381E-2</c:v>
                </c:pt>
                <c:pt idx="64">
                  <c:v>3.7000414351030221E-2</c:v>
                </c:pt>
                <c:pt idx="65">
                  <c:v>1.891061163751066E-2</c:v>
                </c:pt>
                <c:pt idx="66">
                  <c:v>9.2084436631248E-3</c:v>
                </c:pt>
                <c:pt idx="67">
                  <c:v>1.1610058302238881E-2</c:v>
                </c:pt>
                <c:pt idx="68">
                  <c:v>1.0532165828469438E-2</c:v>
                </c:pt>
                <c:pt idx="69">
                  <c:v>1.9023150219542144E-2</c:v>
                </c:pt>
                <c:pt idx="70">
                  <c:v>8.1333388423047593E-3</c:v>
                </c:pt>
                <c:pt idx="71">
                  <c:v>3.2093112696024315E-2</c:v>
                </c:pt>
                <c:pt idx="72">
                  <c:v>7.0487353521756398E-3</c:v>
                </c:pt>
                <c:pt idx="73">
                  <c:v>7.6692462494318044E-3</c:v>
                </c:pt>
                <c:pt idx="74">
                  <c:v>3.4505981193341549E-2</c:v>
                </c:pt>
                <c:pt idx="75">
                  <c:v>5.1809046296696056E-3</c:v>
                </c:pt>
                <c:pt idx="76">
                  <c:v>1.5399201385317291E-2</c:v>
                </c:pt>
                <c:pt idx="77">
                  <c:v>2.636087226080597E-3</c:v>
                </c:pt>
                <c:pt idx="78">
                  <c:v>0</c:v>
                </c:pt>
                <c:pt idx="79">
                  <c:v>2.5614400748798973E-2</c:v>
                </c:pt>
                <c:pt idx="80">
                  <c:v>1.7320616992295198E-2</c:v>
                </c:pt>
              </c:numCache>
            </c:numRef>
          </c:yVal>
          <c:smooth val="0"/>
        </c:ser>
        <c:ser>
          <c:idx val="0"/>
          <c:order val="1"/>
          <c:tx>
            <c:strRef>
              <c:f>Sheet1!$D$6</c:f>
              <c:strCache>
                <c:ptCount val="1"/>
                <c:pt idx="0">
                  <c:v>350 lux</c:v>
                </c:pt>
              </c:strCache>
            </c:strRef>
          </c:tx>
          <c:spPr>
            <a:ln w="31750" cap="sq">
              <a:solidFill>
                <a:srgbClr val="FFFF00"/>
              </a:solidFill>
              <a:miter lim="800000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xVal>
            <c:numRef>
              <c:f>Sheet1!$C$7:$C$87</c:f>
              <c:numCache>
                <c:formatCode>General</c:formatCode>
                <c:ptCount val="81"/>
                <c:pt idx="0">
                  <c:v>380</c:v>
                </c:pt>
                <c:pt idx="1">
                  <c:v>385</c:v>
                </c:pt>
                <c:pt idx="2">
                  <c:v>390</c:v>
                </c:pt>
                <c:pt idx="3">
                  <c:v>395</c:v>
                </c:pt>
                <c:pt idx="4">
                  <c:v>400</c:v>
                </c:pt>
                <c:pt idx="5">
                  <c:v>405</c:v>
                </c:pt>
                <c:pt idx="6">
                  <c:v>410</c:v>
                </c:pt>
                <c:pt idx="7">
                  <c:v>415</c:v>
                </c:pt>
                <c:pt idx="8">
                  <c:v>420</c:v>
                </c:pt>
                <c:pt idx="9">
                  <c:v>425</c:v>
                </c:pt>
                <c:pt idx="10">
                  <c:v>430</c:v>
                </c:pt>
                <c:pt idx="11">
                  <c:v>435</c:v>
                </c:pt>
                <c:pt idx="12">
                  <c:v>440</c:v>
                </c:pt>
                <c:pt idx="13">
                  <c:v>445</c:v>
                </c:pt>
                <c:pt idx="14">
                  <c:v>450</c:v>
                </c:pt>
                <c:pt idx="15">
                  <c:v>455</c:v>
                </c:pt>
                <c:pt idx="16">
                  <c:v>460</c:v>
                </c:pt>
                <c:pt idx="17">
                  <c:v>465</c:v>
                </c:pt>
                <c:pt idx="18">
                  <c:v>470</c:v>
                </c:pt>
                <c:pt idx="19">
                  <c:v>475</c:v>
                </c:pt>
                <c:pt idx="20">
                  <c:v>480</c:v>
                </c:pt>
                <c:pt idx="21">
                  <c:v>485</c:v>
                </c:pt>
                <c:pt idx="22">
                  <c:v>490</c:v>
                </c:pt>
                <c:pt idx="23">
                  <c:v>495</c:v>
                </c:pt>
                <c:pt idx="24">
                  <c:v>500</c:v>
                </c:pt>
                <c:pt idx="25">
                  <c:v>505</c:v>
                </c:pt>
                <c:pt idx="26">
                  <c:v>510</c:v>
                </c:pt>
                <c:pt idx="27">
                  <c:v>515</c:v>
                </c:pt>
                <c:pt idx="28">
                  <c:v>520</c:v>
                </c:pt>
                <c:pt idx="29">
                  <c:v>525</c:v>
                </c:pt>
                <c:pt idx="30">
                  <c:v>530</c:v>
                </c:pt>
                <c:pt idx="31">
                  <c:v>535</c:v>
                </c:pt>
                <c:pt idx="32">
                  <c:v>540</c:v>
                </c:pt>
                <c:pt idx="33">
                  <c:v>545</c:v>
                </c:pt>
                <c:pt idx="34">
                  <c:v>550</c:v>
                </c:pt>
                <c:pt idx="35">
                  <c:v>555</c:v>
                </c:pt>
                <c:pt idx="36">
                  <c:v>560</c:v>
                </c:pt>
                <c:pt idx="37">
                  <c:v>565</c:v>
                </c:pt>
                <c:pt idx="38">
                  <c:v>570</c:v>
                </c:pt>
                <c:pt idx="39">
                  <c:v>575</c:v>
                </c:pt>
                <c:pt idx="40">
                  <c:v>580</c:v>
                </c:pt>
                <c:pt idx="41">
                  <c:v>585</c:v>
                </c:pt>
                <c:pt idx="42">
                  <c:v>590</c:v>
                </c:pt>
                <c:pt idx="43">
                  <c:v>595</c:v>
                </c:pt>
                <c:pt idx="44">
                  <c:v>600</c:v>
                </c:pt>
                <c:pt idx="45">
                  <c:v>605</c:v>
                </c:pt>
                <c:pt idx="46">
                  <c:v>610</c:v>
                </c:pt>
                <c:pt idx="47">
                  <c:v>615</c:v>
                </c:pt>
                <c:pt idx="48">
                  <c:v>620</c:v>
                </c:pt>
                <c:pt idx="49">
                  <c:v>625</c:v>
                </c:pt>
                <c:pt idx="50">
                  <c:v>630</c:v>
                </c:pt>
                <c:pt idx="51">
                  <c:v>635</c:v>
                </c:pt>
                <c:pt idx="52">
                  <c:v>640</c:v>
                </c:pt>
                <c:pt idx="53">
                  <c:v>645</c:v>
                </c:pt>
                <c:pt idx="54">
                  <c:v>650</c:v>
                </c:pt>
                <c:pt idx="55">
                  <c:v>655</c:v>
                </c:pt>
                <c:pt idx="56">
                  <c:v>660</c:v>
                </c:pt>
                <c:pt idx="57">
                  <c:v>665</c:v>
                </c:pt>
                <c:pt idx="58">
                  <c:v>670</c:v>
                </c:pt>
                <c:pt idx="59">
                  <c:v>675</c:v>
                </c:pt>
                <c:pt idx="60">
                  <c:v>680</c:v>
                </c:pt>
                <c:pt idx="61">
                  <c:v>685</c:v>
                </c:pt>
                <c:pt idx="62">
                  <c:v>690</c:v>
                </c:pt>
                <c:pt idx="63">
                  <c:v>695</c:v>
                </c:pt>
                <c:pt idx="64">
                  <c:v>700</c:v>
                </c:pt>
                <c:pt idx="65">
                  <c:v>705</c:v>
                </c:pt>
                <c:pt idx="66">
                  <c:v>710</c:v>
                </c:pt>
                <c:pt idx="67">
                  <c:v>715</c:v>
                </c:pt>
                <c:pt idx="68">
                  <c:v>720</c:v>
                </c:pt>
                <c:pt idx="69">
                  <c:v>725</c:v>
                </c:pt>
                <c:pt idx="70">
                  <c:v>730</c:v>
                </c:pt>
                <c:pt idx="71">
                  <c:v>735</c:v>
                </c:pt>
                <c:pt idx="72">
                  <c:v>740</c:v>
                </c:pt>
                <c:pt idx="73">
                  <c:v>745</c:v>
                </c:pt>
                <c:pt idx="74">
                  <c:v>750</c:v>
                </c:pt>
                <c:pt idx="75">
                  <c:v>755</c:v>
                </c:pt>
                <c:pt idx="76">
                  <c:v>760</c:v>
                </c:pt>
                <c:pt idx="77">
                  <c:v>765</c:v>
                </c:pt>
                <c:pt idx="78">
                  <c:v>770</c:v>
                </c:pt>
                <c:pt idx="79">
                  <c:v>775</c:v>
                </c:pt>
                <c:pt idx="80">
                  <c:v>780</c:v>
                </c:pt>
              </c:numCache>
            </c:numRef>
          </c:xVal>
          <c:yVal>
            <c:numRef>
              <c:f>Sheet1!$D$7:$D$87</c:f>
              <c:numCache>
                <c:formatCode>0.000</c:formatCode>
                <c:ptCount val="81"/>
                <c:pt idx="0">
                  <c:v>0.46164049074153501</c:v>
                </c:pt>
                <c:pt idx="1">
                  <c:v>0.26738289496233575</c:v>
                </c:pt>
                <c:pt idx="2">
                  <c:v>0.44303032614412668</c:v>
                </c:pt>
                <c:pt idx="3">
                  <c:v>0.16945729293803161</c:v>
                </c:pt>
                <c:pt idx="4">
                  <c:v>0.17975250826580177</c:v>
                </c:pt>
                <c:pt idx="5">
                  <c:v>0.17624367917374673</c:v>
                </c:pt>
                <c:pt idx="6">
                  <c:v>0.25005195332948721</c:v>
                </c:pt>
                <c:pt idx="7">
                  <c:v>0.46543479614489003</c:v>
                </c:pt>
                <c:pt idx="8">
                  <c:v>0.43291217840184648</c:v>
                </c:pt>
                <c:pt idx="9">
                  <c:v>0.76305288473567523</c:v>
                </c:pt>
                <c:pt idx="10">
                  <c:v>1.1930018912987113</c:v>
                </c:pt>
                <c:pt idx="11">
                  <c:v>1.3372577691100778</c:v>
                </c:pt>
                <c:pt idx="12">
                  <c:v>2.5165278884728375</c:v>
                </c:pt>
                <c:pt idx="13">
                  <c:v>3.7809349938384975</c:v>
                </c:pt>
                <c:pt idx="14">
                  <c:v>6.0380046652057198</c:v>
                </c:pt>
                <c:pt idx="15">
                  <c:v>7.532960994127623</c:v>
                </c:pt>
                <c:pt idx="16">
                  <c:v>7.9590072865614943</c:v>
                </c:pt>
                <c:pt idx="17">
                  <c:v>6.7144751142610257</c:v>
                </c:pt>
                <c:pt idx="18">
                  <c:v>5.3062457659872395</c:v>
                </c:pt>
                <c:pt idx="19">
                  <c:v>3.7570850741602655</c:v>
                </c:pt>
                <c:pt idx="20">
                  <c:v>2.8873580032274071</c:v>
                </c:pt>
                <c:pt idx="21">
                  <c:v>2.8339125014030055</c:v>
                </c:pt>
                <c:pt idx="22">
                  <c:v>1.6558348780241579</c:v>
                </c:pt>
                <c:pt idx="23">
                  <c:v>1.8818309350963738</c:v>
                </c:pt>
                <c:pt idx="24">
                  <c:v>1.5307312084392501</c:v>
                </c:pt>
                <c:pt idx="25">
                  <c:v>1.7146285436551933</c:v>
                </c:pt>
                <c:pt idx="26">
                  <c:v>1.6632066713792475</c:v>
                </c:pt>
                <c:pt idx="27">
                  <c:v>1.9749540305672881</c:v>
                </c:pt>
                <c:pt idx="28">
                  <c:v>2.1097422129912355</c:v>
                </c:pt>
                <c:pt idx="29">
                  <c:v>2.3667431656451532</c:v>
                </c:pt>
                <c:pt idx="30">
                  <c:v>2.308816769820599</c:v>
                </c:pt>
                <c:pt idx="31">
                  <c:v>2.2955547690298244</c:v>
                </c:pt>
                <c:pt idx="32">
                  <c:v>2.4361247501636463</c:v>
                </c:pt>
                <c:pt idx="33">
                  <c:v>2.6148546027826387</c:v>
                </c:pt>
                <c:pt idx="34">
                  <c:v>2.5778510910394425</c:v>
                </c:pt>
                <c:pt idx="35">
                  <c:v>2.5946905797819513</c:v>
                </c:pt>
                <c:pt idx="36">
                  <c:v>3.6204900796394823</c:v>
                </c:pt>
                <c:pt idx="37">
                  <c:v>2.5414980316511073</c:v>
                </c:pt>
                <c:pt idx="38">
                  <c:v>2.7371035092545459</c:v>
                </c:pt>
                <c:pt idx="39">
                  <c:v>2.6171673222665883</c:v>
                </c:pt>
                <c:pt idx="40">
                  <c:v>2.7073995183825663</c:v>
                </c:pt>
                <c:pt idx="41">
                  <c:v>2.3776201744681047</c:v>
                </c:pt>
                <c:pt idx="42">
                  <c:v>2.2488306082056519</c:v>
                </c:pt>
                <c:pt idx="43">
                  <c:v>2.3070822302076368</c:v>
                </c:pt>
                <c:pt idx="44">
                  <c:v>2.0911320483938272</c:v>
                </c:pt>
                <c:pt idx="45">
                  <c:v>2.1901453513004263</c:v>
                </c:pt>
                <c:pt idx="46">
                  <c:v>2.1885553566552112</c:v>
                </c:pt>
                <c:pt idx="47">
                  <c:v>2.131351685669391</c:v>
                </c:pt>
                <c:pt idx="48">
                  <c:v>1.8348176843367077</c:v>
                </c:pt>
                <c:pt idx="49">
                  <c:v>1.8678823457088019</c:v>
                </c:pt>
                <c:pt idx="50">
                  <c:v>1.4828145516311659</c:v>
                </c:pt>
                <c:pt idx="51">
                  <c:v>1.532285066842529</c:v>
                </c:pt>
                <c:pt idx="52">
                  <c:v>1.2365821990743895</c:v>
                </c:pt>
                <c:pt idx="53">
                  <c:v>1.2418942266390864</c:v>
                </c:pt>
                <c:pt idx="54">
                  <c:v>0.99273483848543642</c:v>
                </c:pt>
                <c:pt idx="55">
                  <c:v>1.2556259985750384</c:v>
                </c:pt>
                <c:pt idx="56">
                  <c:v>1.0533714524552442</c:v>
                </c:pt>
                <c:pt idx="57">
                  <c:v>0.72883186362160624</c:v>
                </c:pt>
                <c:pt idx="58">
                  <c:v>0.86983547965866848</c:v>
                </c:pt>
                <c:pt idx="59">
                  <c:v>0.8184497436246595</c:v>
                </c:pt>
                <c:pt idx="60">
                  <c:v>0.81714883891493773</c:v>
                </c:pt>
                <c:pt idx="61">
                  <c:v>0.86264436751326201</c:v>
                </c:pt>
                <c:pt idx="62">
                  <c:v>0.64803122665111124</c:v>
                </c:pt>
                <c:pt idx="63">
                  <c:v>0.63722649031203338</c:v>
                </c:pt>
                <c:pt idx="64">
                  <c:v>1.295014502286058</c:v>
                </c:pt>
                <c:pt idx="65">
                  <c:v>0.66187140731287308</c:v>
                </c:pt>
                <c:pt idx="66">
                  <c:v>0.32229552820936802</c:v>
                </c:pt>
                <c:pt idx="67">
                  <c:v>0.40635204057836083</c:v>
                </c:pt>
                <c:pt idx="68">
                  <c:v>0.36862580399643036</c:v>
                </c:pt>
                <c:pt idx="69">
                  <c:v>0.66581025768397506</c:v>
                </c:pt>
                <c:pt idx="70">
                  <c:v>0.28466685948066661</c:v>
                </c:pt>
                <c:pt idx="71">
                  <c:v>1.1232589443608512</c:v>
                </c:pt>
                <c:pt idx="72">
                  <c:v>0.2467057373261474</c:v>
                </c:pt>
                <c:pt idx="73">
                  <c:v>0.26842361873011317</c:v>
                </c:pt>
                <c:pt idx="74">
                  <c:v>1.2077093417669542</c:v>
                </c:pt>
                <c:pt idx="75">
                  <c:v>0.1813316620384362</c:v>
                </c:pt>
                <c:pt idx="76">
                  <c:v>0.53897204848610525</c:v>
                </c:pt>
                <c:pt idx="77">
                  <c:v>9.22630529128209E-2</c:v>
                </c:pt>
                <c:pt idx="78">
                  <c:v>0</c:v>
                </c:pt>
                <c:pt idx="79">
                  <c:v>0.8965040262079641</c:v>
                </c:pt>
                <c:pt idx="80">
                  <c:v>0.60622159473033188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3089288"/>
        <c:axId val="223559184"/>
      </c:scatterChart>
      <c:valAx>
        <c:axId val="443089288"/>
        <c:scaling>
          <c:orientation val="minMax"/>
          <c:max val="780"/>
          <c:min val="380"/>
        </c:scaling>
        <c:delete val="0"/>
        <c:axPos val="b"/>
        <c:title>
          <c:tx>
            <c:rich>
              <a:bodyPr/>
              <a:lstStyle/>
              <a:p>
                <a:pPr>
                  <a:defRPr b="0" i="0"/>
                </a:pPr>
                <a:r>
                  <a:rPr lang="en-GB" b="0" i="0"/>
                  <a:t>Wavelength (nm)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 cap="sq">
            <a:solidFill>
              <a:schemeClr val="tx1"/>
            </a:solidFill>
            <a:miter lim="800000"/>
          </a:ln>
        </c:spPr>
        <c:crossAx val="223559184"/>
        <c:crosses val="autoZero"/>
        <c:crossBetween val="midCat"/>
        <c:majorUnit val="80"/>
      </c:valAx>
      <c:valAx>
        <c:axId val="2235591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l-GR" b="0"/>
                  <a:t>μ</a:t>
                </a:r>
                <a:r>
                  <a:rPr lang="en-GB" b="0"/>
                  <a:t>W</a:t>
                </a:r>
                <a:r>
                  <a:rPr lang="en-GB" b="0" baseline="0"/>
                  <a:t> </a:t>
                </a:r>
                <a:r>
                  <a:rPr lang="en-GB" sz="1200" b="0" i="0" u="none" strike="noStrike" baseline="0">
                    <a:effectLst/>
                  </a:rPr>
                  <a:t>×</a:t>
                </a:r>
                <a:r>
                  <a:rPr lang="en-GB" b="0"/>
                  <a:t> cm</a:t>
                </a:r>
                <a:r>
                  <a:rPr lang="en-GB" b="0" baseline="30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−</a:t>
                </a:r>
                <a:r>
                  <a:rPr lang="en-GB" b="0" baseline="30000"/>
                  <a:t>2</a:t>
                </a:r>
                <a:r>
                  <a:rPr lang="en-GB" b="0"/>
                  <a:t> </a:t>
                </a:r>
                <a:r>
                  <a:rPr lang="en-GB" sz="1200" b="0" i="0" u="none" strike="noStrike" baseline="0">
                    <a:effectLst/>
                  </a:rPr>
                  <a:t>×</a:t>
                </a:r>
                <a:r>
                  <a:rPr lang="en-GB" b="0"/>
                  <a:t> nm</a:t>
                </a:r>
                <a:r>
                  <a:rPr lang="en-GB" b="0" baseline="30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−</a:t>
                </a:r>
                <a:r>
                  <a:rPr lang="en-GB" b="0" baseline="30000"/>
                  <a:t>1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 w="3175" cap="sq">
            <a:solidFill>
              <a:schemeClr val="tx1"/>
            </a:solidFill>
            <a:miter lim="800000"/>
          </a:ln>
        </c:spPr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n-US"/>
          </a:p>
        </c:txPr>
        <c:crossAx val="443089288"/>
        <c:crosses val="autoZero"/>
        <c:crossBetween val="midCat"/>
      </c:valAx>
      <c:spPr>
        <a:solidFill>
          <a:schemeClr val="bg1">
            <a:lumMod val="65000"/>
          </a:schemeClr>
        </a:solidFill>
        <a:ln w="3175" cap="sq">
          <a:solidFill>
            <a:schemeClr val="bg1">
              <a:lumMod val="65000"/>
            </a:schemeClr>
          </a:solidFill>
          <a:miter lim="800000"/>
        </a:ln>
      </c:spPr>
    </c:plotArea>
    <c:legend>
      <c:legendPos val="l"/>
      <c:legendEntry>
        <c:idx val="0"/>
        <c:txPr>
          <a:bodyPr/>
          <a:lstStyle/>
          <a:p>
            <a:pPr>
              <a:defRPr b="0" i="1">
                <a:solidFill>
                  <a:schemeClr val="bg1"/>
                </a:solidFill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b="0" i="1">
                <a:solidFill>
                  <a:srgbClr val="FFFF00"/>
                </a:solidFill>
              </a:defRPr>
            </a:pPr>
            <a:endParaRPr lang="en-US"/>
          </a:p>
        </c:txPr>
      </c:legendEntry>
      <c:layout>
        <c:manualLayout>
          <c:xMode val="edge"/>
          <c:yMode val="edge"/>
          <c:x val="0.62794444444444442"/>
          <c:y val="6.863777777777777E-2"/>
          <c:w val="0.26705361111111114"/>
          <c:h val="9.7196666666666653E-2"/>
        </c:manualLayout>
      </c:layout>
      <c:overlay val="1"/>
      <c:spPr>
        <a:solidFill>
          <a:schemeClr val="tx1">
            <a:lumMod val="75000"/>
            <a:lumOff val="25000"/>
          </a:schemeClr>
        </a:solidFill>
        <a:ln w="3175" cap="sq">
          <a:noFill/>
          <a:miter lim="800000"/>
        </a:ln>
      </c:spPr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msdit</dc:creator>
  <cp:keywords/>
  <dc:description/>
  <cp:lastModifiedBy>msdit</cp:lastModifiedBy>
  <cp:revision>3</cp:revision>
  <dcterms:created xsi:type="dcterms:W3CDTF">2016-11-03T14:13:00Z</dcterms:created>
  <dcterms:modified xsi:type="dcterms:W3CDTF">2016-11-03T14:15:00Z</dcterms:modified>
</cp:coreProperties>
</file>