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CF" w:rsidRPr="00FA22F5" w:rsidRDefault="00B2342D" w:rsidP="00900153">
      <w:pPr>
        <w:spacing w:line="480" w:lineRule="auto"/>
        <w:jc w:val="center"/>
        <w:rPr>
          <w:i/>
          <w:sz w:val="32"/>
          <w:szCs w:val="32"/>
        </w:rPr>
      </w:pPr>
      <w:bookmarkStart w:id="0" w:name="_GoBack"/>
      <w:bookmarkEnd w:id="0"/>
      <w:r w:rsidRPr="00FA22F5">
        <w:rPr>
          <w:i/>
          <w:sz w:val="32"/>
          <w:szCs w:val="32"/>
        </w:rPr>
        <w:t>Royal Society Open Science</w:t>
      </w:r>
    </w:p>
    <w:p w:rsidR="00F51CCF" w:rsidRPr="00FA22F5" w:rsidRDefault="00F51CCF" w:rsidP="00900153">
      <w:pPr>
        <w:spacing w:line="480" w:lineRule="auto"/>
        <w:jc w:val="center"/>
        <w:rPr>
          <w:b/>
          <w:sz w:val="32"/>
          <w:szCs w:val="32"/>
        </w:rPr>
      </w:pPr>
      <w:r w:rsidRPr="00FA22F5">
        <w:rPr>
          <w:b/>
          <w:sz w:val="32"/>
          <w:szCs w:val="32"/>
        </w:rPr>
        <w:t>Food provisioning increases the risk of injury in a long-lived marine top predator</w:t>
      </w:r>
    </w:p>
    <w:p w:rsidR="004835A7" w:rsidRPr="00FA22F5" w:rsidRDefault="004835A7" w:rsidP="004835A7">
      <w:pPr>
        <w:spacing w:line="480" w:lineRule="auto"/>
        <w:jc w:val="center"/>
        <w:rPr>
          <w:vertAlign w:val="superscript"/>
        </w:rPr>
      </w:pPr>
      <w:r w:rsidRPr="00FA22F5">
        <w:t>Fredrik Christiansen, Katherine A. McHugh, Lars Bejder, Eilidh M. Siegal, David Lusseau, Elizabeth Berens McCabe, Gretchen Lovewell &amp; Randall S. Wells</w:t>
      </w:r>
    </w:p>
    <w:p w:rsidR="009B21A7" w:rsidRPr="00FA22F5" w:rsidRDefault="004835A7" w:rsidP="00900153">
      <w:pPr>
        <w:spacing w:line="480" w:lineRule="auto"/>
        <w:jc w:val="center"/>
      </w:pPr>
      <w:r w:rsidRPr="00FA22F5">
        <w:t>Email: f.christiansen@murdoch.edu.au (F Christiansen)</w:t>
      </w:r>
    </w:p>
    <w:p w:rsidR="004835A7" w:rsidRPr="00FA22F5" w:rsidRDefault="004835A7" w:rsidP="004835A7">
      <w:pPr>
        <w:spacing w:line="480" w:lineRule="auto"/>
      </w:pPr>
    </w:p>
    <w:p w:rsidR="00F51CCF" w:rsidRPr="00FA22F5" w:rsidRDefault="00F51CCF" w:rsidP="00900153">
      <w:pPr>
        <w:pStyle w:val="Rubrik1"/>
        <w:spacing w:line="480" w:lineRule="auto"/>
      </w:pPr>
      <w:r w:rsidRPr="00FA22F5">
        <w:t>Electronic supplementary materials:</w:t>
      </w:r>
    </w:p>
    <w:p w:rsidR="00F51CCF" w:rsidRPr="00FA22F5" w:rsidRDefault="00B255B4" w:rsidP="00900153">
      <w:pPr>
        <w:spacing w:line="480" w:lineRule="auto"/>
        <w:rPr>
          <w:b/>
        </w:rPr>
      </w:pPr>
      <w:r w:rsidRPr="00FA22F5">
        <w:rPr>
          <w:b/>
        </w:rPr>
        <w:t>-</w:t>
      </w:r>
      <w:r w:rsidR="00F51CCF" w:rsidRPr="00FA22F5">
        <w:rPr>
          <w:b/>
        </w:rPr>
        <w:t>Description of data sets and variables used in analyses</w:t>
      </w:r>
    </w:p>
    <w:p w:rsidR="00F51CCF" w:rsidRPr="00FA22F5" w:rsidRDefault="00B255B4" w:rsidP="00900153">
      <w:pPr>
        <w:spacing w:line="480" w:lineRule="auto"/>
      </w:pPr>
      <w:r w:rsidRPr="00FA22F5">
        <w:rPr>
          <w:b/>
        </w:rPr>
        <w:t>-</w:t>
      </w:r>
      <w:r w:rsidR="00F51CCF" w:rsidRPr="00FA22F5">
        <w:rPr>
          <w:b/>
        </w:rPr>
        <w:t>Fig</w:t>
      </w:r>
      <w:r w:rsidR="00FC6F2C" w:rsidRPr="00FA22F5">
        <w:rPr>
          <w:b/>
        </w:rPr>
        <w:t>ure</w:t>
      </w:r>
      <w:r w:rsidR="00F51CCF" w:rsidRPr="00FA22F5">
        <w:rPr>
          <w:b/>
        </w:rPr>
        <w:t xml:space="preserve"> S1</w:t>
      </w:r>
      <w:r w:rsidR="00FC6F2C" w:rsidRPr="00FA22F5">
        <w:rPr>
          <w:b/>
        </w:rPr>
        <w:t>.</w:t>
      </w:r>
      <w:r w:rsidR="00F51CCF" w:rsidRPr="00FA22F5">
        <w:t xml:space="preserve"> Dolphin sightings per month and year</w:t>
      </w:r>
    </w:p>
    <w:p w:rsidR="00F51CCF" w:rsidRPr="00FA22F5" w:rsidRDefault="00B255B4" w:rsidP="00900153">
      <w:pPr>
        <w:spacing w:line="480" w:lineRule="auto"/>
      </w:pPr>
      <w:r w:rsidRPr="00FA22F5">
        <w:rPr>
          <w:b/>
        </w:rPr>
        <w:t>-</w:t>
      </w:r>
      <w:r w:rsidR="00F51CCF" w:rsidRPr="00FA22F5">
        <w:rPr>
          <w:b/>
        </w:rPr>
        <w:t>Fig</w:t>
      </w:r>
      <w:r w:rsidR="00FC6F2C" w:rsidRPr="00FA22F5">
        <w:rPr>
          <w:b/>
        </w:rPr>
        <w:t>ure</w:t>
      </w:r>
      <w:r w:rsidR="00F51CCF" w:rsidRPr="00FA22F5">
        <w:rPr>
          <w:b/>
        </w:rPr>
        <w:t xml:space="preserve"> S2</w:t>
      </w:r>
      <w:r w:rsidR="00FC6F2C" w:rsidRPr="00FA22F5">
        <w:rPr>
          <w:b/>
        </w:rPr>
        <w:t>.</w:t>
      </w:r>
      <w:r w:rsidR="00F51CCF" w:rsidRPr="00FA22F5">
        <w:t xml:space="preserve"> Dolphin conditioning as a function of COA estimated over different time periods</w:t>
      </w:r>
    </w:p>
    <w:p w:rsidR="00F51CCF" w:rsidRPr="00FA22F5" w:rsidRDefault="00B255B4" w:rsidP="00900153">
      <w:pPr>
        <w:spacing w:line="480" w:lineRule="auto"/>
      </w:pPr>
      <w:r w:rsidRPr="00FA22F5">
        <w:rPr>
          <w:b/>
        </w:rPr>
        <w:t>-</w:t>
      </w:r>
      <w:r w:rsidR="00F51CCF" w:rsidRPr="00FA22F5">
        <w:rPr>
          <w:b/>
        </w:rPr>
        <w:t>Fig</w:t>
      </w:r>
      <w:r w:rsidR="00FC6F2C" w:rsidRPr="00FA22F5">
        <w:rPr>
          <w:b/>
        </w:rPr>
        <w:t>ure</w:t>
      </w:r>
      <w:r w:rsidR="00F51CCF" w:rsidRPr="00FA22F5">
        <w:rPr>
          <w:b/>
        </w:rPr>
        <w:t xml:space="preserve"> S3</w:t>
      </w:r>
      <w:r w:rsidR="00FC6F2C" w:rsidRPr="00FA22F5">
        <w:rPr>
          <w:b/>
        </w:rPr>
        <w:t>.</w:t>
      </w:r>
      <w:r w:rsidR="00F51CCF" w:rsidRPr="00FA22F5">
        <w:t xml:space="preserve"> Temporal trends in boat intensity, COA, dolphin prey CPUE and red tide concentration</w:t>
      </w:r>
    </w:p>
    <w:p w:rsidR="00F51CCF" w:rsidRPr="00FA22F5" w:rsidRDefault="00B255B4" w:rsidP="00900153">
      <w:pPr>
        <w:spacing w:line="480" w:lineRule="auto"/>
      </w:pPr>
      <w:r w:rsidRPr="00FA22F5">
        <w:rPr>
          <w:b/>
        </w:rPr>
        <w:t>-</w:t>
      </w:r>
      <w:r w:rsidR="00F51CCF" w:rsidRPr="00FA22F5">
        <w:rPr>
          <w:b/>
        </w:rPr>
        <w:t>Table S1</w:t>
      </w:r>
      <w:r w:rsidR="00FC6F2C" w:rsidRPr="00FA22F5">
        <w:rPr>
          <w:b/>
        </w:rPr>
        <w:t>.</w:t>
      </w:r>
      <w:r w:rsidR="00F51CCF" w:rsidRPr="00FA22F5">
        <w:rPr>
          <w:b/>
        </w:rPr>
        <w:t xml:space="preserve"> </w:t>
      </w:r>
      <w:r w:rsidR="00F51CCF" w:rsidRPr="00FA22F5">
        <w:t>Definitions of dolphin behaviours indicative of conditioning</w:t>
      </w:r>
    </w:p>
    <w:p w:rsidR="000B2F53" w:rsidRPr="00FA22F5" w:rsidRDefault="00B255B4" w:rsidP="00900153">
      <w:pPr>
        <w:spacing w:line="480" w:lineRule="auto"/>
      </w:pPr>
      <w:r w:rsidRPr="00FA22F5">
        <w:rPr>
          <w:b/>
        </w:rPr>
        <w:t>-</w:t>
      </w:r>
      <w:r w:rsidR="00F51CCF" w:rsidRPr="00FA22F5">
        <w:rPr>
          <w:b/>
        </w:rPr>
        <w:t>Table S2</w:t>
      </w:r>
      <w:r w:rsidR="00FC6F2C" w:rsidRPr="00FA22F5">
        <w:rPr>
          <w:b/>
        </w:rPr>
        <w:t>.</w:t>
      </w:r>
      <w:r w:rsidR="00F51CCF" w:rsidRPr="00FA22F5">
        <w:t xml:space="preserve"> </w:t>
      </w:r>
      <w:r w:rsidR="001A4D83" w:rsidRPr="00FA22F5">
        <w:t>Dolphin prey and red tide sampling effort</w:t>
      </w:r>
    </w:p>
    <w:p w:rsidR="00B255B4" w:rsidRPr="00FA22F5" w:rsidRDefault="00B255B4" w:rsidP="00B255B4">
      <w:pPr>
        <w:spacing w:line="480" w:lineRule="auto"/>
      </w:pPr>
      <w:r w:rsidRPr="00FA22F5">
        <w:rPr>
          <w:b/>
        </w:rPr>
        <w:t>-Table S3.</w:t>
      </w:r>
      <w:r w:rsidRPr="00FA22F5">
        <w:t xml:space="preserve"> Description of variables in the “Data.COA.analyses.txt” data set</w:t>
      </w:r>
    </w:p>
    <w:p w:rsidR="00B255B4" w:rsidRPr="00FA22F5" w:rsidRDefault="00B255B4" w:rsidP="00B255B4">
      <w:pPr>
        <w:spacing w:line="480" w:lineRule="auto"/>
      </w:pPr>
      <w:r w:rsidRPr="00FA22F5">
        <w:rPr>
          <w:b/>
        </w:rPr>
        <w:t>-Table S4.</w:t>
      </w:r>
      <w:r w:rsidRPr="00FA22F5">
        <w:t xml:space="preserve"> Description of variables in the “Data.injury.analyses.txt” data set</w:t>
      </w:r>
    </w:p>
    <w:p w:rsidR="000B2F53" w:rsidRPr="00FA22F5" w:rsidRDefault="00B255B4" w:rsidP="00B255B4">
      <w:pPr>
        <w:spacing w:line="480" w:lineRule="auto"/>
      </w:pPr>
      <w:r w:rsidRPr="00FA22F5">
        <w:rPr>
          <w:b/>
        </w:rPr>
        <w:t>-Table S5.</w:t>
      </w:r>
      <w:r w:rsidRPr="00FA22F5">
        <w:t xml:space="preserve"> Description of variables in the “Data.year.analyses.txt” data set</w:t>
      </w:r>
      <w:r w:rsidR="000B2F53" w:rsidRPr="00FA22F5">
        <w:br w:type="page"/>
      </w:r>
    </w:p>
    <w:p w:rsidR="008221C8" w:rsidRPr="00FA22F5" w:rsidRDefault="008221C8" w:rsidP="00900153">
      <w:pPr>
        <w:pStyle w:val="Rubrik2"/>
        <w:spacing w:line="480" w:lineRule="auto"/>
      </w:pPr>
      <w:r w:rsidRPr="00FA22F5">
        <w:lastRenderedPageBreak/>
        <w:t>Description of data sets and variables used in analys</w:t>
      </w:r>
      <w:r w:rsidR="00F51CCF" w:rsidRPr="00FA22F5">
        <w:t>e</w:t>
      </w:r>
      <w:r w:rsidRPr="00FA22F5">
        <w:t>s</w:t>
      </w:r>
    </w:p>
    <w:p w:rsidR="008221C8" w:rsidRPr="00FA22F5" w:rsidRDefault="008221C8" w:rsidP="00900153">
      <w:pPr>
        <w:spacing w:line="480" w:lineRule="auto"/>
      </w:pPr>
    </w:p>
    <w:p w:rsidR="00831F62" w:rsidRPr="00FA22F5" w:rsidRDefault="00831F62" w:rsidP="00900153">
      <w:pPr>
        <w:pStyle w:val="Rubrik3"/>
        <w:spacing w:line="480" w:lineRule="auto"/>
      </w:pPr>
      <w:r w:rsidRPr="00FA22F5">
        <w:t>Response variables</w:t>
      </w:r>
    </w:p>
    <w:p w:rsidR="001A4D83" w:rsidRPr="00FA22F5" w:rsidRDefault="001A4D83" w:rsidP="00900153">
      <w:pPr>
        <w:spacing w:line="480" w:lineRule="auto"/>
      </w:pPr>
    </w:p>
    <w:p w:rsidR="00705800" w:rsidRPr="00FA22F5" w:rsidRDefault="00705800" w:rsidP="00900153">
      <w:pPr>
        <w:pStyle w:val="Rubrik4"/>
        <w:spacing w:line="480" w:lineRule="auto"/>
      </w:pPr>
      <w:r w:rsidRPr="00FA22F5">
        <w:t>Conditioning</w:t>
      </w:r>
    </w:p>
    <w:p w:rsidR="00575124" w:rsidRPr="00FA22F5" w:rsidRDefault="0046448A" w:rsidP="00900153">
      <w:pPr>
        <w:spacing w:line="480" w:lineRule="auto"/>
      </w:pPr>
      <w:r w:rsidRPr="00FA22F5">
        <w:t xml:space="preserve">Year-round systematic </w:t>
      </w:r>
      <w:r w:rsidR="0014100F" w:rsidRPr="00FA22F5">
        <w:t xml:space="preserve">photographic identification </w:t>
      </w:r>
      <w:r w:rsidRPr="00FA22F5">
        <w:t>surveys of bottlenose dolphins (</w:t>
      </w:r>
      <w:r w:rsidRPr="00FA22F5">
        <w:rPr>
          <w:i/>
        </w:rPr>
        <w:t>Tursiops truncatus</w:t>
      </w:r>
      <w:r w:rsidRPr="00FA22F5">
        <w:t xml:space="preserve">) were carried out in Sarasota Bay </w:t>
      </w:r>
      <w:r w:rsidR="0014100F" w:rsidRPr="00FA22F5">
        <w:t xml:space="preserve">and adjacent bays, sounds, and Gulf of Mexico waters within ~1 km of shore </w:t>
      </w:r>
      <w:r w:rsidRPr="00FA22F5">
        <w:t>(</w:t>
      </w:r>
      <w:r w:rsidR="004A4997" w:rsidRPr="00FA22F5">
        <w:t>f</w:t>
      </w:r>
      <w:r w:rsidRPr="00FA22F5">
        <w:t>ig</w:t>
      </w:r>
      <w:r w:rsidR="004A4997" w:rsidRPr="00FA22F5">
        <w:t>ure</w:t>
      </w:r>
      <w:r w:rsidRPr="00FA22F5">
        <w:t xml:space="preserve"> 1) on a monthly basis (</w:t>
      </w:r>
      <w:r w:rsidR="004A4997" w:rsidRPr="00FA22F5">
        <w:t>figure</w:t>
      </w:r>
      <w:r w:rsidRPr="00FA22F5">
        <w:t xml:space="preserve"> S1) between 1993 and 2014 </w:t>
      </w:r>
      <w:r w:rsidRPr="00FA22F5">
        <w:fldChar w:fldCharType="begin" w:fldLock="1"/>
      </w:r>
      <w:r w:rsidR="004A4997" w:rsidRPr="00FA22F5">
        <w:instrText>ADDIN CSL_CITATION { "citationItems" : [ { "id" : "ITEM-1", "itemData" : { "author" : [ { "dropping-particle" : "", "family" : "Wells", "given" : "R S", "non-dropping-particle" : "", "parse-names" : false, "suffix" : "" } ], "container-title" : "Primates and cetaceans: Field research and conservation of complex mammalian societies", "editor" : [ { "dropping-particle" : "", "family" : "Yamagiwa", "given" : "J", "non-dropping-particle" : "", "parse-names" : false, "suffix" : "" }, { "dropping-particle" : "", "family" : "Karczmarski", "given" : "L", "non-dropping-particle" : "", "parse-names" : false, "suffix" : "" } ], "id" : "ITEM-1", "issued" : { "date-parts" : [ [ "2014" ] ] }, "page" : "149-172", "publisher" : "Springer", "publisher-place" : "Tokyo, Japan", "title" : "Social structure and life history of common bottlenose dolphins near Sarasota Bay, Florida: Insights from four decades and five generations", "type" : "chapter" }, "uris" : [ "http://www.mendeley.com/documents/?uuid=ba7a48f7-8d65-4af7-a8e3-b51b3544714b" ] } ], "mendeley" : { "formattedCitation" : "[1]", "plainTextFormattedCitation" : "[1]", "previouslyFormattedCitation" : "[1]" }, "properties" : { "noteIndex" : 0 }, "schema" : "https://github.com/citation-style-language/schema/raw/master/csl-citation.json" }</w:instrText>
      </w:r>
      <w:r w:rsidRPr="00FA22F5">
        <w:fldChar w:fldCharType="separate"/>
      </w:r>
      <w:r w:rsidR="004A4997" w:rsidRPr="00FA22F5">
        <w:rPr>
          <w:noProof/>
        </w:rPr>
        <w:t>[1]</w:t>
      </w:r>
      <w:r w:rsidRPr="00FA22F5">
        <w:fldChar w:fldCharType="end"/>
      </w:r>
      <w:r w:rsidR="00575124" w:rsidRPr="00FA22F5">
        <w:t xml:space="preserve">. </w:t>
      </w:r>
      <w:r w:rsidR="00E61BC6" w:rsidRPr="00FA22F5">
        <w:t xml:space="preserve">Surveys were conducted </w:t>
      </w:r>
      <w:r w:rsidR="0014100F" w:rsidRPr="00FA22F5">
        <w:t>during 10 days each month from small (6-7 m), outboard-powered vessels following standard routes through the study area, selected daily depending on conditions and areas previously covered, such that each part of the dolphin community’s range is surveyed at least three times each month</w:t>
      </w:r>
      <w:r w:rsidR="00E6543C" w:rsidRPr="00FA22F5">
        <w:t xml:space="preserve"> </w:t>
      </w:r>
      <w:r w:rsidR="00E6543C" w:rsidRPr="00FA22F5">
        <w:fldChar w:fldCharType="begin" w:fldLock="1"/>
      </w:r>
      <w:r w:rsidR="004A4997" w:rsidRPr="00FA22F5">
        <w:instrText>ADDIN CSL_CITATION { "citationItems" : [ { "id" : "ITEM-1", "itemData" : { "DOI" : "10.1002/zoo.20252", "ISBN" : "1098-2361", "ISSN" : "07333188", "PMID" : "19434729", "abstract" : "The world's longest-running study of a wild dolphin population, operated by the Chicago Zoological Society since 1989, has focused on the multi-generational resident community of about 160 bottlenose dolphins in Sarasota Bay, Florida, since 1970. Observational and capture-release research on the biology, behavior, life history, ecology, and health of individually identifiable bay residents of up to 59 years of age and spanning five generations has helped to inform collection managers at the Brookfield Zoo and partner institutions. Age, sex, and genetic compositions of colonies at cooperating institutions have been based on observations of social structure and genetic paternity testing in Sarasota Bay to optimize breeding success. Breeding success, including calf survivorship, is evaluated relative to individual wild dolphin reproductive histories, spanning as many as nine calves and four decades. Individual rearing patterns for wild dolphins provide guidance for determining how long to keep mothers and calves together, and help to define the next steps in the calves' social development. Health assessments provide data on expected ranges of blood, milk and urine values, morphometrics, and body condition relative to age, sex, and reproductive condition. Calf growth can be compared with wild values. Target weights and blubber thicknesses for specific age and sex classes in specified water temperatures are available for wild dolphins, and caloric intakes can be adjusted accordingly to meet the targets. A strength of the program is the ability to monitor individuals throughout their lives, and to be able to define individual ranges of variability through ontogenetic stages.", "author" : [ { "dropping-particle" : "", "family" : "Wells", "given" : "R S", "non-dropping-particle" : "", "parse-names" : false, "suffix" : "" } ], "container-title" : "Zoo Biology", "id" : "ITEM-1", "issued" : { "date-parts" : [ [ "2009" ] ] }, "page" : "635-651", "title" : "Learning from nature: Bottlenose dolphin care and husbandry", "type" : "article-journal", "volume" : "28" }, "uris" : [ "http://www.mendeley.com/documents/?uuid=3051f3f2-4f16-4a56-b422-6e69bbabda96" ] }, { "id" : "ITEM-2", "itemData" : { "author" : [ { "dropping-particle" : "", "family" : "Wells", "given" : "R S", "non-dropping-particle" : "", "parse-names" : false, "suffix" : "" } ], "container-title" : "Primates and cetaceans: Field research and conservation of complex mammalian societies", "editor" : [ { "dropping-particle" : "", "family" : "Yamagiwa", "given" : "J", "non-dropping-particle" : "", "parse-names" : false, "suffix" : "" }, { "dropping-particle" : "", "family" : "Karczmarski", "given" : "L", "non-dropping-particle" : "", "parse-names" : false, "suffix" : "" } ], "id" : "ITEM-2", "issued" : { "date-parts" : [ [ "2014" ] ] }, "page" : "149-172", "publisher" : "Springer", "publisher-place" : "Tokyo, Japan", "title" : "Social structure and life history of common bottlenose dolphins near Sarasota Bay, Florida: Insights from four decades and five generations", "type" : "chapter" }, "uris" : [ "http://www.mendeley.com/documents/?uuid=ba7a48f7-8d65-4af7-a8e3-b51b3544714b" ] }, { "id" : "ITEM-3", "itemData" : { "DOI" : "10.1111/mms.12142", "ISBN" : "1748-7692", "ISSN" : "17487692", "author" : [ { "dropping-particle" : "", "family" : "Wells", "given" : "R S", "non-dropping-particle" : "", "parse-names" : false, "suffix" : "" }, { "dropping-particle" : "", "family" : "Allen", "given" : "J B", "non-dropping-particle" : "", "parse-names" : false, "suffix" : "" }, { "dropping-particle" : "", "family" : "Lovewell", "given" : "G", "non-dropping-particle" : "", "parse-names" : false, "suffix" : "" }, { "dropping-particle" : "", "family" : "Gorzelany", "given" : "J", "non-dropping-particle" : "", "parse-names" : false, "suffix" : "" }, { "dropping-particle" : "", "family" : "Delynn", "given" : "R E", "non-dropping-particle" : "", "parse-names" : false, "suffix" : "" }, { "dropping-particle" : "", "family" : "Fauquier", "given" : "D A", "non-dropping-particle" : "", "parse-names" : false, "suffix" : "" }, { "dropping-particle" : "", "family" : "Barros", "given" : "N B", "non-dropping-particle" : "", "parse-names" : false, "suffix" : "" } ], "container-title" : "Marine Mammal Science", "id" : "ITEM-3", "issued" : { "date-parts" : [ [ "2015" ] ] }, "page" : "355-368", "title" : "Carcass-recovery rates for resident bottlenose dolphins in Sarasota Bay, Florida", "type" : "article-journal", "volume" : "31" }, "uris" : [ "http://www.mendeley.com/documents/?uuid=df77e05b-51d9-411f-8f43-b6dcee1c423b" ] } ], "mendeley" : { "formattedCitation" : "[1\u20133]", "plainTextFormattedCitation" : "[1\u20133]", "previouslyFormattedCitation" : "[1\u20133]" }, "properties" : { "noteIndex" : 0 }, "schema" : "https://github.com/citation-style-language/schema/raw/master/csl-citation.json" }</w:instrText>
      </w:r>
      <w:r w:rsidR="00E6543C" w:rsidRPr="00FA22F5">
        <w:fldChar w:fldCharType="separate"/>
      </w:r>
      <w:r w:rsidR="004A4997" w:rsidRPr="00FA22F5">
        <w:rPr>
          <w:noProof/>
        </w:rPr>
        <w:t>[1–3]</w:t>
      </w:r>
      <w:r w:rsidR="00E6543C" w:rsidRPr="00FA22F5">
        <w:fldChar w:fldCharType="end"/>
      </w:r>
      <w:r w:rsidR="0014100F" w:rsidRPr="00FA22F5">
        <w:t xml:space="preserve">. </w:t>
      </w:r>
      <w:r w:rsidR="00575124" w:rsidRPr="00FA22F5">
        <w:t xml:space="preserve">When a dolphin group was sighted, the dorsal fins of the dolphins were photographed, from which individual dolphins could be identified </w:t>
      </w:r>
      <w:r w:rsidR="00DA7BDE" w:rsidRPr="00FA22F5">
        <w:fldChar w:fldCharType="begin" w:fldLock="1"/>
      </w:r>
      <w:r w:rsidR="004A4997" w:rsidRPr="00FA22F5">
        <w:instrText>ADDIN CSL_CITATION { "citationItems" : [ { "id" : "ITEM-1", "itemData" : { "author" : [ { "dropping-particle" : "", "family" : "Hammond", "given" : "P S", "non-dropping-particle" : "", "parse-names" : false, "suffix" : "" }, { "dropping-particle" : "", "family" : "Mizroch", "given" : "S A", "non-dropping-particle" : "", "parse-names" : false, "suffix" : "" }, { "dropping-particle" : "", "family" : "Donovan", "given" : "G P", "non-dropping-particle" : "", "parse-names" : false, "suffix" : "" } ], "container-title" : "Reports of the International Whaling Commission", "id" : "ITEM-1", "issue" : "Special Issue 12", "issued" : { "date-parts" : [ [ "1990" ] ] }, "page" : "440", "publisher" : "Reports of the International Whaling", "title" : "Individual recognition of cetaceans: Use of photo-identification and other techniques to estimate population paramters", "type" : "article-journal" }, "uris" : [ "http://www.mendeley.com/documents/?uuid=bc140dd4-6275-4d2e-8a5c-7984d813d42f" ] } ], "mendeley" : { "formattedCitation" : "[4]", "plainTextFormattedCitation" : "[4]", "previouslyFormattedCitation" : "[4]" }, "properties" : { "noteIndex" : 0 }, "schema" : "https://github.com/citation-style-language/schema/raw/master/csl-citation.json" }</w:instrText>
      </w:r>
      <w:r w:rsidR="00DA7BDE" w:rsidRPr="00FA22F5">
        <w:fldChar w:fldCharType="separate"/>
      </w:r>
      <w:r w:rsidR="004A4997" w:rsidRPr="00FA22F5">
        <w:rPr>
          <w:noProof/>
        </w:rPr>
        <w:t>[4]</w:t>
      </w:r>
      <w:r w:rsidR="00DA7BDE" w:rsidRPr="00FA22F5">
        <w:fldChar w:fldCharType="end"/>
      </w:r>
      <w:r w:rsidR="00575124" w:rsidRPr="00FA22F5">
        <w:t>. Th</w:t>
      </w:r>
      <w:r w:rsidR="00D62AC1" w:rsidRPr="00FA22F5">
        <w:t>ese</w:t>
      </w:r>
      <w:r w:rsidR="00575124" w:rsidRPr="00FA22F5">
        <w:t xml:space="preserve"> data w</w:t>
      </w:r>
      <w:r w:rsidR="00D62AC1" w:rsidRPr="00FA22F5">
        <w:t>ere</w:t>
      </w:r>
      <w:r w:rsidR="00575124" w:rsidRPr="00FA22F5">
        <w:t xml:space="preserve"> used to create a sighting history database of which individuals w</w:t>
      </w:r>
      <w:r w:rsidR="00D62AC1" w:rsidRPr="00FA22F5">
        <w:t>ere</w:t>
      </w:r>
      <w:r w:rsidR="00575124" w:rsidRPr="00FA22F5">
        <w:t xml:space="preserve"> observed interacting with each other (i.e. being sighted in the same group on the same day). For each sighting, the presence of </w:t>
      </w:r>
      <w:r w:rsidR="00B0292E" w:rsidRPr="00FA22F5">
        <w:t>human-dolphin interactions</w:t>
      </w:r>
      <w:r w:rsidR="00575124" w:rsidRPr="00FA22F5">
        <w:t xml:space="preserve"> (patrolling, scavenging, depredation, begging, provisioning and fixed gear interactions</w:t>
      </w:r>
      <w:r w:rsidR="00551CF1" w:rsidRPr="00FA22F5">
        <w:t>, see Table S1</w:t>
      </w:r>
      <w:r w:rsidR="00E61BC6" w:rsidRPr="00FA22F5">
        <w:t xml:space="preserve"> for definitions</w:t>
      </w:r>
      <w:r w:rsidR="00575124" w:rsidRPr="00FA22F5">
        <w:t xml:space="preserve">) were also recorded and associated to a specific dolphin ID </w:t>
      </w:r>
      <w:r w:rsidR="00575124" w:rsidRPr="00FA22F5">
        <w:fldChar w:fldCharType="begin" w:fldLock="1"/>
      </w:r>
      <w:r w:rsidR="004A4997" w:rsidRPr="00FA22F5">
        <w:instrText>ADDIN CSL_CITATION { "citationItems" : [ { "id" : "ITEM-1", "itemData" : { "ISBN" : "1038-2097", "ISSN" : "10382097", "abstract" : "We document a human-dolphin interaction involving the illegal feeding of wild Bottlenose Dolphins (Tursiops sp.) in Cockburn Sound, Western Australia from 1993-2003. In 1993 only one dolphin was considered conditioned to human interaction through food reinforcement. By 2001, 16% (n = 12) of the resident community of 74 adult dolphins were conditioned, and at least 14 dolphins were conditioned by 2003. Of the 13 conditioned dolphins of known sex, 11 (85%) were males. We observed conditioned dolphins initiating interactions by approaching recreational fidhing boats and by residing for several hours at boat ramps and shore-based fishing sites. We only observed recreational fishers feeding dolphins, although anecdotal reports indicated additional feeding sources. We used belt transects to determine the densities of recreational boats and encounter rates for conditioned dolphins across habitats within Cockburn Sound. Encounter rates and boat densities were positively correlated, suggesting an association between recreational boat density and the ranging patterns of conditioned dolphins. This study demonstrates how illegal feeding interactions can intensify over time to affect a potentially biologically significant proportion of a local dolphin population. This emphasizes the need for early and pro-active intervention and demonstrates the value of longitudinal, individual-specific wildlife studies.", "author" : [ { "dropping-particle" : "", "family" : "Finn", "given" : "H", "non-dropping-particle" : "", "parse-names" : false, "suffix" : "" }, { "dropping-particle" : "", "family" : "Donaldson", "given" : "R", "non-dropping-particle" : "", "parse-names" : false, "suffix" : "" }, { "dropping-particle" : "", "family" : "Calver", "given" : "M", "non-dropping-particle" : "", "parse-names" : false, "suffix" : "" } ], "container-title" : "Pacific Conservation Biology", "id" : "ITEM-1", "issued" : { "date-parts" : [ [ "2008" ] ] }, "page" : "215-225", "title" : "Feeding flipper: a case study of a human-dolphin interaction", "type" : "article-journal", "volume" : "14" }, "uris" : [ "http://www.mendeley.com/documents/?uuid=00b732bd-1ecb-43cd-80e7-d9a9258b3368" ] }, { "id" : "ITEM-2", "itemData" : { "DOI" : "10.1111/j.1469-1795.2012.00548.x", "ISBN" : "1469-1795", "ISSN" : "13679430", "abstract" : "Although harmful human\u2013wildlife interactions involving anthropogenic food sources are a significant issue for wildlife conservation, few studies have addressed whether social learning may influence how animals learn to use anthropogenic foods. We examined a long-term (1993\u20132003) human\u2013wildlife interaction involving the illegal feeding of bottlenose dolphins (Tursiops aduncus) by recreational fishers in south-western Australia. We developed predictor variables for whether dolphins learned to accept food handouts from human provisioners, based on biological (age-class, sex) and behavioural (ranging and association patterns) data for a population of 74 dolphins. Two variables provided clear predictors for whether dolphins became conditioned to food handouts: the use of areas with high densities of recreational boats (BOAT) and the average coefficient of association with previously conditioned dolphins (ASSOC). An individual was more likely to become conditioned when it spent more time in high boat density areas and when it spent more time with other conditioned dolphins. When considering all the models available, there was strong weight of evidence for the effects of ASSOC and BOAT on the response variable. We were unable to detect any effects of age-class and sex with the available statistical power. These findings suggest that social learning can facilitate the acquisition of undesirable and maladaptive behaviours in wildlife, and indicate the value of long-term individual-specific data for the conservation management of wildlife engaging in undesirable interactions with humans.", "author" : [ { "dropping-particle" : "", "family" : "Donaldson", "given" : "R", "non-dropping-particle" : "", "parse-names" : false, "suffix" : "" }, { "dropping-particle" : "", "family" : "Finn", "given" : "H", "non-dropping-particle" : "", "parse-names" : false, "suffix" : "" }, { "dropping-particle" : "", "family" : "Bejder", "given" : "L", "non-dropping-particle" : "", "parse-names" : false, "suffix" : "" }, { "dropping-particle" : "", "family" : "Lusseau", "given" : "D", "non-dropping-particle" : "", "parse-names" : false, "suffix" : "" }, { "dropping-particle" : "", "family" : "Calver", "given" : "M", "non-dropping-particle" : "", "parse-names" : false, "suffix" : "" } ], "container-title" : "Animal Conservation", "id" : "ITEM-2", "issued" : { "date-parts" : [ [ "2012" ] ] }, "page" : "427-435", "title" : "The social side of human-wildlife interaction: wildlife can learn harmful behaviours from each other", "type" : "article-journal", "volume" : "15" }, "uris" : [ "http://www.mendeley.com/documents/?uuid=f15b0994-21b6-48b0-898f-da05283b35fc" ] } ], "mendeley" : { "formattedCitation" : "[5,6]", "plainTextFormattedCitation" : "[5,6]", "previouslyFormattedCitation" : "[5,6]" }, "properties" : { "noteIndex" : 0 }, "schema" : "https://github.com/citation-style-language/schema/raw/master/csl-citation.json" }</w:instrText>
      </w:r>
      <w:r w:rsidR="00575124" w:rsidRPr="00FA22F5">
        <w:fldChar w:fldCharType="separate"/>
      </w:r>
      <w:r w:rsidR="004A4997" w:rsidRPr="00FA22F5">
        <w:rPr>
          <w:noProof/>
        </w:rPr>
        <w:t>[5,6]</w:t>
      </w:r>
      <w:r w:rsidR="00575124" w:rsidRPr="00FA22F5">
        <w:fldChar w:fldCharType="end"/>
      </w:r>
      <w:r w:rsidR="00575124" w:rsidRPr="00FA22F5">
        <w:t>.</w:t>
      </w:r>
      <w:r w:rsidR="00C77AE9" w:rsidRPr="00FA22F5">
        <w:t xml:space="preserve"> Human-dolphin interactions were recorded opportunistically through 2006 (and coded retroactively from sighting notes) with codes for specific behaviours of interest added to </w:t>
      </w:r>
      <w:r w:rsidR="00D62AC1" w:rsidRPr="00FA22F5">
        <w:t>the</w:t>
      </w:r>
      <w:r w:rsidR="00C77AE9" w:rsidRPr="00FA22F5">
        <w:t xml:space="preserve"> regular</w:t>
      </w:r>
      <w:r w:rsidR="00D62AC1" w:rsidRPr="00FA22F5">
        <w:t xml:space="preserve"> photographic identification survey</w:t>
      </w:r>
      <w:r w:rsidR="00C77AE9" w:rsidRPr="00FA22F5">
        <w:t xml:space="preserve"> field protocols in 2007.</w:t>
      </w:r>
    </w:p>
    <w:p w:rsidR="00575124" w:rsidRPr="00FA22F5" w:rsidRDefault="00575124" w:rsidP="00900153">
      <w:pPr>
        <w:spacing w:line="480" w:lineRule="auto"/>
      </w:pPr>
    </w:p>
    <w:p w:rsidR="00575124" w:rsidRPr="00FA22F5" w:rsidRDefault="006F35D3" w:rsidP="00900153">
      <w:pPr>
        <w:pStyle w:val="Rubrik4"/>
        <w:spacing w:line="480" w:lineRule="auto"/>
      </w:pPr>
      <w:r w:rsidRPr="00FA22F5">
        <w:t>Presence of i</w:t>
      </w:r>
      <w:r w:rsidR="00E60F75" w:rsidRPr="00FA22F5">
        <w:t>njuries</w:t>
      </w:r>
    </w:p>
    <w:p w:rsidR="00ED0990" w:rsidRPr="00FA22F5" w:rsidRDefault="00385152" w:rsidP="00900153">
      <w:pPr>
        <w:spacing w:line="480" w:lineRule="auto"/>
      </w:pPr>
      <w:r w:rsidRPr="00FA22F5">
        <w:t>T</w:t>
      </w:r>
      <w:r w:rsidR="0046448A" w:rsidRPr="00FA22F5">
        <w:t>he presence of human-related body injuries</w:t>
      </w:r>
      <w:r w:rsidRPr="00FA22F5">
        <w:t xml:space="preserve"> on dolphins</w:t>
      </w:r>
      <w:r w:rsidR="0046448A" w:rsidRPr="00FA22F5">
        <w:t>, including fishing gear entanglement or ingestion and boat strike injuries, were recorded</w:t>
      </w:r>
      <w:r w:rsidRPr="00FA22F5">
        <w:t xml:space="preserve"> between 1984 and 2014 </w:t>
      </w:r>
      <w:r w:rsidR="00AD1990" w:rsidRPr="00FA22F5">
        <w:t xml:space="preserve">via </w:t>
      </w:r>
      <w:r w:rsidR="00AD1990" w:rsidRPr="00FA22F5">
        <w:lastRenderedPageBreak/>
        <w:t xml:space="preserve">direct observation </w:t>
      </w:r>
      <w:r w:rsidRPr="00FA22F5">
        <w:t xml:space="preserve">during </w:t>
      </w:r>
      <w:r w:rsidR="00AD1990" w:rsidRPr="00FA22F5">
        <w:t xml:space="preserve">photographic identification </w:t>
      </w:r>
      <w:r w:rsidRPr="00FA22F5">
        <w:t>surveys, as well as during</w:t>
      </w:r>
      <w:r w:rsidR="00AD1990" w:rsidRPr="00FA22F5">
        <w:t xml:space="preserve"> examinations of animals during</w:t>
      </w:r>
      <w:r w:rsidRPr="00FA22F5">
        <w:t xml:space="preserve"> </w:t>
      </w:r>
      <w:r w:rsidR="0046448A" w:rsidRPr="00FA22F5">
        <w:t>capture-release efforts for life-history, rescue operations, or health assessments, or upon necropsy evaluation</w:t>
      </w:r>
      <w:r w:rsidRPr="00FA22F5">
        <w:t>.</w:t>
      </w:r>
      <w:r w:rsidR="00ED0990" w:rsidRPr="00FA22F5">
        <w:t xml:space="preserve"> Injury types were categorized after Wells et al. </w:t>
      </w:r>
      <w:r w:rsidR="00ED0990" w:rsidRPr="00FA22F5">
        <w:fldChar w:fldCharType="begin" w:fldLock="1"/>
      </w:r>
      <w:r w:rsidR="005A2EB0" w:rsidRPr="00FA22F5">
        <w:instrText>ADDIN CSL_CITATION { "citationItems" : [ { "id" : "ITEM-1", "itemData" : { "DOI" : "10.1111/j.1748-7692.2008.00212.x", "ISBN" : "08240469 17487692", "ISSN" : "08240469", "abstract" : "Accurate identification of human-induced injuries that lead to death or interfere with reproduction is important formarinemammalmanagement, as deaths exceeding established limits can lead to restrictions on fisheries or vessel operations. The fates of cetaceans last seen swimming with attached gear, particularly in pelagic fisheries, or with vessel strike lacerations, have been difficult to predict. Survival and reproduction data from long-term research on resident common bottlenose dolphins near Sarasota, Florida were examined relative to consequences of fishing gear ingestion, line entanglements, vessel strikes, and amputations of unknown origins. Fishing hooks embedded in the throat, goosebeak, or esophagus, or line wrapped around the goosebeak, generally lead to death. Multiple, constrictive line wraps around fin insertions can lead to amputation, blood loss, impaired mobility, or infection. Dolphins with ingested gear or severe entanglements may swim away with the gear, but likely die later. Propeller injuries involving only soft tissue were often survivable. Some dolphins survived amputations of the distal ends of fins, and continued to reproduce. As a precautionary approach, dolphins with ingested gear or severe constrictive entanglements should be considered mortalities, but extrapolations of findings from coastal bottlenose dolphins to other cetaceans and different gear must be done with caution.", "author" : [ { "dropping-particle" : "", "family" : "Wells", "given" : "R S", "non-dropping-particle" : "", "parse-names" : false, "suffix" : "" }, { "dropping-particle" : "", "family" : "Allen", "given" : "J B", "non-dropping-particle" : "", "parse-names" : false, "suffix" : "" }, { "dropping-particle" : "", "family" : "Hofmann", "given" : "S", "non-dropping-particle" : "", "parse-names" : false, "suffix" : "" }, { "dropping-particle" : "", "family" : "Bassos-Hull", "given" : "K", "non-dropping-particle" : "", "parse-names" : false, "suffix" : "" }, { "dropping-particle" : "", "family" : "Fauquier", "given" : "D A", "non-dropping-particle" : "", "parse-names" : false, "suffix" : "" }, { "dropping-particle" : "", "family" : "Barros", "given" : "N B", "non-dropping-particle" : "", "parse-names" : false, "suffix" : "" }, { "dropping-particle" : "", "family" : "DeLynn", "given" : "R E", "non-dropping-particle" : "", "parse-names" : false, "suffix" : "" }, { "dropping-particle" : "", "family" : "Sutton", "given" : "G", "non-dropping-particle" : "", "parse-names" : false, "suffix" : "" }, { "dropping-particle" : "", "family" : "Socha", "given" : "V", "non-dropping-particle" : "", "parse-names" : false, "suffix" : "" }, { "dropping-particle" : "", "family" : "Scott", "given" : "M D", "non-dropping-particle" : "", "parse-names" : false, "suffix" : "" } ], "container-title" : "Marine Mammal Science", "id" : "ITEM-1", "issued" : { "date-parts" : [ [ "2008" ] ] }, "page" : "774-794", "title" : "Consequences of injuries on survival and reproduction of common bottlenose dolphins (Tursiops truncatus) along the west coast of Florida", "type" : "article-journal", "volume" : "24" }, "uris" : [ "http://www.mendeley.com/documents/?uuid=7045b368-6d1b-4de2-9fc4-6455d92195f5" ] } ], "mendeley" : { "formattedCitation" : "[7]", "plainTextFormattedCitation" : "[7]", "previouslyFormattedCitation" : "[7]" }, "properties" : { "noteIndex" : 0 }, "schema" : "https://github.com/citation-style-language/schema/raw/master/csl-citation.json" }</w:instrText>
      </w:r>
      <w:r w:rsidR="00ED0990" w:rsidRPr="00FA22F5">
        <w:fldChar w:fldCharType="separate"/>
      </w:r>
      <w:r w:rsidR="00ED0990" w:rsidRPr="00FA22F5">
        <w:rPr>
          <w:noProof/>
        </w:rPr>
        <w:t>[7]</w:t>
      </w:r>
      <w:r w:rsidR="00ED0990" w:rsidRPr="00FA22F5">
        <w:fldChar w:fldCharType="end"/>
      </w:r>
      <w:r w:rsidR="00ED0990" w:rsidRPr="00FA22F5">
        <w:t>. For example, cases of fishing gear entanglement or ingestion were based upon observations of hooks, lures, monofilament or braided fishing line, or crab trap float lines present on or embedded in free-ranging animals or recovered carcasses, or from scarring patterns consistent with wounds from lines. Vessel strike cases were based on the presence of deep, parallel, evenly spaced cuts presumably caused by boat propellers or skegs and/or evidence of severe blunt force trauma.</w:t>
      </w:r>
    </w:p>
    <w:p w:rsidR="00575124" w:rsidRPr="00FA22F5" w:rsidRDefault="00575124" w:rsidP="00900153">
      <w:pPr>
        <w:spacing w:line="480" w:lineRule="auto"/>
      </w:pPr>
    </w:p>
    <w:p w:rsidR="00176785" w:rsidRPr="00FA22F5" w:rsidRDefault="00176785" w:rsidP="00900153">
      <w:pPr>
        <w:pStyle w:val="Rubrik3"/>
        <w:spacing w:line="480" w:lineRule="auto"/>
      </w:pPr>
      <w:r w:rsidRPr="00FA22F5">
        <w:t xml:space="preserve">Variables affecting </w:t>
      </w:r>
      <w:r w:rsidR="00B0292E" w:rsidRPr="00FA22F5">
        <w:t xml:space="preserve">the </w:t>
      </w:r>
      <w:r w:rsidRPr="00FA22F5">
        <w:t>probability of conditioning</w:t>
      </w:r>
    </w:p>
    <w:p w:rsidR="001A4D83" w:rsidRPr="00FA22F5" w:rsidRDefault="001A4D83" w:rsidP="00900153">
      <w:pPr>
        <w:spacing w:line="480" w:lineRule="auto"/>
      </w:pPr>
    </w:p>
    <w:p w:rsidR="00E80EF9" w:rsidRPr="00FA22F5" w:rsidRDefault="00E80EF9" w:rsidP="00900153">
      <w:pPr>
        <w:pStyle w:val="Rubrik4"/>
        <w:spacing w:line="480" w:lineRule="auto"/>
      </w:pPr>
      <w:r w:rsidRPr="00FA22F5">
        <w:t>Exposure to human activities</w:t>
      </w:r>
      <w:r w:rsidR="009B6B4D" w:rsidRPr="00FA22F5">
        <w:t xml:space="preserve"> (EXP)</w:t>
      </w:r>
    </w:p>
    <w:p w:rsidR="00552E3E" w:rsidRPr="00FA22F5" w:rsidRDefault="00B0292E" w:rsidP="00900153">
      <w:pPr>
        <w:spacing w:line="480" w:lineRule="auto"/>
        <w:rPr>
          <w:rFonts w:eastAsia="Times New Roman"/>
          <w:shd w:val="clear" w:color="auto" w:fill="FFFFFF"/>
          <w:lang w:eastAsia="en-GB"/>
        </w:rPr>
      </w:pPr>
      <w:r w:rsidRPr="00FA22F5">
        <w:t xml:space="preserve">The relative </w:t>
      </w:r>
      <w:r w:rsidR="009B6B4D" w:rsidRPr="00FA22F5">
        <w:t>exposure to human activities (boats, crab pots and fishing lines) was estimated for individual dolphins in 2013 and 2014. First, the study area was divided into 1</w:t>
      </w:r>
      <w:r w:rsidR="00385152" w:rsidRPr="00FA22F5">
        <w:t xml:space="preserve"> </w:t>
      </w:r>
      <w:r w:rsidR="009B6B4D" w:rsidRPr="00FA22F5">
        <w:t>km</w:t>
      </w:r>
      <w:r w:rsidR="009B6B4D" w:rsidRPr="00FA22F5">
        <w:rPr>
          <w:vertAlign w:val="superscript"/>
        </w:rPr>
        <w:t>2</w:t>
      </w:r>
      <w:r w:rsidR="009B6B4D" w:rsidRPr="00FA22F5">
        <w:t xml:space="preserve"> </w:t>
      </w:r>
      <w:r w:rsidRPr="00FA22F5">
        <w:t xml:space="preserve">grid </w:t>
      </w:r>
      <w:r w:rsidR="00AD4155" w:rsidRPr="00FA22F5">
        <w:t>cells. The sighting data</w:t>
      </w:r>
      <w:r w:rsidR="009B6B4D" w:rsidRPr="00FA22F5">
        <w:t xml:space="preserve"> set was then used to link each sighting of an individual dolphin to a specif</w:t>
      </w:r>
      <w:r w:rsidR="00385152" w:rsidRPr="00FA22F5">
        <w:t xml:space="preserve">ic grid cell in the study area. </w:t>
      </w:r>
      <w:r w:rsidR="009B6B4D" w:rsidRPr="00FA22F5">
        <w:t xml:space="preserve">Using this </w:t>
      </w:r>
      <w:r w:rsidR="00F45E8E" w:rsidRPr="00FA22F5">
        <w:t>data</w:t>
      </w:r>
      <w:r w:rsidR="009B6B4D" w:rsidRPr="00FA22F5">
        <w:t xml:space="preserve">, spatially explicit capture-recapture (SECR) models were then </w:t>
      </w:r>
      <w:r w:rsidR="00F45E8E" w:rsidRPr="00FA22F5">
        <w:t>used</w:t>
      </w:r>
      <w:r w:rsidR="009B6B4D" w:rsidRPr="00FA22F5">
        <w:t xml:space="preserve"> to estimate the encounter probability of individual dolphins (the probability of sighting a specific individual per cell </w:t>
      </w:r>
      <w:r w:rsidR="00F45E8E" w:rsidRPr="00FA22F5">
        <w:t xml:space="preserve">per </w:t>
      </w:r>
      <w:r w:rsidR="009B6B4D" w:rsidRPr="00FA22F5">
        <w:t xml:space="preserve">minute of effort </w:t>
      </w:r>
      <w:r w:rsidR="00F45E8E" w:rsidRPr="00FA22F5">
        <w:t>in each</w:t>
      </w:r>
      <w:r w:rsidR="009B6B4D" w:rsidRPr="00FA22F5">
        <w:t xml:space="preserve"> year), while accounting for spatiotemporal variations in sampling effort</w:t>
      </w:r>
      <w:r w:rsidR="00F45E8E" w:rsidRPr="00FA22F5">
        <w:t xml:space="preserve"> </w:t>
      </w:r>
      <w:r w:rsidR="00F45E8E" w:rsidRPr="00FA22F5">
        <w:fldChar w:fldCharType="begin" w:fldLock="1"/>
      </w:r>
      <w:r w:rsidR="00ED0990" w:rsidRPr="00FA22F5">
        <w:instrText>ADDIN CSL_CITATION { "citationItems" : [ { "id" : "ITEM-1", "itemData" : { "DOI" : "10.1111/acv.12132", "ISSN" : "13679430", "author" : [ { "dropping-particle" : "", "family" : "Pirotta", "given" : "E", "non-dropping-particle" : "", "parse-names" : false, "suffix" : "" }, { "dropping-particle" : "", "family" : "Thompson", "given" : "P M", "non-dropping-particle" : "", "parse-names" : false, "suffix" : "" }, { "dropping-particle" : "", "family" : "Cheney", "given" : "B", "non-dropping-particle" : "", "parse-names" : false, "suffix" : "" }, { "dropping-particle" : "", "family" : "Donovan", "given" : "C R", "non-dropping-particle" : "", "parse-names" : false, "suffix" : "" }, { "dropping-particle" : "", "family" : "Lusseau", "given" : "D", "non-dropping-particle" : "", "parse-names" : false, "suffix" : "" } ], "container-title" : "Animal Conservation", "id" : "ITEM-1", "issued" : { "date-parts" : [ [ "2015" ] ] }, "page" : "20-31", "title" : "Estimating spatial, temporal and individual variability in dolphin cumulative exposure to boat traffic using spatially explicit capture-recapture methods", "type" : "article-journal", "volume" : "18" }, "uris" : [ "http://www.mendeley.com/documents/?uuid=edad74fe-3b1a-4274-bb92-8ec759a2f105" ] }, { "id" : "ITEM-2", "itemData" : { "DOI" : "10.1002/jwmg.836", "author" : [ { "dropping-particle" : "", "family" : "Christiansen", "given" : "F", "non-dropping-particle" : "", "parse-names" : false, "suffix" : "" }, { "dropping-particle" : "", "family" : "Bertulli", "given" : "C G", "non-dropping-particle" : "", "parse-names" : false, "suffix" : "" }, { "dropping-particle" : "", "family" : "Rasmussen", "given" : "M H", "non-dropping-particle" : "", "parse-names" : false, "suffix" : "" }, { "dropping-particle" : "", "family" : "Lusseau", "given" : "D", "non-dropping-particle" : "", "parse-names" : false, "suffix" : "" } ], "container-title" : "Journal of Wildlife Management", "id" : "ITEM-2", "issued" : { "date-parts" : [ [ "2015" ] ] }, "page" : "311-324", "title" : "Estimating cumulative exposure of wildlife to non-lethal disturbance using spatially explicit capture-recapture models", "type" : "article-journal", "volume" : "79" }, "uris" : [ "http://www.mendeley.com/documents/?uuid=16a988d6-9003-47fc-95ae-7cc4cdd74c72" ] } ], "mendeley" : { "formattedCitation" : "[8,9]", "plainTextFormattedCitation" : "[8,9]", "previouslyFormattedCitation" : "[8,9]" }, "properties" : { "noteIndex" : 0 }, "schema" : "https://github.com/citation-style-language/schema/raw/master/csl-citation.json" }</w:instrText>
      </w:r>
      <w:r w:rsidR="00F45E8E" w:rsidRPr="00FA22F5">
        <w:fldChar w:fldCharType="separate"/>
      </w:r>
      <w:r w:rsidR="00ED0990" w:rsidRPr="00FA22F5">
        <w:rPr>
          <w:noProof/>
        </w:rPr>
        <w:t>[8,9]</w:t>
      </w:r>
      <w:r w:rsidR="00F45E8E" w:rsidRPr="00FA22F5">
        <w:fldChar w:fldCharType="end"/>
      </w:r>
      <w:r w:rsidR="00F45E8E" w:rsidRPr="00FA22F5">
        <w:t>.</w:t>
      </w:r>
      <w:r w:rsidR="00385152" w:rsidRPr="00FA22F5">
        <w:t xml:space="preserve"> </w:t>
      </w:r>
      <w:r w:rsidR="009B6B4D" w:rsidRPr="00FA22F5">
        <w:t xml:space="preserve">To </w:t>
      </w:r>
      <w:r w:rsidR="00F45E8E" w:rsidRPr="00FA22F5">
        <w:t>quantify</w:t>
      </w:r>
      <w:r w:rsidR="009B6B4D" w:rsidRPr="00FA22F5">
        <w:t xml:space="preserve"> </w:t>
      </w:r>
      <w:r w:rsidR="00F45E8E" w:rsidRPr="00FA22F5">
        <w:t xml:space="preserve">spatiotemporal variations in </w:t>
      </w:r>
      <w:r w:rsidR="009B6B4D" w:rsidRPr="00FA22F5">
        <w:t xml:space="preserve">human </w:t>
      </w:r>
      <w:r w:rsidR="00870B93" w:rsidRPr="00FA22F5">
        <w:t>intensity</w:t>
      </w:r>
      <w:r w:rsidR="009B6B4D" w:rsidRPr="00FA22F5">
        <w:t xml:space="preserve">, the number of boats, crab pots and fishing lines were recorded within 50m of each dolphin sighting in 2013 and 2014. </w:t>
      </w:r>
      <w:r w:rsidR="00870B93" w:rsidRPr="00FA22F5">
        <w:rPr>
          <w:rFonts w:eastAsia="Times New Roman"/>
          <w:shd w:val="clear" w:color="auto" w:fill="FFFFFF"/>
          <w:lang w:eastAsia="en-GB"/>
        </w:rPr>
        <w:t xml:space="preserve">The total number of boats, fishing lines and crab pots </w:t>
      </w:r>
      <w:r w:rsidR="00870B93" w:rsidRPr="00FA22F5">
        <w:t>was</w:t>
      </w:r>
      <w:r w:rsidR="009B6B4D" w:rsidRPr="00FA22F5">
        <w:rPr>
          <w:rFonts w:eastAsia="Times New Roman"/>
          <w:shd w:val="clear" w:color="auto" w:fill="FFFFFF"/>
          <w:lang w:eastAsia="en-GB"/>
        </w:rPr>
        <w:t xml:space="preserve"> </w:t>
      </w:r>
      <w:r w:rsidR="00F45E8E" w:rsidRPr="00FA22F5">
        <w:rPr>
          <w:rFonts w:eastAsia="Times New Roman"/>
          <w:shd w:val="clear" w:color="auto" w:fill="FFFFFF"/>
          <w:lang w:eastAsia="en-GB"/>
        </w:rPr>
        <w:t xml:space="preserve">then </w:t>
      </w:r>
      <w:r w:rsidR="009B6B4D" w:rsidRPr="00FA22F5">
        <w:rPr>
          <w:rFonts w:eastAsia="Times New Roman"/>
          <w:shd w:val="clear" w:color="auto" w:fill="FFFFFF"/>
          <w:lang w:eastAsia="en-GB"/>
        </w:rPr>
        <w:t>summed in each cell per year</w:t>
      </w:r>
      <w:r w:rsidR="00F45E8E" w:rsidRPr="00FA22F5">
        <w:rPr>
          <w:rFonts w:eastAsia="Times New Roman"/>
          <w:shd w:val="clear" w:color="auto" w:fill="FFFFFF"/>
          <w:lang w:eastAsia="en-GB"/>
        </w:rPr>
        <w:t xml:space="preserve">. We then </w:t>
      </w:r>
      <w:r w:rsidR="009B6B4D" w:rsidRPr="00FA22F5">
        <w:rPr>
          <w:rFonts w:eastAsia="Times New Roman"/>
          <w:shd w:val="clear" w:color="auto" w:fill="FFFFFF"/>
          <w:lang w:eastAsia="en-GB"/>
        </w:rPr>
        <w:t xml:space="preserve">summed the number of </w:t>
      </w:r>
      <w:r w:rsidR="00F45E8E" w:rsidRPr="00FA22F5">
        <w:rPr>
          <w:rFonts w:eastAsia="Times New Roman"/>
          <w:shd w:val="clear" w:color="auto" w:fill="FFFFFF"/>
          <w:lang w:eastAsia="en-GB"/>
        </w:rPr>
        <w:t xml:space="preserve">dolphin </w:t>
      </w:r>
      <w:r w:rsidR="009B6B4D" w:rsidRPr="00FA22F5">
        <w:rPr>
          <w:rFonts w:eastAsia="Times New Roman"/>
          <w:shd w:val="clear" w:color="auto" w:fill="FFFFFF"/>
          <w:lang w:eastAsia="en-GB"/>
        </w:rPr>
        <w:t xml:space="preserve">sightings with </w:t>
      </w:r>
      <w:r w:rsidR="00F45E8E" w:rsidRPr="00FA22F5">
        <w:rPr>
          <w:rFonts w:eastAsia="Times New Roman"/>
          <w:shd w:val="clear" w:color="auto" w:fill="FFFFFF"/>
          <w:lang w:eastAsia="en-GB"/>
        </w:rPr>
        <w:t xml:space="preserve">potential </w:t>
      </w:r>
      <w:r w:rsidR="009B6B4D" w:rsidRPr="00FA22F5">
        <w:rPr>
          <w:rFonts w:eastAsia="Times New Roman"/>
          <w:shd w:val="clear" w:color="auto" w:fill="FFFFFF"/>
          <w:lang w:eastAsia="en-GB"/>
        </w:rPr>
        <w:t>human-</w:t>
      </w:r>
      <w:r w:rsidR="00F45E8E" w:rsidRPr="00FA22F5">
        <w:rPr>
          <w:rFonts w:eastAsia="Times New Roman"/>
          <w:shd w:val="clear" w:color="auto" w:fill="FFFFFF"/>
          <w:lang w:eastAsia="en-GB"/>
        </w:rPr>
        <w:t xml:space="preserve">dolphin </w:t>
      </w:r>
      <w:r w:rsidR="009B6B4D" w:rsidRPr="00FA22F5">
        <w:rPr>
          <w:rFonts w:eastAsia="Times New Roman"/>
          <w:shd w:val="clear" w:color="auto" w:fill="FFFFFF"/>
          <w:lang w:eastAsia="en-GB"/>
        </w:rPr>
        <w:t>interaction</w:t>
      </w:r>
      <w:r w:rsidR="00F45E8E" w:rsidRPr="00FA22F5">
        <w:rPr>
          <w:rFonts w:eastAsia="Times New Roman"/>
          <w:shd w:val="clear" w:color="auto" w:fill="FFFFFF"/>
          <w:lang w:eastAsia="en-GB"/>
        </w:rPr>
        <w:t>s</w:t>
      </w:r>
      <w:r w:rsidR="009B6B4D" w:rsidRPr="00FA22F5">
        <w:rPr>
          <w:rFonts w:eastAsia="Times New Roman"/>
          <w:shd w:val="clear" w:color="auto" w:fill="FFFFFF"/>
          <w:lang w:eastAsia="en-GB"/>
        </w:rPr>
        <w:t xml:space="preserve"> in each cell per year (i.e. the total number of </w:t>
      </w:r>
      <w:r w:rsidR="00F45E8E" w:rsidRPr="00FA22F5">
        <w:rPr>
          <w:rFonts w:eastAsia="Times New Roman"/>
          <w:shd w:val="clear" w:color="auto" w:fill="FFFFFF"/>
          <w:lang w:eastAsia="en-GB"/>
        </w:rPr>
        <w:t xml:space="preserve">dolphin </w:t>
      </w:r>
      <w:r w:rsidR="009B6B4D" w:rsidRPr="00FA22F5">
        <w:rPr>
          <w:rFonts w:eastAsia="Times New Roman"/>
          <w:shd w:val="clear" w:color="auto" w:fill="FFFFFF"/>
          <w:lang w:eastAsia="en-GB"/>
        </w:rPr>
        <w:t xml:space="preserve">sightings where a minimum of one boat, fishing line or </w:t>
      </w:r>
      <w:r w:rsidR="009B6B4D" w:rsidRPr="00FA22F5">
        <w:rPr>
          <w:rFonts w:eastAsia="Times New Roman"/>
          <w:shd w:val="clear" w:color="auto" w:fill="FFFFFF"/>
          <w:lang w:eastAsia="en-GB"/>
        </w:rPr>
        <w:lastRenderedPageBreak/>
        <w:t>crab pot was present)</w:t>
      </w:r>
      <w:r w:rsidR="00F45E8E" w:rsidRPr="00FA22F5">
        <w:rPr>
          <w:rFonts w:eastAsia="Times New Roman"/>
          <w:shd w:val="clear" w:color="auto" w:fill="FFFFFF"/>
          <w:lang w:eastAsia="en-GB"/>
        </w:rPr>
        <w:t xml:space="preserve">. </w:t>
      </w:r>
      <w:r w:rsidR="00870B93" w:rsidRPr="00FA22F5">
        <w:rPr>
          <w:rFonts w:eastAsia="Times New Roman"/>
          <w:shd w:val="clear" w:color="auto" w:fill="FFFFFF"/>
          <w:lang w:eastAsia="en-GB"/>
        </w:rPr>
        <w:t>T</w:t>
      </w:r>
      <w:r w:rsidR="009B6B4D" w:rsidRPr="00FA22F5">
        <w:rPr>
          <w:rFonts w:eastAsia="Times New Roman"/>
          <w:shd w:val="clear" w:color="auto" w:fill="FFFFFF"/>
          <w:lang w:eastAsia="en-GB"/>
        </w:rPr>
        <w:t>he total count of fishing gear</w:t>
      </w:r>
      <w:r w:rsidR="00F45E8E" w:rsidRPr="00FA22F5">
        <w:rPr>
          <w:rFonts w:eastAsia="Times New Roman"/>
          <w:shd w:val="clear" w:color="auto" w:fill="FFFFFF"/>
          <w:lang w:eastAsia="en-GB"/>
        </w:rPr>
        <w:t xml:space="preserve"> (</w:t>
      </w:r>
      <w:r w:rsidR="00F45E8E" w:rsidRPr="00FA22F5">
        <w:t>number of boats, crab pots and fishing lines</w:t>
      </w:r>
      <w:r w:rsidR="00F45E8E" w:rsidRPr="00FA22F5">
        <w:rPr>
          <w:rFonts w:eastAsia="Times New Roman"/>
          <w:shd w:val="clear" w:color="auto" w:fill="FFFFFF"/>
          <w:lang w:eastAsia="en-GB"/>
        </w:rPr>
        <w:t>)</w:t>
      </w:r>
      <w:r w:rsidR="009B6B4D" w:rsidRPr="00FA22F5">
        <w:rPr>
          <w:rFonts w:eastAsia="Times New Roman"/>
          <w:shd w:val="clear" w:color="auto" w:fill="FFFFFF"/>
          <w:lang w:eastAsia="en-GB"/>
        </w:rPr>
        <w:t xml:space="preserve"> </w:t>
      </w:r>
      <w:r w:rsidR="00870B93" w:rsidRPr="00FA22F5">
        <w:rPr>
          <w:rFonts w:eastAsia="Times New Roman"/>
          <w:shd w:val="clear" w:color="auto" w:fill="FFFFFF"/>
          <w:lang w:eastAsia="en-GB"/>
        </w:rPr>
        <w:t xml:space="preserve">was then divided </w:t>
      </w:r>
      <w:r w:rsidR="009B6B4D" w:rsidRPr="00FA22F5">
        <w:rPr>
          <w:rFonts w:eastAsia="Times New Roman"/>
          <w:shd w:val="clear" w:color="auto" w:fill="FFFFFF"/>
          <w:lang w:eastAsia="en-GB"/>
        </w:rPr>
        <w:t xml:space="preserve">by the number of </w:t>
      </w:r>
      <w:r w:rsidR="00F45E8E" w:rsidRPr="00FA22F5">
        <w:rPr>
          <w:rFonts w:eastAsia="Times New Roman"/>
          <w:shd w:val="clear" w:color="auto" w:fill="FFFFFF"/>
          <w:lang w:eastAsia="en-GB"/>
        </w:rPr>
        <w:t xml:space="preserve">dolphin </w:t>
      </w:r>
      <w:r w:rsidR="009B6B4D" w:rsidRPr="00FA22F5">
        <w:rPr>
          <w:rFonts w:eastAsia="Times New Roman"/>
          <w:shd w:val="clear" w:color="auto" w:fill="FFFFFF"/>
          <w:lang w:eastAsia="en-GB"/>
        </w:rPr>
        <w:t xml:space="preserve">sightings with </w:t>
      </w:r>
      <w:r w:rsidR="00870B93" w:rsidRPr="00FA22F5">
        <w:rPr>
          <w:rFonts w:eastAsia="Times New Roman"/>
          <w:shd w:val="clear" w:color="auto" w:fill="FFFFFF"/>
          <w:lang w:eastAsia="en-GB"/>
        </w:rPr>
        <w:t xml:space="preserve">potential </w:t>
      </w:r>
      <w:r w:rsidR="009B6B4D" w:rsidRPr="00FA22F5">
        <w:rPr>
          <w:rFonts w:eastAsia="Times New Roman"/>
          <w:shd w:val="clear" w:color="auto" w:fill="FFFFFF"/>
          <w:lang w:eastAsia="en-GB"/>
        </w:rPr>
        <w:t>human-</w:t>
      </w:r>
      <w:r w:rsidR="00F45E8E" w:rsidRPr="00FA22F5">
        <w:rPr>
          <w:rFonts w:eastAsia="Times New Roman"/>
          <w:shd w:val="clear" w:color="auto" w:fill="FFFFFF"/>
          <w:lang w:eastAsia="en-GB"/>
        </w:rPr>
        <w:t xml:space="preserve">dolphin </w:t>
      </w:r>
      <w:r w:rsidR="009B6B4D" w:rsidRPr="00FA22F5">
        <w:rPr>
          <w:rFonts w:eastAsia="Times New Roman"/>
          <w:shd w:val="clear" w:color="auto" w:fill="FFFFFF"/>
          <w:lang w:eastAsia="en-GB"/>
        </w:rPr>
        <w:t>interaction. This produced a relative metric of </w:t>
      </w:r>
      <w:r w:rsidR="00870B93" w:rsidRPr="00FA22F5">
        <w:rPr>
          <w:rFonts w:eastAsia="Times New Roman"/>
          <w:shd w:val="clear" w:color="auto" w:fill="FFFFFF"/>
          <w:lang w:eastAsia="en-GB"/>
        </w:rPr>
        <w:t>human intensity</w:t>
      </w:r>
      <w:r w:rsidR="009B6B4D" w:rsidRPr="00FA22F5">
        <w:rPr>
          <w:rFonts w:eastAsia="Times New Roman"/>
          <w:shd w:val="clear" w:color="auto" w:fill="FFFFFF"/>
          <w:lang w:eastAsia="en-GB"/>
        </w:rPr>
        <w:t xml:space="preserve"> (per sightings with human-interaction potential) for each cell per year. </w:t>
      </w:r>
      <w:r w:rsidR="00870B93" w:rsidRPr="00FA22F5">
        <w:rPr>
          <w:rFonts w:eastAsia="Times New Roman"/>
          <w:shd w:val="clear" w:color="auto" w:fill="FFFFFF"/>
          <w:lang w:eastAsia="en-GB"/>
        </w:rPr>
        <w:t xml:space="preserve">By multiplying the relative human intensity with the encounter probability of individual dolphins, and then summing this together </w:t>
      </w:r>
      <w:r w:rsidR="009B6B4D" w:rsidRPr="00FA22F5">
        <w:rPr>
          <w:rFonts w:eastAsia="Times New Roman"/>
          <w:shd w:val="clear" w:color="auto" w:fill="FFFFFF"/>
          <w:lang w:eastAsia="en-GB"/>
        </w:rPr>
        <w:t>across all cells</w:t>
      </w:r>
      <w:r w:rsidR="00870B93" w:rsidRPr="00FA22F5">
        <w:rPr>
          <w:rFonts w:eastAsia="Times New Roman"/>
          <w:shd w:val="clear" w:color="auto" w:fill="FFFFFF"/>
          <w:lang w:eastAsia="en-GB"/>
        </w:rPr>
        <w:t xml:space="preserve">, we obtained an estimate of the </w:t>
      </w:r>
      <w:r w:rsidR="009B6B4D" w:rsidRPr="00FA22F5">
        <w:rPr>
          <w:rFonts w:eastAsia="Times New Roman"/>
          <w:shd w:val="clear" w:color="auto" w:fill="FFFFFF"/>
          <w:lang w:eastAsia="en-GB"/>
        </w:rPr>
        <w:t xml:space="preserve">total exposure </w:t>
      </w:r>
      <w:r w:rsidR="00F45E8E" w:rsidRPr="00FA22F5">
        <w:rPr>
          <w:rFonts w:eastAsia="Times New Roman"/>
          <w:shd w:val="clear" w:color="auto" w:fill="FFFFFF"/>
          <w:lang w:eastAsia="en-GB"/>
        </w:rPr>
        <w:t xml:space="preserve">to human activities </w:t>
      </w:r>
      <w:r w:rsidR="00870B93" w:rsidRPr="00FA22F5">
        <w:rPr>
          <w:rFonts w:eastAsia="Times New Roman"/>
          <w:shd w:val="clear" w:color="auto" w:fill="FFFFFF"/>
          <w:lang w:eastAsia="en-GB"/>
        </w:rPr>
        <w:t xml:space="preserve">for each individual dolphin </w:t>
      </w:r>
      <w:r w:rsidR="009B6B4D" w:rsidRPr="00FA22F5">
        <w:rPr>
          <w:rFonts w:eastAsia="Times New Roman"/>
          <w:shd w:val="clear" w:color="auto" w:fill="FFFFFF"/>
          <w:lang w:eastAsia="en-GB"/>
        </w:rPr>
        <w:t xml:space="preserve">per year. Because boats, line and crab pots were only recorded throughout the year </w:t>
      </w:r>
      <w:r w:rsidR="00870B93" w:rsidRPr="00FA22F5">
        <w:rPr>
          <w:rFonts w:eastAsia="Times New Roman"/>
          <w:shd w:val="clear" w:color="auto" w:fill="FFFFFF"/>
          <w:lang w:eastAsia="en-GB"/>
        </w:rPr>
        <w:t>in</w:t>
      </w:r>
      <w:r w:rsidR="009B6B4D" w:rsidRPr="00FA22F5">
        <w:rPr>
          <w:rFonts w:eastAsia="Times New Roman"/>
          <w:shd w:val="clear" w:color="auto" w:fill="FFFFFF"/>
          <w:lang w:eastAsia="en-GB"/>
        </w:rPr>
        <w:t xml:space="preserve"> 2013 and 2014, individual relative exposure was restricted to these two years.</w:t>
      </w:r>
    </w:p>
    <w:p w:rsidR="009B6B4D" w:rsidRPr="00FA22F5" w:rsidRDefault="009B6B4D" w:rsidP="00900153">
      <w:pPr>
        <w:spacing w:line="480" w:lineRule="auto"/>
        <w:rPr>
          <w:shd w:val="clear" w:color="auto" w:fill="FFFFFF"/>
          <w:lang w:eastAsia="en-GB"/>
        </w:rPr>
      </w:pPr>
    </w:p>
    <w:p w:rsidR="00E80EF9" w:rsidRPr="00FA22F5" w:rsidRDefault="00E80EF9" w:rsidP="00900153">
      <w:pPr>
        <w:pStyle w:val="Rubrik4"/>
        <w:spacing w:line="480" w:lineRule="auto"/>
      </w:pPr>
      <w:r w:rsidRPr="00FA22F5">
        <w:t>Coefficient of Assoc</w:t>
      </w:r>
      <w:r w:rsidR="00176785" w:rsidRPr="00FA22F5">
        <w:t xml:space="preserve">iation with conditioned </w:t>
      </w:r>
      <w:r w:rsidR="009B6B4D" w:rsidRPr="00FA22F5">
        <w:t>animals (COA)</w:t>
      </w:r>
    </w:p>
    <w:p w:rsidR="00402B8D" w:rsidRPr="00FA22F5" w:rsidRDefault="004723FF" w:rsidP="00900153">
      <w:pPr>
        <w:spacing w:line="480" w:lineRule="auto"/>
      </w:pPr>
      <w:r w:rsidRPr="00FA22F5">
        <w:t xml:space="preserve">To estimate </w:t>
      </w:r>
      <w:r w:rsidR="00A2641F" w:rsidRPr="00FA22F5">
        <w:t xml:space="preserve">the </w:t>
      </w:r>
      <w:r w:rsidR="00870B93" w:rsidRPr="00FA22F5">
        <w:t xml:space="preserve">coefficient of association </w:t>
      </w:r>
      <w:r w:rsidRPr="00FA22F5">
        <w:t>with conditioned animals</w:t>
      </w:r>
      <w:r w:rsidR="00870B93" w:rsidRPr="00FA22F5">
        <w:t xml:space="preserve"> (COA)</w:t>
      </w:r>
      <w:r w:rsidRPr="00FA22F5">
        <w:t xml:space="preserve">, we used sighting data of dolphin groups between </w:t>
      </w:r>
      <w:r w:rsidR="00385152" w:rsidRPr="00FA22F5">
        <w:t>1993</w:t>
      </w:r>
      <w:r w:rsidRPr="00FA22F5">
        <w:t xml:space="preserve"> and 2014. </w:t>
      </w:r>
      <w:r w:rsidR="00A2641F" w:rsidRPr="00FA22F5">
        <w:t>Each day was considered a</w:t>
      </w:r>
      <w:r w:rsidR="00176785" w:rsidRPr="00FA22F5">
        <w:t>n independent</w:t>
      </w:r>
      <w:r w:rsidR="00A2641F" w:rsidRPr="00FA22F5">
        <w:t xml:space="preserve"> sampling period. </w:t>
      </w:r>
      <w:r w:rsidRPr="00FA22F5">
        <w:t xml:space="preserve">For each dolphin group sighting, the </w:t>
      </w:r>
      <w:r w:rsidR="00575124" w:rsidRPr="00FA22F5">
        <w:t>number of individuals in that group was</w:t>
      </w:r>
      <w:r w:rsidRPr="00FA22F5">
        <w:t xml:space="preserve"> identified using photo ID. </w:t>
      </w:r>
      <w:r w:rsidR="00A704A9" w:rsidRPr="00FA22F5">
        <w:t xml:space="preserve">The </w:t>
      </w:r>
      <w:r w:rsidR="00870B93" w:rsidRPr="00FA22F5">
        <w:t>coefficient of association</w:t>
      </w:r>
      <w:r w:rsidR="00A704A9" w:rsidRPr="00FA22F5">
        <w:t xml:space="preserve"> </w:t>
      </w:r>
      <w:r w:rsidRPr="00FA22F5">
        <w:t xml:space="preserve">between </w:t>
      </w:r>
      <w:r w:rsidR="00A2641F" w:rsidRPr="00FA22F5">
        <w:t xml:space="preserve">all individuals within Sarasota Bay was </w:t>
      </w:r>
      <w:r w:rsidR="00176785" w:rsidRPr="00FA22F5">
        <w:t xml:space="preserve">then </w:t>
      </w:r>
      <w:r w:rsidR="00A2641F" w:rsidRPr="00FA22F5">
        <w:t xml:space="preserve">calculated between </w:t>
      </w:r>
      <w:r w:rsidR="00385152" w:rsidRPr="00FA22F5">
        <w:t>1993</w:t>
      </w:r>
      <w:r w:rsidR="00A2641F" w:rsidRPr="00FA22F5">
        <w:t xml:space="preserve"> and 2014, using</w:t>
      </w:r>
      <w:r w:rsidR="00A704A9" w:rsidRPr="00FA22F5">
        <w:t xml:space="preserve"> the h</w:t>
      </w:r>
      <w:r w:rsidR="00552E3E" w:rsidRPr="00FA22F5">
        <w:t xml:space="preserve">alf-weight association index </w:t>
      </w:r>
      <w:r w:rsidR="00A15A97" w:rsidRPr="00FA22F5">
        <w:t>(</w:t>
      </w:r>
      <w:r w:rsidR="00A15A97" w:rsidRPr="00FA22F5">
        <w:rPr>
          <w:i/>
        </w:rPr>
        <w:t>AI</w:t>
      </w:r>
      <w:r w:rsidR="00A15A97" w:rsidRPr="00FA22F5">
        <w:t xml:space="preserve">) </w:t>
      </w:r>
      <w:r w:rsidR="00552E3E" w:rsidRPr="00FA22F5">
        <w:fldChar w:fldCharType="begin" w:fldLock="1"/>
      </w:r>
      <w:r w:rsidR="00ED0990" w:rsidRPr="00FA22F5">
        <w:instrText>ADDIN CSL_CITATION { "citationItems" : [ { "id" : "ITEM-1", "itemData" : { "author" : [ { "dropping-particle" : "", "family" : "Whitehead", "given" : "H", "non-dropping-particle" : "", "parse-names" : false, "suffix" : "" } ], "id" : "ITEM-1", "issued" : { "date-parts" : [ [ "2008" ] ] }, "number-of-pages" : "97-100", "publisher" : "University of Chicago Press", "title" : "Analyzing animal societies: quantitative methods for vertebrate social analysis", "type" : "book" }, "uris" : [ "http://www.mendeley.com/documents/?uuid=cd40bc03-946e-4295-be81-a058f397ebef" ] } ], "mendeley" : { "formattedCitation" : "[10]", "plainTextFormattedCitation" : "[10]", "previouslyFormattedCitation" : "[10]" }, "properties" : { "noteIndex" : 0 }, "schema" : "https://github.com/citation-style-language/schema/raw/master/csl-citation.json" }</w:instrText>
      </w:r>
      <w:r w:rsidR="00552E3E" w:rsidRPr="00FA22F5">
        <w:fldChar w:fldCharType="separate"/>
      </w:r>
      <w:r w:rsidR="00ED0990" w:rsidRPr="00FA22F5">
        <w:rPr>
          <w:noProof/>
        </w:rPr>
        <w:t>[10]</w:t>
      </w:r>
      <w:r w:rsidR="00552E3E" w:rsidRPr="00FA22F5">
        <w:fldChar w:fldCharType="end"/>
      </w:r>
      <w:r w:rsidR="00402B8D" w:rsidRPr="00FA22F5">
        <w:t>:</w:t>
      </w:r>
    </w:p>
    <w:p w:rsidR="00176785" w:rsidRPr="00FA22F5" w:rsidRDefault="00176785" w:rsidP="00900153">
      <w:pPr>
        <w:spacing w:line="480" w:lineRule="auto"/>
      </w:pPr>
    </w:p>
    <w:p w:rsidR="00402B8D" w:rsidRPr="00FA22F5" w:rsidRDefault="00A15A97" w:rsidP="00900153">
      <w:pPr>
        <w:spacing w:line="480" w:lineRule="auto"/>
        <w:rPr>
          <w:rFonts w:eastAsiaTheme="minorEastAsia"/>
        </w:rPr>
      </w:pPr>
      <m:oMathPara>
        <m:oMathParaPr>
          <m:jc m:val="left"/>
        </m:oMathParaPr>
        <m:oMath>
          <m:r>
            <w:rPr>
              <w:rFonts w:ascii="Cambria Math" w:hAnsi="Cambria Math"/>
            </w:rPr>
            <m:t>AI</m:t>
          </m:r>
          <m:r>
            <m:rPr>
              <m:sty m:val="p"/>
            </m:rPr>
            <w:rPr>
              <w:rFonts w:ascii="Cambria Math" w:hAnsi="Cambria Math"/>
            </w:rPr>
            <m:t>=</m:t>
          </m:r>
          <m:f>
            <m:fPr>
              <m:ctrlPr>
                <w:rPr>
                  <w:rFonts w:ascii="Cambria Math" w:hAnsi="Cambria Math"/>
                </w:rPr>
              </m:ctrlPr>
            </m:fPr>
            <m:num>
              <m:r>
                <w:rPr>
                  <w:rFonts w:ascii="Cambria Math" w:hAnsi="Cambria Math"/>
                </w:rPr>
                <m:t>x</m:t>
              </m:r>
            </m:num>
            <m:den>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AB</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B</m:t>
                      </m:r>
                    </m:sub>
                  </m:sSub>
                </m:e>
              </m:d>
            </m:den>
          </m:f>
        </m:oMath>
      </m:oMathPara>
    </w:p>
    <w:p w:rsidR="00176785" w:rsidRPr="00FA22F5" w:rsidRDefault="00176785" w:rsidP="00900153">
      <w:pPr>
        <w:spacing w:line="480" w:lineRule="auto"/>
      </w:pPr>
    </w:p>
    <w:p w:rsidR="00A704A9" w:rsidRPr="00FA22F5" w:rsidRDefault="00402B8D" w:rsidP="00900153">
      <w:pPr>
        <w:spacing w:line="480" w:lineRule="auto"/>
      </w:pPr>
      <w:r w:rsidRPr="00FA22F5">
        <w:t xml:space="preserve">where </w:t>
      </w:r>
      <w:r w:rsidRPr="00FA22F5">
        <w:rPr>
          <w:i/>
        </w:rPr>
        <w:t>x</w:t>
      </w:r>
      <w:r w:rsidRPr="00FA22F5">
        <w:t xml:space="preserve"> is the number of sampling period</w:t>
      </w:r>
      <w:r w:rsidR="00A704A9" w:rsidRPr="00FA22F5">
        <w:t xml:space="preserve"> </w:t>
      </w:r>
      <w:r w:rsidR="00A2641F" w:rsidRPr="00FA22F5">
        <w:t xml:space="preserve">(i.e. day) </w:t>
      </w:r>
      <w:r w:rsidRPr="00FA22F5">
        <w:t xml:space="preserve">with individual </w:t>
      </w:r>
      <w:r w:rsidRPr="00FA22F5">
        <w:rPr>
          <w:i/>
        </w:rPr>
        <w:t>A</w:t>
      </w:r>
      <w:r w:rsidRPr="00FA22F5">
        <w:t xml:space="preserve"> and </w:t>
      </w:r>
      <w:r w:rsidRPr="00FA22F5">
        <w:rPr>
          <w:i/>
        </w:rPr>
        <w:t>B</w:t>
      </w:r>
      <w:r w:rsidRPr="00FA22F5">
        <w:t xml:space="preserve"> observed associated (i.e. in the same sighting), </w:t>
      </w:r>
      <w:r w:rsidRPr="00FA22F5">
        <w:rPr>
          <w:i/>
        </w:rPr>
        <w:t>y</w:t>
      </w:r>
      <w:r w:rsidRPr="00FA22F5">
        <w:rPr>
          <w:i/>
          <w:vertAlign w:val="subscript"/>
        </w:rPr>
        <w:t>A</w:t>
      </w:r>
      <w:r w:rsidRPr="00FA22F5">
        <w:t xml:space="preserve"> is the number of sampling periods with only individual </w:t>
      </w:r>
      <w:r w:rsidRPr="00FA22F5">
        <w:rPr>
          <w:i/>
        </w:rPr>
        <w:t>A</w:t>
      </w:r>
      <w:r w:rsidRPr="00FA22F5">
        <w:t xml:space="preserve"> identified, </w:t>
      </w:r>
      <w:r w:rsidRPr="00FA22F5">
        <w:rPr>
          <w:i/>
        </w:rPr>
        <w:t>y</w:t>
      </w:r>
      <w:r w:rsidRPr="00FA22F5">
        <w:rPr>
          <w:i/>
          <w:vertAlign w:val="subscript"/>
        </w:rPr>
        <w:t>B</w:t>
      </w:r>
      <w:r w:rsidRPr="00FA22F5">
        <w:t xml:space="preserve"> is the number of sampling periods with only individual </w:t>
      </w:r>
      <w:r w:rsidRPr="00FA22F5">
        <w:rPr>
          <w:i/>
        </w:rPr>
        <w:t>B</w:t>
      </w:r>
      <w:r w:rsidR="00A704A9" w:rsidRPr="00FA22F5">
        <w:t xml:space="preserve"> identified and </w:t>
      </w:r>
      <w:r w:rsidR="00A704A9" w:rsidRPr="00FA22F5">
        <w:rPr>
          <w:i/>
        </w:rPr>
        <w:t>y</w:t>
      </w:r>
      <w:r w:rsidR="00A704A9" w:rsidRPr="00FA22F5">
        <w:rPr>
          <w:i/>
          <w:vertAlign w:val="subscript"/>
        </w:rPr>
        <w:t>AB</w:t>
      </w:r>
      <w:r w:rsidR="00A704A9" w:rsidRPr="00FA22F5">
        <w:t xml:space="preserve"> is the number of sampling periods with individual </w:t>
      </w:r>
      <w:r w:rsidR="00A704A9" w:rsidRPr="00FA22F5">
        <w:rPr>
          <w:i/>
        </w:rPr>
        <w:t>A</w:t>
      </w:r>
      <w:r w:rsidR="00A704A9" w:rsidRPr="00FA22F5">
        <w:t xml:space="preserve"> and </w:t>
      </w:r>
      <w:r w:rsidR="00A704A9" w:rsidRPr="00FA22F5">
        <w:rPr>
          <w:i/>
        </w:rPr>
        <w:t>B</w:t>
      </w:r>
      <w:r w:rsidR="00A704A9" w:rsidRPr="00FA22F5">
        <w:t xml:space="preserve"> identified but not associated (both individuals observed in separate sightings within the same day).</w:t>
      </w:r>
    </w:p>
    <w:p w:rsidR="00A2641F" w:rsidRPr="00FA22F5" w:rsidRDefault="00A2641F" w:rsidP="00900153">
      <w:pPr>
        <w:spacing w:line="480" w:lineRule="auto"/>
      </w:pPr>
    </w:p>
    <w:p w:rsidR="00402B8D" w:rsidRPr="00FA22F5" w:rsidRDefault="00A704A9" w:rsidP="00900153">
      <w:pPr>
        <w:spacing w:line="480" w:lineRule="auto"/>
      </w:pPr>
      <w:r w:rsidRPr="00FA22F5">
        <w:t xml:space="preserve">The average </w:t>
      </w:r>
      <w:r w:rsidR="00A15A97" w:rsidRPr="00FA22F5">
        <w:t>coefficient of association</w:t>
      </w:r>
      <w:r w:rsidRPr="00FA22F5">
        <w:t xml:space="preserve"> of an individual to all conditioned dolphins </w:t>
      </w:r>
      <w:r w:rsidR="00A15A97" w:rsidRPr="00FA22F5">
        <w:t xml:space="preserve">in the population </w:t>
      </w:r>
      <w:r w:rsidRPr="00FA22F5">
        <w:t xml:space="preserve">was </w:t>
      </w:r>
      <w:r w:rsidR="00A15A97" w:rsidRPr="00FA22F5">
        <w:t xml:space="preserve">then </w:t>
      </w:r>
      <w:r w:rsidRPr="00FA22F5">
        <w:t xml:space="preserve">estimated </w:t>
      </w:r>
      <w:r w:rsidRPr="00FA22F5">
        <w:fldChar w:fldCharType="begin" w:fldLock="1"/>
      </w:r>
      <w:r w:rsidR="004A4997" w:rsidRPr="00FA22F5">
        <w:instrText>ADDIN CSL_CITATION { "citationItems" : [ { "id" : "ITEM-1", "itemData" : { "DOI" : "10.1111/j.1469-1795.2012.00548.x", "ISBN" : "1469-1795", "ISSN" : "13679430", "abstract" : "Although harmful human\u2013wildlife interactions involving anthropogenic food sources are a significant issue for wildlife conservation, few studies have addressed whether social learning may influence how animals learn to use anthropogenic foods. We examined a long-term (1993\u20132003) human\u2013wildlife interaction involving the illegal feeding of bottlenose dolphins (Tursiops aduncus) by recreational fishers in south-western Australia. We developed predictor variables for whether dolphins learned to accept food handouts from human provisioners, based on biological (age-class, sex) and behavioural (ranging and association patterns) data for a population of 74 dolphins. Two variables provided clear predictors for whether dolphins became conditioned to food handouts: the use of areas with high densities of recreational boats (BOAT) and the average coefficient of association with previously conditioned dolphins (ASSOC). An individual was more likely to become conditioned when it spent more time in high boat density areas and when it spent more time with other conditioned dolphins. When considering all the models available, there was strong weight of evidence for the effects of ASSOC and BOAT on the response variable. We were unable to detect any effects of age-class and sex with the available statistical power. These findings suggest that social learning can facilitate the acquisition of undesirable and maladaptive behaviours in wildlife, and indicate the value of long-term individual-specific data for the conservation management of wildlife engaging in undesirable interactions with humans.", "author" : [ { "dropping-particle" : "", "family" : "Donaldson", "given" : "R", "non-dropping-particle" : "", "parse-names" : false, "suffix" : "" }, { "dropping-particle" : "", "family" : "Finn", "given" : "H", "non-dropping-particle" : "", "parse-names" : false, "suffix" : "" }, { "dropping-particle" : "", "family" : "Bejder", "given" : "L", "non-dropping-particle" : "", "parse-names" : false, "suffix" : "" }, { "dropping-particle" : "", "family" : "Lusseau", "given" : "D", "non-dropping-particle" : "", "parse-names" : false, "suffix" : "" }, { "dropping-particle" : "", "family" : "Calver", "given" : "M", "non-dropping-particle" : "", "parse-names" : false, "suffix" : "" } ], "container-title" : "Animal Conservation", "id" : "ITEM-1", "issued" : { "date-parts" : [ [ "2012" ] ] }, "page" : "427-435", "title" : "The social side of human-wildlife interaction: wildlife can learn harmful behaviours from each other", "type" : "article-journal", "volume" : "15" }, "uris" : [ "http://www.mendeley.com/documents/?uuid=f15b0994-21b6-48b0-898f-da05283b35fc" ] } ], "mendeley" : { "formattedCitation" : "[6]", "plainTextFormattedCitation" : "[6]", "previouslyFormattedCitation" : "[6]" }, "properties" : { "noteIndex" : 0 }, "schema" : "https://github.com/citation-style-language/schema/raw/master/csl-citation.json" }</w:instrText>
      </w:r>
      <w:r w:rsidRPr="00FA22F5">
        <w:fldChar w:fldCharType="separate"/>
      </w:r>
      <w:r w:rsidR="004A4997" w:rsidRPr="00FA22F5">
        <w:rPr>
          <w:noProof/>
        </w:rPr>
        <w:t>[6]</w:t>
      </w:r>
      <w:r w:rsidRPr="00FA22F5">
        <w:fldChar w:fldCharType="end"/>
      </w:r>
      <w:r w:rsidR="002528F0" w:rsidRPr="00FA22F5">
        <w:t xml:space="preserve">. </w:t>
      </w:r>
      <w:r w:rsidR="004723FF" w:rsidRPr="00FA22F5">
        <w:t xml:space="preserve">To determine the COA for dolphins that became conditioned during the study, we used COA data for years before they became conditioned. Because we did not know the time period over which conditioning is </w:t>
      </w:r>
      <w:r w:rsidR="00A15A97" w:rsidRPr="00FA22F5">
        <w:t>transmitted between dolphins</w:t>
      </w:r>
      <w:r w:rsidR="004723FF" w:rsidRPr="00FA22F5">
        <w:t xml:space="preserve">, we estimated the average COA over periods of one to five years prior to conditioning. For unconditioned animals, the average COA was estimated over one to five years before the end of the study (2014). </w:t>
      </w:r>
      <w:r w:rsidRPr="00FA22F5">
        <w:t xml:space="preserve">Only individuals that had been sighted </w:t>
      </w:r>
      <w:r w:rsidR="004723FF" w:rsidRPr="00FA22F5">
        <w:t xml:space="preserve">on </w:t>
      </w:r>
      <w:r w:rsidRPr="00FA22F5">
        <w:t xml:space="preserve">at least 10 days during the study period </w:t>
      </w:r>
      <w:r w:rsidR="004723FF" w:rsidRPr="00FA22F5">
        <w:t>were</w:t>
      </w:r>
      <w:r w:rsidRPr="00FA22F5">
        <w:t xml:space="preserve"> included in analysis.</w:t>
      </w:r>
      <w:r w:rsidR="004723FF" w:rsidRPr="00FA22F5">
        <w:t xml:space="preserve"> Unconditioned animals that died during the study period (n=</w:t>
      </w:r>
      <w:r w:rsidR="00981107" w:rsidRPr="00FA22F5">
        <w:t>44</w:t>
      </w:r>
      <w:r w:rsidR="004723FF" w:rsidRPr="00FA22F5">
        <w:t>) were also removed from analysis.</w:t>
      </w:r>
    </w:p>
    <w:p w:rsidR="00E60F75" w:rsidRPr="00FA22F5" w:rsidRDefault="00E60F75" w:rsidP="00900153">
      <w:pPr>
        <w:spacing w:line="480" w:lineRule="auto"/>
      </w:pPr>
    </w:p>
    <w:p w:rsidR="00E60F75" w:rsidRPr="00FA22F5" w:rsidRDefault="00E60F75" w:rsidP="00900153">
      <w:pPr>
        <w:pStyle w:val="Rubrik4"/>
        <w:spacing w:line="480" w:lineRule="auto"/>
      </w:pPr>
      <w:r w:rsidRPr="00FA22F5">
        <w:t>Age and Sex</w:t>
      </w:r>
    </w:p>
    <w:p w:rsidR="00385152" w:rsidRPr="00FA22F5" w:rsidRDefault="00403748" w:rsidP="00900153">
      <w:pPr>
        <w:spacing w:line="480" w:lineRule="auto"/>
      </w:pPr>
      <w:r w:rsidRPr="00FA22F5">
        <w:t xml:space="preserve">The </w:t>
      </w:r>
      <w:r w:rsidR="00E60F75" w:rsidRPr="00FA22F5">
        <w:t>age of 237 dolphins</w:t>
      </w:r>
      <w:r w:rsidRPr="00FA22F5">
        <w:t xml:space="preserve"> was either determined from longitudinal sighting histories for individuals known since birth (sighting histories for some individuals began as early as 1970) </w:t>
      </w:r>
      <w:r w:rsidR="00E6543C" w:rsidRPr="00FA22F5">
        <w:fldChar w:fldCharType="begin" w:fldLock="1"/>
      </w:r>
      <w:r w:rsidR="004A4997" w:rsidRPr="00FA22F5">
        <w:instrText>ADDIN CSL_CITATION { "citationItems" : [ { "id" : "ITEM-1", "itemData" : { "DOI" : "10.1002/zoo.20252", "ISBN" : "1098-2361", "ISSN" : "07333188", "PMID" : "19434729", "abstract" : "The world's longest-running study of a wild dolphin population, operated by the Chicago Zoological Society since 1989, has focused on the multi-generational resident community of about 160 bottlenose dolphins in Sarasota Bay, Florida, since 1970. Observational and capture-release research on the biology, behavior, life history, ecology, and health of individually identifiable bay residents of up to 59 years of age and spanning five generations has helped to inform collection managers at the Brookfield Zoo and partner institutions. Age, sex, and genetic compositions of colonies at cooperating institutions have been based on observations of social structure and genetic paternity testing in Sarasota Bay to optimize breeding success. Breeding success, including calf survivorship, is evaluated relative to individual wild dolphin reproductive histories, spanning as many as nine calves and four decades. Individual rearing patterns for wild dolphins provide guidance for determining how long to keep mothers and calves together, and help to define the next steps in the calves' social development. Health assessments provide data on expected ranges of blood, milk and urine values, morphometrics, and body condition relative to age, sex, and reproductive condition. Calf growth can be compared with wild values. Target weights and blubber thicknesses for specific age and sex classes in specified water temperatures are available for wild dolphins, and caloric intakes can be adjusted accordingly to meet the targets. A strength of the program is the ability to monitor individuals throughout their lives, and to be able to define individual ranges of variability through ontogenetic stages.", "author" : [ { "dropping-particle" : "", "family" : "Wells", "given" : "R S", "non-dropping-particle" : "", "parse-names" : false, "suffix" : "" } ], "container-title" : "Zoo Biology", "id" : "ITEM-1", "issued" : { "date-parts" : [ [ "2009" ] ] }, "page" : "635-651", "title" : "Learning from nature: Bottlenose dolphin care and husbandry", "type" : "article-journal", "volume" : "28" }, "uris" : [ "http://www.mendeley.com/documents/?uuid=3051f3f2-4f16-4a56-b422-6e69bbabda96" ] } ], "mendeley" : { "formattedCitation" : "[2]", "plainTextFormattedCitation" : "[2]", "previouslyFormattedCitation" : "[2]" }, "properties" : { "noteIndex" : 0 }, "schema" : "https://github.com/citation-style-language/schema/raw/master/csl-citation.json" }</w:instrText>
      </w:r>
      <w:r w:rsidR="00E6543C" w:rsidRPr="00FA22F5">
        <w:fldChar w:fldCharType="separate"/>
      </w:r>
      <w:r w:rsidR="004A4997" w:rsidRPr="00FA22F5">
        <w:rPr>
          <w:noProof/>
        </w:rPr>
        <w:t>[2]</w:t>
      </w:r>
      <w:r w:rsidR="00E6543C" w:rsidRPr="00FA22F5">
        <w:fldChar w:fldCharType="end"/>
      </w:r>
      <w:r w:rsidRPr="00FA22F5">
        <w:t xml:space="preserve"> or was estimated from examination of growth layer groups in teeth extracted during necropsy or under local anaesthesia during capture-release efforts </w:t>
      </w:r>
      <w:r w:rsidR="00E6543C" w:rsidRPr="00FA22F5">
        <w:fldChar w:fldCharType="begin" w:fldLock="1"/>
      </w:r>
      <w:r w:rsidR="00ED0990" w:rsidRPr="00FA22F5">
        <w:instrText>ADDIN CSL_CITATION { "citationItems" : [ { "id" : "ITEM-1", "itemData" : { "author" : [ { "dropping-particle" : "", "family" : "Hohn", "given" : "A A", "non-dropping-particle" : "", "parse-names" : false, "suffix" : "" }, { "dropping-particle" : "", "family" : "Scott", "given" : "M D", "non-dropping-particle" : "", "parse-names" : false, "suffix" : "" }, { "dropping-particle" : "", "family" : "Wells", "given" : "R S", "non-dropping-particle" : "", "parse-names" : false, "suffix" : "" }, { "dropping-particle" : "", "family" : "Sweeney", "given" : "J C", "non-dropping-particle" : "", "parse-names" : false, "suffix" : "" } ], "container-title" : "Marine Mammal Science", "id" : "ITEM-1", "issued" : { "date-parts" : [ [ "1989" ] ] }, "page" : "315-342", "title" : "Growth layers in teeth from known-age, free-ranging bottlenose dolphins", "type" : "article-journal", "volume" : "5" }, "uris" : [ "http://www.mendeley.com/documents/?uuid=6727e7cc-8bcf-4deb-babe-0289baba2835" ] } ], "mendeley" : { "formattedCitation" : "[11]", "plainTextFormattedCitation" : "[11]", "previouslyFormattedCitation" : "[11]" }, "properties" : { "noteIndex" : 0 }, "schema" : "https://github.com/citation-style-language/schema/raw/master/csl-citation.json" }</w:instrText>
      </w:r>
      <w:r w:rsidR="00E6543C" w:rsidRPr="00FA22F5">
        <w:fldChar w:fldCharType="separate"/>
      </w:r>
      <w:r w:rsidR="00ED0990" w:rsidRPr="00FA22F5">
        <w:rPr>
          <w:noProof/>
        </w:rPr>
        <w:t>[11]</w:t>
      </w:r>
      <w:r w:rsidR="00E6543C" w:rsidRPr="00FA22F5">
        <w:fldChar w:fldCharType="end"/>
      </w:r>
      <w:r w:rsidR="00E60F75" w:rsidRPr="00FA22F5">
        <w:t xml:space="preserve">. The sex of 264 individual dolphins was determined </w:t>
      </w:r>
      <w:r w:rsidR="00385152" w:rsidRPr="00FA22F5">
        <w:t xml:space="preserve">either by direct observation or examination of the genital region, genetics, or, for some females, repeated observation with a dependent calf </w:t>
      </w:r>
      <w:r w:rsidR="00385152" w:rsidRPr="00FA22F5">
        <w:fldChar w:fldCharType="begin" w:fldLock="1"/>
      </w:r>
      <w:r w:rsidR="004A4997" w:rsidRPr="00FA22F5">
        <w:instrText>ADDIN CSL_CITATION { "citationItems" : [ { "id" : "ITEM-1", "itemData" : { "DOI" : "10.1002/zoo.20252", "ISBN" : "1098-2361", "ISSN" : "07333188", "PMID" : "19434729", "abstract" : "The world's longest-running study of a wild dolphin population, operated by the Chicago Zoological Society since 1989, has focused on the multi-generational resident community of about 160 bottlenose dolphins in Sarasota Bay, Florida, since 1970. Observational and capture-release research on the biology, behavior, life history, ecology, and health of individually identifiable bay residents of up to 59 years of age and spanning five generations has helped to inform collection managers at the Brookfield Zoo and partner institutions. Age, sex, and genetic compositions of colonies at cooperating institutions have been based on observations of social structure and genetic paternity testing in Sarasota Bay to optimize breeding success. Breeding success, including calf survivorship, is evaluated relative to individual wild dolphin reproductive histories, spanning as many as nine calves and four decades. Individual rearing patterns for wild dolphins provide guidance for determining how long to keep mothers and calves together, and help to define the next steps in the calves' social development. Health assessments provide data on expected ranges of blood, milk and urine values, morphometrics, and body condition relative to age, sex, and reproductive condition. Calf growth can be compared with wild values. Target weights and blubber thicknesses for specific age and sex classes in specified water temperatures are available for wild dolphins, and caloric intakes can be adjusted accordingly to meet the targets. A strength of the program is the ability to monitor individuals throughout their lives, and to be able to define individual ranges of variability through ontogenetic stages.", "author" : [ { "dropping-particle" : "", "family" : "Wells", "given" : "R S", "non-dropping-particle" : "", "parse-names" : false, "suffix" : "" } ], "container-title" : "Zoo Biology", "id" : "ITEM-1", "issued" : { "date-parts" : [ [ "2009" ] ] }, "page" : "635-651", "title" : "Learning from nature: Bottlenose dolphin care and husbandry", "type" : "article-journal", "volume" : "28" }, "uris" : [ "http://www.mendeley.com/documents/?uuid=3051f3f2-4f16-4a56-b422-6e69bbabda96" ] } ], "mendeley" : { "formattedCitation" : "[2]", "plainTextFormattedCitation" : "[2]", "previouslyFormattedCitation" : "[2]" }, "properties" : { "noteIndex" : 0 }, "schema" : "https://github.com/citation-style-language/schema/raw/master/csl-citation.json" }</w:instrText>
      </w:r>
      <w:r w:rsidR="00385152" w:rsidRPr="00FA22F5">
        <w:fldChar w:fldCharType="separate"/>
      </w:r>
      <w:r w:rsidR="004A4997" w:rsidRPr="00FA22F5">
        <w:rPr>
          <w:noProof/>
        </w:rPr>
        <w:t>[2]</w:t>
      </w:r>
      <w:r w:rsidR="00385152" w:rsidRPr="00FA22F5">
        <w:fldChar w:fldCharType="end"/>
      </w:r>
      <w:r w:rsidR="00385152" w:rsidRPr="00FA22F5">
        <w:t>.</w:t>
      </w:r>
    </w:p>
    <w:p w:rsidR="00385152" w:rsidRPr="00FA22F5" w:rsidRDefault="00385152" w:rsidP="00900153">
      <w:pPr>
        <w:spacing w:line="480" w:lineRule="auto"/>
      </w:pPr>
    </w:p>
    <w:p w:rsidR="009B6B4D" w:rsidRPr="00FA22F5" w:rsidRDefault="009B6B4D" w:rsidP="00900153">
      <w:pPr>
        <w:pStyle w:val="Rubrik3"/>
        <w:spacing w:line="480" w:lineRule="auto"/>
      </w:pPr>
      <w:r w:rsidRPr="00FA22F5">
        <w:t xml:space="preserve">Variables affecting </w:t>
      </w:r>
      <w:r w:rsidR="00B0292E" w:rsidRPr="00FA22F5">
        <w:t xml:space="preserve">the </w:t>
      </w:r>
      <w:r w:rsidRPr="00FA22F5">
        <w:t>number of conditioned dolphins</w:t>
      </w:r>
    </w:p>
    <w:p w:rsidR="001A4D83" w:rsidRPr="00FA22F5" w:rsidRDefault="001A4D83" w:rsidP="00900153">
      <w:pPr>
        <w:spacing w:line="480" w:lineRule="auto"/>
      </w:pPr>
    </w:p>
    <w:p w:rsidR="009B6B4D" w:rsidRPr="00FA22F5" w:rsidRDefault="009B6B4D" w:rsidP="00900153">
      <w:pPr>
        <w:pStyle w:val="Rubrik4"/>
        <w:spacing w:line="480" w:lineRule="auto"/>
      </w:pPr>
      <w:r w:rsidRPr="00FA22F5">
        <w:t>Boat intensity</w:t>
      </w:r>
    </w:p>
    <w:p w:rsidR="002A0FA6" w:rsidRPr="00FA22F5" w:rsidRDefault="009B6B4D" w:rsidP="00900153">
      <w:pPr>
        <w:spacing w:line="480" w:lineRule="auto"/>
      </w:pPr>
      <w:r w:rsidRPr="00FA22F5">
        <w:t xml:space="preserve">Temporal data on the annual number of registered boats (dealer, pleasure and commercial) in Manatee County and Sarasota County </w:t>
      </w:r>
      <w:r w:rsidR="00A15A97" w:rsidRPr="00FA22F5">
        <w:t>(</w:t>
      </w:r>
      <w:r w:rsidR="004A4997" w:rsidRPr="00FA22F5">
        <w:t>figure</w:t>
      </w:r>
      <w:r w:rsidR="00A15A97" w:rsidRPr="00FA22F5">
        <w:t xml:space="preserve"> 1) </w:t>
      </w:r>
      <w:r w:rsidRPr="00FA22F5">
        <w:t xml:space="preserve">was obtained from the </w:t>
      </w:r>
      <w:r w:rsidR="008A7566" w:rsidRPr="00FA22F5">
        <w:t xml:space="preserve">Florida </w:t>
      </w:r>
      <w:r w:rsidRPr="00FA22F5">
        <w:t xml:space="preserve">Department of </w:t>
      </w:r>
      <w:r w:rsidR="008A7566" w:rsidRPr="00FA22F5">
        <w:t xml:space="preserve">Highway Safety and </w:t>
      </w:r>
      <w:r w:rsidRPr="00FA22F5">
        <w:t>Motor Vehicles between 2000 and 2014</w:t>
      </w:r>
      <w:r w:rsidR="008A7566" w:rsidRPr="00FA22F5">
        <w:t xml:space="preserve"> (available at: </w:t>
      </w:r>
      <w:r w:rsidR="008A7566" w:rsidRPr="00FA22F5">
        <w:lastRenderedPageBreak/>
        <w:t>http://www.flhsmv.gov/dmv/vslfacts.html)</w:t>
      </w:r>
      <w:r w:rsidRPr="00FA22F5">
        <w:t>.</w:t>
      </w:r>
      <w:r w:rsidR="002A0FA6" w:rsidRPr="00FA22F5">
        <w:t xml:space="preserve"> To investigate the effect of boat intensity on the number of conditioned dolphins, boat numbers were analysed separately (dealer, pleasure and commercial) as well as together, </w:t>
      </w:r>
      <w:r w:rsidR="007E1420" w:rsidRPr="00FA22F5">
        <w:t xml:space="preserve">and also </w:t>
      </w:r>
      <w:r w:rsidR="002A0FA6" w:rsidRPr="00FA22F5">
        <w:t xml:space="preserve">for the two counties </w:t>
      </w:r>
      <w:r w:rsidR="007E1420" w:rsidRPr="00FA22F5">
        <w:t>separately and together.</w:t>
      </w:r>
    </w:p>
    <w:p w:rsidR="009B6B4D" w:rsidRPr="00FA22F5" w:rsidRDefault="009B6B4D" w:rsidP="00900153">
      <w:pPr>
        <w:spacing w:line="480" w:lineRule="auto"/>
      </w:pPr>
    </w:p>
    <w:p w:rsidR="009B6B4D" w:rsidRPr="00FA22F5" w:rsidRDefault="009B6B4D" w:rsidP="00900153">
      <w:pPr>
        <w:pStyle w:val="Rubrik4"/>
        <w:spacing w:line="480" w:lineRule="auto"/>
      </w:pPr>
      <w:r w:rsidRPr="00FA22F5">
        <w:t xml:space="preserve">Average </w:t>
      </w:r>
      <w:r w:rsidR="007E1420" w:rsidRPr="00FA22F5">
        <w:t>c</w:t>
      </w:r>
      <w:r w:rsidRPr="00FA22F5">
        <w:t xml:space="preserve">oefficient of </w:t>
      </w:r>
      <w:r w:rsidR="007E1420" w:rsidRPr="00FA22F5">
        <w:t>a</w:t>
      </w:r>
      <w:r w:rsidRPr="00FA22F5">
        <w:t>ssociation with conditioned animals</w:t>
      </w:r>
    </w:p>
    <w:p w:rsidR="009B6B4D" w:rsidRPr="00FA22F5" w:rsidRDefault="00B90601" w:rsidP="00900153">
      <w:pPr>
        <w:spacing w:line="480" w:lineRule="auto"/>
      </w:pPr>
      <w:r w:rsidRPr="00FA22F5">
        <w:t xml:space="preserve">To investigate yearly variation in number of conditioned dolphins, the average COA for all </w:t>
      </w:r>
      <w:r w:rsidR="00F93899" w:rsidRPr="00FA22F5">
        <w:t>un</w:t>
      </w:r>
      <w:r w:rsidRPr="00FA22F5">
        <w:t xml:space="preserve">conditioned animals for a given year was </w:t>
      </w:r>
      <w:r w:rsidR="00D026E6" w:rsidRPr="00FA22F5">
        <w:t>calculated</w:t>
      </w:r>
      <w:r w:rsidRPr="00FA22F5">
        <w:t>.</w:t>
      </w:r>
    </w:p>
    <w:p w:rsidR="009B6B4D" w:rsidRPr="00FA22F5" w:rsidRDefault="009B6B4D" w:rsidP="00900153">
      <w:pPr>
        <w:spacing w:line="480" w:lineRule="auto"/>
      </w:pPr>
    </w:p>
    <w:p w:rsidR="009B6B4D" w:rsidRPr="00FA22F5" w:rsidRDefault="009B6B4D" w:rsidP="00900153">
      <w:pPr>
        <w:pStyle w:val="Rubrik4"/>
        <w:spacing w:line="480" w:lineRule="auto"/>
      </w:pPr>
      <w:r w:rsidRPr="00FA22F5">
        <w:t>Prey density</w:t>
      </w:r>
    </w:p>
    <w:p w:rsidR="007E1420" w:rsidRPr="00FA22F5" w:rsidRDefault="00831F62" w:rsidP="00900153">
      <w:pPr>
        <w:autoSpaceDE w:val="0"/>
        <w:autoSpaceDN w:val="0"/>
        <w:adjustRightInd w:val="0"/>
        <w:spacing w:line="480" w:lineRule="auto"/>
      </w:pPr>
      <w:r w:rsidRPr="00FA22F5">
        <w:t xml:space="preserve">To assess the relative </w:t>
      </w:r>
      <w:r w:rsidR="00A54649" w:rsidRPr="00FA22F5">
        <w:t xml:space="preserve">prey density in the study area, </w:t>
      </w:r>
      <w:r w:rsidRPr="00FA22F5">
        <w:rPr>
          <w:color w:val="000000"/>
        </w:rPr>
        <w:t xml:space="preserve">we </w:t>
      </w:r>
      <w:r w:rsidR="00FF050B" w:rsidRPr="00FA22F5">
        <w:rPr>
          <w:color w:val="000000"/>
        </w:rPr>
        <w:t xml:space="preserve">conducted multispecies fish surveys using </w:t>
      </w:r>
      <w:r w:rsidRPr="00FA22F5">
        <w:rPr>
          <w:color w:val="000000"/>
        </w:rPr>
        <w:t xml:space="preserve">a 183 </w:t>
      </w:r>
      <w:r w:rsidR="003F6E95" w:rsidRPr="00FA22F5">
        <w:rPr>
          <w:color w:val="000000"/>
        </w:rPr>
        <w:t>X</w:t>
      </w:r>
      <w:r w:rsidRPr="00FA22F5">
        <w:rPr>
          <w:color w:val="000000"/>
        </w:rPr>
        <w:t xml:space="preserve"> 6.6</w:t>
      </w:r>
      <w:r w:rsidR="003F6E95" w:rsidRPr="00FA22F5">
        <w:rPr>
          <w:color w:val="000000"/>
        </w:rPr>
        <w:t>m purse seine net with 2.54</w:t>
      </w:r>
      <w:r w:rsidRPr="00FA22F5">
        <w:rPr>
          <w:color w:val="000000"/>
        </w:rPr>
        <w:t xml:space="preserve">cm mesh from R/V Flip in shallow estuarine seagrass beds </w:t>
      </w:r>
      <w:r w:rsidR="003B754A" w:rsidRPr="00FA22F5">
        <w:t xml:space="preserve">at </w:t>
      </w:r>
      <w:r w:rsidR="003F6E95" w:rsidRPr="00FA22F5">
        <w:t xml:space="preserve">water depths </w:t>
      </w:r>
      <w:r w:rsidR="00E8492A" w:rsidRPr="00FA22F5">
        <w:t xml:space="preserve">of </w:t>
      </w:r>
      <w:r w:rsidR="003F6E95" w:rsidRPr="00FA22F5">
        <w:t>0.4–2.5</w:t>
      </w:r>
      <w:r w:rsidRPr="00FA22F5">
        <w:t>m</w:t>
      </w:r>
      <w:r w:rsidR="003B754A" w:rsidRPr="00FA22F5">
        <w:t>,</w:t>
      </w:r>
      <w:r w:rsidRPr="00FA22F5">
        <w:t xml:space="preserve"> </w:t>
      </w:r>
      <w:r w:rsidRPr="00FA22F5">
        <w:rPr>
          <w:color w:val="000000"/>
        </w:rPr>
        <w:t>following</w:t>
      </w:r>
      <w:r w:rsidR="00E61BC6" w:rsidRPr="00FA22F5">
        <w:rPr>
          <w:color w:val="000000"/>
        </w:rPr>
        <w:t xml:space="preserve"> </w:t>
      </w:r>
      <w:r w:rsidRPr="00FA22F5">
        <w:rPr>
          <w:color w:val="000000"/>
        </w:rPr>
        <w:t xml:space="preserve">the methods of </w:t>
      </w:r>
      <w:r w:rsidR="004A4997" w:rsidRPr="00FA22F5">
        <w:rPr>
          <w:color w:val="000000"/>
        </w:rPr>
        <w:t xml:space="preserve">Gannon </w:t>
      </w:r>
      <w:r w:rsidR="004A4997" w:rsidRPr="00FA22F5">
        <w:rPr>
          <w:i/>
          <w:color w:val="000000"/>
        </w:rPr>
        <w:t>et al.</w:t>
      </w:r>
      <w:r w:rsidR="004A4997" w:rsidRPr="00FA22F5">
        <w:rPr>
          <w:color w:val="000000"/>
        </w:rPr>
        <w:t xml:space="preserve"> </w:t>
      </w:r>
      <w:r w:rsidR="004A4997" w:rsidRPr="00FA22F5">
        <w:rPr>
          <w:color w:val="000000"/>
        </w:rPr>
        <w:fldChar w:fldCharType="begin" w:fldLock="1"/>
      </w:r>
      <w:r w:rsidR="00ED0990" w:rsidRPr="00FA22F5">
        <w:rPr>
          <w:color w:val="000000"/>
        </w:rPr>
        <w:instrText>ADDIN CSL_CITATION { "citationItems" : [ { "id" : "ITEM-1", "itemData" : { "author" : [ { "dropping-particle" : "", "family" : "Gannon", "given" : "D P", "non-dropping-particle" : "", "parse-names" : false, "suffix" : "" }, { "dropping-particle" : "", "family" : "Berens McCabe", "given" : "E J", "non-dropping-particle" : "", "parse-names" : false, "suffix" : "" }, { "dropping-particle" : "", "family" : "Camilleri", "given" : "S A", "non-dropping-particle" : "", "parse-names" : false, "suffix" : "" }, { "dropping-particle" : "", "family" : "Gannon", "given" : "J G", "non-dropping-particle" : "", "parse-names" : false, "suffix" : "" }, { "dropping-particle" : "", "family" : "Brueggen", "given" : "M K", "non-dropping-particle" : "", "parse-names" : false, "suffix" : "" }, { "dropping-particle" : "", "family" : "Barleycorn", "given" : "A A", "non-dropping-particle" : "", "parse-names" : false, "suffix" : "" }, { "dropping-particle" : "", "family" : "Palubok", "given" : "V I", "non-dropping-particle" : "", "parse-names" : false, "suffix" : "" }, { "dropping-particle" : "", "family" : "Kirkpatrick", "given" : "G J", "non-dropping-particle" : "", "parse-names" : false, "suffix" : "" }, { "dropping-particle" : "", "family" : "Wells", "given" : "R S", "non-dropping-particle" : "", "parse-names" : false, "suffix" : "" } ], "container-title" : "Marine Ecology Progress Series", "id" : "ITEM-1", "issued" : { "date-parts" : [ [ "2009" ] ] }, "page" : "171\u2013186", "title" : "Effects of Karenia brevis harmful algal blooms on nearshore fish communities in southwest Florida", "type" : "article-journal", "volume" : "378" }, "uris" : [ "http://www.mendeley.com/documents/?uuid=9307b437-bc6c-44a2-96ac-e6aa4fd1a5fc" ] } ], "mendeley" : { "formattedCitation" : "[12]", "plainTextFormattedCitation" : "[12]", "previouslyFormattedCitation" : "[12]" }, "properties" : { "noteIndex" : 0 }, "schema" : "https://github.com/citation-style-language/schema/raw/master/csl-citation.json" }</w:instrText>
      </w:r>
      <w:r w:rsidR="004A4997" w:rsidRPr="00FA22F5">
        <w:rPr>
          <w:color w:val="000000"/>
        </w:rPr>
        <w:fldChar w:fldCharType="separate"/>
      </w:r>
      <w:r w:rsidR="00ED0990" w:rsidRPr="00FA22F5">
        <w:rPr>
          <w:noProof/>
          <w:color w:val="000000"/>
        </w:rPr>
        <w:t>[12]</w:t>
      </w:r>
      <w:r w:rsidR="004A4997" w:rsidRPr="00FA22F5">
        <w:rPr>
          <w:color w:val="000000"/>
        </w:rPr>
        <w:fldChar w:fldCharType="end"/>
      </w:r>
      <w:r w:rsidRPr="00FA22F5">
        <w:rPr>
          <w:color w:val="000000"/>
        </w:rPr>
        <w:t xml:space="preserve">. Sampling occurred </w:t>
      </w:r>
      <w:r w:rsidR="004C038B" w:rsidRPr="00FA22F5">
        <w:rPr>
          <w:color w:val="000000"/>
        </w:rPr>
        <w:t>i</w:t>
      </w:r>
      <w:r w:rsidRPr="00FA22F5">
        <w:rPr>
          <w:color w:val="000000"/>
        </w:rPr>
        <w:t>n the summer (Jun</w:t>
      </w:r>
      <w:r w:rsidR="007E1420" w:rsidRPr="00FA22F5">
        <w:rPr>
          <w:color w:val="000000"/>
        </w:rPr>
        <w:t>e-September</w:t>
      </w:r>
      <w:r w:rsidRPr="00FA22F5">
        <w:rPr>
          <w:color w:val="000000"/>
        </w:rPr>
        <w:t>) months</w:t>
      </w:r>
      <w:r w:rsidR="00AD4B70" w:rsidRPr="00FA22F5">
        <w:rPr>
          <w:color w:val="000000"/>
        </w:rPr>
        <w:t xml:space="preserve"> from 2004-2014</w:t>
      </w:r>
      <w:r w:rsidRPr="00FA22F5">
        <w:rPr>
          <w:color w:val="000000"/>
        </w:rPr>
        <w:t xml:space="preserve">. </w:t>
      </w:r>
      <w:r w:rsidR="003B754A" w:rsidRPr="00FA22F5">
        <w:rPr>
          <w:color w:val="000000"/>
        </w:rPr>
        <w:t>Th</w:t>
      </w:r>
      <w:r w:rsidR="00FF050B" w:rsidRPr="00FA22F5">
        <w:rPr>
          <w:color w:val="000000"/>
        </w:rPr>
        <w:t>e</w:t>
      </w:r>
      <w:r w:rsidR="003B754A" w:rsidRPr="00FA22F5">
        <w:rPr>
          <w:color w:val="000000"/>
        </w:rPr>
        <w:t>s</w:t>
      </w:r>
      <w:r w:rsidR="00FF050B" w:rsidRPr="00FA22F5">
        <w:rPr>
          <w:color w:val="000000"/>
        </w:rPr>
        <w:t>e</w:t>
      </w:r>
      <w:r w:rsidR="003B754A" w:rsidRPr="00FA22F5">
        <w:rPr>
          <w:color w:val="000000"/>
        </w:rPr>
        <w:t xml:space="preserve"> fish survey</w:t>
      </w:r>
      <w:r w:rsidR="00FF050B" w:rsidRPr="00FA22F5">
        <w:rPr>
          <w:color w:val="000000"/>
        </w:rPr>
        <w:t>s</w:t>
      </w:r>
      <w:r w:rsidR="003B754A" w:rsidRPr="00FA22F5">
        <w:rPr>
          <w:color w:val="000000"/>
        </w:rPr>
        <w:t xml:space="preserve"> employed a random sampling </w:t>
      </w:r>
      <w:r w:rsidR="008B0255" w:rsidRPr="00FA22F5">
        <w:rPr>
          <w:color w:val="000000"/>
        </w:rPr>
        <w:t>design</w:t>
      </w:r>
      <w:r w:rsidR="003B754A" w:rsidRPr="00FA22F5">
        <w:rPr>
          <w:color w:val="000000"/>
        </w:rPr>
        <w:t xml:space="preserve">, with the overall </w:t>
      </w:r>
      <w:r w:rsidR="003B754A" w:rsidRPr="00FA22F5">
        <w:t xml:space="preserve">the spatial extent of prey sampling designed to closely match the distributions of the </w:t>
      </w:r>
      <w:r w:rsidR="002D1E5D" w:rsidRPr="00FA22F5">
        <w:t xml:space="preserve">resident </w:t>
      </w:r>
      <w:r w:rsidR="003B754A" w:rsidRPr="00FA22F5">
        <w:t>dolphins sampled.</w:t>
      </w:r>
      <w:r w:rsidR="003B754A" w:rsidRPr="00FA22F5">
        <w:rPr>
          <w:color w:val="000000"/>
        </w:rPr>
        <w:t xml:space="preserve"> </w:t>
      </w:r>
      <w:r w:rsidRPr="00FA22F5">
        <w:rPr>
          <w:color w:val="000000"/>
        </w:rPr>
        <w:t xml:space="preserve">All fishes captured </w:t>
      </w:r>
      <w:r w:rsidR="00FF050B" w:rsidRPr="00FA22F5">
        <w:rPr>
          <w:color w:val="000000"/>
        </w:rPr>
        <w:t xml:space="preserve">in </w:t>
      </w:r>
      <w:r w:rsidR="00E8492A" w:rsidRPr="00FA22F5">
        <w:rPr>
          <w:color w:val="000000"/>
        </w:rPr>
        <w:t>each</w:t>
      </w:r>
      <w:r w:rsidR="00FF050B" w:rsidRPr="00FA22F5">
        <w:rPr>
          <w:color w:val="000000"/>
        </w:rPr>
        <w:t xml:space="preserve"> seine set </w:t>
      </w:r>
      <w:r w:rsidR="00E8492A" w:rsidRPr="00FA22F5">
        <w:rPr>
          <w:color w:val="000000"/>
        </w:rPr>
        <w:t>were</w:t>
      </w:r>
      <w:r w:rsidRPr="00FA22F5">
        <w:rPr>
          <w:color w:val="000000"/>
        </w:rPr>
        <w:t xml:space="preserve"> identified to species</w:t>
      </w:r>
      <w:r w:rsidR="00FF050B" w:rsidRPr="00FA22F5">
        <w:rPr>
          <w:color w:val="000000"/>
        </w:rPr>
        <w:t xml:space="preserve"> and counted</w:t>
      </w:r>
      <w:r w:rsidR="00A54649" w:rsidRPr="00FA22F5">
        <w:rPr>
          <w:color w:val="000000"/>
        </w:rPr>
        <w:t xml:space="preserve">. </w:t>
      </w:r>
      <w:r w:rsidRPr="00FA22F5">
        <w:t>Fish species considered to be dolphin prey include</w:t>
      </w:r>
      <w:r w:rsidR="00A54649" w:rsidRPr="00FA22F5">
        <w:t>d</w:t>
      </w:r>
      <w:r w:rsidRPr="00FA22F5">
        <w:t xml:space="preserve"> ladyfish</w:t>
      </w:r>
      <w:r w:rsidR="003F6E95" w:rsidRPr="00FA22F5">
        <w:t xml:space="preserve"> (</w:t>
      </w:r>
      <w:r w:rsidRPr="00FA22F5">
        <w:rPr>
          <w:i/>
        </w:rPr>
        <w:t>Elops saurus</w:t>
      </w:r>
      <w:r w:rsidR="003F6E95" w:rsidRPr="00FA22F5">
        <w:t>)</w:t>
      </w:r>
      <w:r w:rsidRPr="00FA22F5">
        <w:t xml:space="preserve">, pigfish </w:t>
      </w:r>
      <w:r w:rsidR="003F6E95" w:rsidRPr="00FA22F5">
        <w:t>(</w:t>
      </w:r>
      <w:r w:rsidRPr="00FA22F5">
        <w:rPr>
          <w:i/>
        </w:rPr>
        <w:t>Orthopristis chrysoptera</w:t>
      </w:r>
      <w:r w:rsidR="003F6E95" w:rsidRPr="00FA22F5">
        <w:t>)</w:t>
      </w:r>
      <w:r w:rsidRPr="00FA22F5">
        <w:t xml:space="preserve">, pinfish </w:t>
      </w:r>
      <w:r w:rsidR="003F6E95" w:rsidRPr="00FA22F5">
        <w:t>(</w:t>
      </w:r>
      <w:r w:rsidRPr="00FA22F5">
        <w:rPr>
          <w:i/>
        </w:rPr>
        <w:t>Lagodon rhomboides</w:t>
      </w:r>
      <w:r w:rsidR="003F6E95" w:rsidRPr="00FA22F5">
        <w:t>)</w:t>
      </w:r>
      <w:r w:rsidRPr="00FA22F5">
        <w:t xml:space="preserve">, spot </w:t>
      </w:r>
      <w:r w:rsidR="003F6E95" w:rsidRPr="00FA22F5">
        <w:t>(</w:t>
      </w:r>
      <w:r w:rsidRPr="00FA22F5">
        <w:rPr>
          <w:i/>
        </w:rPr>
        <w:t>Leiostomus xanthurus</w:t>
      </w:r>
      <w:r w:rsidR="003F6E95" w:rsidRPr="00FA22F5">
        <w:t>)</w:t>
      </w:r>
      <w:r w:rsidRPr="00FA22F5">
        <w:t xml:space="preserve">, sheepshead </w:t>
      </w:r>
      <w:r w:rsidR="003F6E95" w:rsidRPr="00FA22F5">
        <w:t>(</w:t>
      </w:r>
      <w:r w:rsidRPr="00FA22F5">
        <w:rPr>
          <w:i/>
        </w:rPr>
        <w:t>Archosargus probatocephalus</w:t>
      </w:r>
      <w:r w:rsidR="003F6E95" w:rsidRPr="00FA22F5">
        <w:t>)</w:t>
      </w:r>
      <w:r w:rsidRPr="00FA22F5">
        <w:t xml:space="preserve">, mullet </w:t>
      </w:r>
      <w:r w:rsidR="003F6E95" w:rsidRPr="00FA22F5">
        <w:t>(</w:t>
      </w:r>
      <w:r w:rsidR="003F6E95" w:rsidRPr="00FA22F5">
        <w:rPr>
          <w:i/>
        </w:rPr>
        <w:t>Mu</w:t>
      </w:r>
      <w:r w:rsidRPr="00FA22F5">
        <w:rPr>
          <w:i/>
        </w:rPr>
        <w:t xml:space="preserve">gil </w:t>
      </w:r>
      <w:r w:rsidRPr="00FA22F5">
        <w:t>sp</w:t>
      </w:r>
      <w:r w:rsidR="003F6E95" w:rsidRPr="00FA22F5">
        <w:t>.)</w:t>
      </w:r>
      <w:r w:rsidRPr="00FA22F5">
        <w:t xml:space="preserve">, Gulf toadfish </w:t>
      </w:r>
      <w:r w:rsidR="003F6E95" w:rsidRPr="00FA22F5">
        <w:t>(</w:t>
      </w:r>
      <w:r w:rsidRPr="00FA22F5">
        <w:rPr>
          <w:i/>
        </w:rPr>
        <w:t>Opsanus beta</w:t>
      </w:r>
      <w:r w:rsidR="003F6E95" w:rsidRPr="00FA22F5">
        <w:t>)</w:t>
      </w:r>
      <w:r w:rsidRPr="00FA22F5">
        <w:t xml:space="preserve">, spotted seatrout </w:t>
      </w:r>
      <w:r w:rsidR="003F6E95" w:rsidRPr="00FA22F5">
        <w:t>(</w:t>
      </w:r>
      <w:r w:rsidRPr="00FA22F5">
        <w:rPr>
          <w:i/>
        </w:rPr>
        <w:t>Cynoscion nebulosus</w:t>
      </w:r>
      <w:r w:rsidR="003F6E95" w:rsidRPr="00FA22F5">
        <w:t>)</w:t>
      </w:r>
      <w:r w:rsidRPr="00FA22F5">
        <w:t xml:space="preserve">, scaled sardine </w:t>
      </w:r>
      <w:r w:rsidR="003F6E95" w:rsidRPr="00FA22F5">
        <w:t>(</w:t>
      </w:r>
      <w:r w:rsidRPr="00FA22F5">
        <w:rPr>
          <w:i/>
        </w:rPr>
        <w:t>Harengula jaguana</w:t>
      </w:r>
      <w:r w:rsidR="003F6E95" w:rsidRPr="00FA22F5">
        <w:t xml:space="preserve">) and </w:t>
      </w:r>
      <w:r w:rsidRPr="00FA22F5">
        <w:t xml:space="preserve">Atlantic thread herring </w:t>
      </w:r>
      <w:r w:rsidR="003F6E95" w:rsidRPr="00FA22F5">
        <w:t>(</w:t>
      </w:r>
      <w:r w:rsidRPr="00FA22F5">
        <w:rPr>
          <w:i/>
        </w:rPr>
        <w:t>Opisthonema oglinum</w:t>
      </w:r>
      <w:r w:rsidR="003F6E95" w:rsidRPr="00FA22F5">
        <w:t>)</w:t>
      </w:r>
      <w:r w:rsidRPr="00FA22F5">
        <w:t xml:space="preserve">. These </w:t>
      </w:r>
      <w:r w:rsidR="00FF050B" w:rsidRPr="00FA22F5">
        <w:t xml:space="preserve">select </w:t>
      </w:r>
      <w:r w:rsidRPr="00FA22F5">
        <w:t xml:space="preserve">species were considered to be commonly consumed dolphin prey based on previous research </w:t>
      </w:r>
      <w:r w:rsidR="001F7AC0" w:rsidRPr="00FA22F5">
        <w:t xml:space="preserve">using </w:t>
      </w:r>
      <w:r w:rsidRPr="00FA22F5">
        <w:t>stomach content analysis, molecular prey detection analysis, and prey selection</w:t>
      </w:r>
      <w:r w:rsidR="006B5FEB" w:rsidRPr="00FA22F5">
        <w:t xml:space="preserve"> </w:t>
      </w:r>
      <w:r w:rsidR="006B5FEB" w:rsidRPr="00FA22F5">
        <w:fldChar w:fldCharType="begin" w:fldLock="1"/>
      </w:r>
      <w:r w:rsidR="00ED0990" w:rsidRPr="00FA22F5">
        <w:instrText>ADDIN CSL_CITATION { "citationItems" : [ { "id" : "ITEM-1", "itemData" : { "author" : [ { "dropping-particle" : "", "family" : "Barros", "given" : "N B", "non-dropping-particle" : "", "parse-names" : false, "suffix" : "" }, { "dropping-particle" : "", "family" : "Wells", "given" : "R S", "non-dropping-particle" : "", "parse-names" : false, "suffix" : "" } ], "container-title" : "Journal of Mammalogy", "id" : "ITEM-1", "issued" : { "date-parts" : [ [ "1998" ] ] }, "page" : "1045-1059", "title" : "Prey and feeding patterns of resident bottlenose dolphins (Tursiops truncatus) in Sarasota Bay, Florida", "type" : "article-journal", "volume" : "79" }, "uris" : [ "http://www.mendeley.com/documents/?uuid=2a69bd38-d4e4-48e1-bc03-028687ee3d1f" ] }, { "id" : "ITEM-2", "itemData" : { "author" : [ { "dropping-particle" : "", "family" : "Berens McCabe", "given" : "E J", "non-dropping-particle" : "", "parse-names" : false, "suffix" : "" }, { "dropping-particle" : "", "family" : "Gannon", "given" : "D P", "non-dropping-particle" : "", "parse-names" : false, "suffix" : "" }, { "dropping-particle" : "", "family" : "Barros", "given" : "N B", "non-dropping-particle" : "", "parse-names" : false, "suffix" : "" }, { "dropping-particle" : "", "family" : "Wells", "given" : "R S", "non-dropping-particle" : "", "parse-names" : false, "suffix" : "" } ], "container-title" : "Marine Biology", "id" : "ITEM-2", "issued" : { "date-parts" : [ [ "2010" ] ] }, "page" : "931-942", "title" : "Prey selection by resident common bottlenose dolphins (Tursiops truncatus) in Sarasota Bay, Florida", "type" : "article-journal", "volume" : "157" }, "uris" : [ "http://www.mendeley.com/documents/?uuid=591c550d-fd66-4ae4-b1fd-8f52b0765bcb" ] }, { "id" : "ITEM-3", "itemData" : { "author" : [ { "dropping-particle" : "", "family" : "Dunshea", "given" : "G", "non-dropping-particle" : "", "parse-names" : false, "suffix" : "" }, { "dropping-particle" : "", "family" : "Barros", "given" : "N B", "non-dropping-particle" : "", "parse-names" : false, "suffix" : "" }, { "dropping-particle" : "", "family" : "Berens McCabe", "given" : "E J", "non-dropping-particle" : "", "parse-names" : false, "suffix" : "" }, { "dropping-particle" : "", "family" : "Gales", "given" : "N J", "non-dropping-particle" : "", "parse-names" : false, "suffix" : "" }, { "dropping-particle" : "", "family" : "Hindell", "given" : "M A", "non-dropping-particle" : "", "parse-names" : false, "suffix" : "" }, { "dropping-particle" : "", "family" : "Jarman", "given" : "S N", "non-dropping-particle" : "", "parse-names" : false, "suffix" : "" }, { "dropping-particle" : "", "family" : "Wells", "given" : "R S", "non-dropping-particle" : "", "parse-names" : false, "suffix" : "" } ], "container-title" : "Biology letters", "id" : "ITEM-3", "issued" : { "date-parts" : [ [ "2013" ] ] }, "page" : "20121036", "title" : "Stranded dolphin stomach contents represent the free-ranging population\u2019s diet", "type" : "article-journal", "volume" : "9" }, "uris" : [ "http://www.mendeley.com/documents/?uuid=c88f41fe-212b-4fc7-b3cb-c3a3ada8a76f" ] } ], "mendeley" : { "formattedCitation" : "[13\u201315]", "plainTextFormattedCitation" : "[13\u201315]", "previouslyFormattedCitation" : "[13\u201315]" }, "properties" : { "noteIndex" : 0 }, "schema" : "https://github.com/citation-style-language/schema/raw/master/csl-citation.json" }</w:instrText>
      </w:r>
      <w:r w:rsidR="006B5FEB" w:rsidRPr="00FA22F5">
        <w:fldChar w:fldCharType="separate"/>
      </w:r>
      <w:r w:rsidR="00ED0990" w:rsidRPr="00FA22F5">
        <w:rPr>
          <w:noProof/>
        </w:rPr>
        <w:t>[13–15]</w:t>
      </w:r>
      <w:r w:rsidR="006B5FEB" w:rsidRPr="00FA22F5">
        <w:fldChar w:fldCharType="end"/>
      </w:r>
      <w:r w:rsidR="003F6E95" w:rsidRPr="00FA22F5">
        <w:t xml:space="preserve">. </w:t>
      </w:r>
      <w:r w:rsidR="00AD4B70" w:rsidRPr="00FA22F5">
        <w:t>For each year, t</w:t>
      </w:r>
      <w:r w:rsidR="004C038B" w:rsidRPr="00FA22F5">
        <w:t xml:space="preserve">he total catch of </w:t>
      </w:r>
      <w:r w:rsidR="00AD4B70" w:rsidRPr="00FA22F5">
        <w:t xml:space="preserve">select </w:t>
      </w:r>
      <w:r w:rsidR="004C038B" w:rsidRPr="00FA22F5">
        <w:t>dolphin prey species was divided by the fishing effort (total number of seine set</w:t>
      </w:r>
      <w:r w:rsidR="00AD4B70" w:rsidRPr="00FA22F5">
        <w:t>s</w:t>
      </w:r>
      <w:r w:rsidR="004C038B" w:rsidRPr="00FA22F5">
        <w:t xml:space="preserve">) to calculate the </w:t>
      </w:r>
      <w:r w:rsidR="00AD4B70" w:rsidRPr="00FA22F5">
        <w:t>c</w:t>
      </w:r>
      <w:r w:rsidR="007E1420" w:rsidRPr="00FA22F5">
        <w:t>atch</w:t>
      </w:r>
      <w:r w:rsidR="00AD4B70" w:rsidRPr="00FA22F5">
        <w:t>-p</w:t>
      </w:r>
      <w:r w:rsidR="007E1420" w:rsidRPr="00FA22F5">
        <w:t>er</w:t>
      </w:r>
      <w:r w:rsidR="00AD4B70" w:rsidRPr="00FA22F5">
        <w:t>-u</w:t>
      </w:r>
      <w:r w:rsidR="007E1420" w:rsidRPr="00FA22F5">
        <w:t>nit</w:t>
      </w:r>
      <w:r w:rsidR="00AD4B70" w:rsidRPr="00FA22F5">
        <w:t>-e</w:t>
      </w:r>
      <w:r w:rsidR="007E1420" w:rsidRPr="00FA22F5">
        <w:t xml:space="preserve">ffort (CPUE) of </w:t>
      </w:r>
      <w:r w:rsidR="00AD4B70" w:rsidRPr="00FA22F5">
        <w:t xml:space="preserve">select </w:t>
      </w:r>
      <w:r w:rsidR="007E1420" w:rsidRPr="00FA22F5">
        <w:t>dolphin p</w:t>
      </w:r>
      <w:r w:rsidR="004C038B" w:rsidRPr="00FA22F5">
        <w:t>rey</w:t>
      </w:r>
      <w:r w:rsidR="00AD4B70" w:rsidRPr="00FA22F5">
        <w:t xml:space="preserve"> species</w:t>
      </w:r>
      <w:r w:rsidR="004C038B" w:rsidRPr="00FA22F5">
        <w:t xml:space="preserve">, </w:t>
      </w:r>
      <w:r w:rsidR="001F7AC0" w:rsidRPr="00FA22F5">
        <w:t>and</w:t>
      </w:r>
      <w:r w:rsidR="004C038B" w:rsidRPr="00FA22F5">
        <w:t xml:space="preserve"> used as a measure of </w:t>
      </w:r>
      <w:r w:rsidR="004C038B" w:rsidRPr="00FA22F5">
        <w:lastRenderedPageBreak/>
        <w:t xml:space="preserve">relative </w:t>
      </w:r>
      <w:r w:rsidR="00AD4B70" w:rsidRPr="00FA22F5">
        <w:t xml:space="preserve">dolphin </w:t>
      </w:r>
      <w:r w:rsidR="004C038B" w:rsidRPr="00FA22F5">
        <w:t>prey density in the study area.</w:t>
      </w:r>
      <w:r w:rsidR="006D2260" w:rsidRPr="00FA22F5">
        <w:t xml:space="preserve"> A total of 223</w:t>
      </w:r>
      <w:r w:rsidR="00E61BC6" w:rsidRPr="00FA22F5">
        <w:t>,</w:t>
      </w:r>
      <w:r w:rsidR="006D2260" w:rsidRPr="00FA22F5">
        <w:t xml:space="preserve">980 dolphin prey fish were caught </w:t>
      </w:r>
      <w:r w:rsidR="008672FB" w:rsidRPr="00FA22F5">
        <w:t xml:space="preserve">in 383 purse seine sets </w:t>
      </w:r>
      <w:r w:rsidR="006D2260" w:rsidRPr="00FA22F5">
        <w:t>during the sampling period</w:t>
      </w:r>
      <w:r w:rsidR="0002756B" w:rsidRPr="00FA22F5">
        <w:t xml:space="preserve">. </w:t>
      </w:r>
      <w:r w:rsidR="008672FB" w:rsidRPr="00FA22F5">
        <w:t>Annual d</w:t>
      </w:r>
      <w:r w:rsidR="0002756B" w:rsidRPr="00FA22F5">
        <w:t>olphin prey CPUE ranged from 245-998 individuals per set (</w:t>
      </w:r>
      <w:r w:rsidR="004A4997" w:rsidRPr="00FA22F5">
        <w:t>t</w:t>
      </w:r>
      <w:r w:rsidR="0002756B" w:rsidRPr="00FA22F5">
        <w:t xml:space="preserve">able </w:t>
      </w:r>
      <w:r w:rsidR="00E61BC6" w:rsidRPr="00FA22F5">
        <w:t>S2</w:t>
      </w:r>
      <w:r w:rsidR="0002756B" w:rsidRPr="00FA22F5">
        <w:t>).</w:t>
      </w:r>
    </w:p>
    <w:p w:rsidR="00A54649" w:rsidRPr="00FA22F5" w:rsidRDefault="00A54649" w:rsidP="00900153">
      <w:pPr>
        <w:spacing w:line="480" w:lineRule="auto"/>
        <w:rPr>
          <w:highlight w:val="yellow"/>
        </w:rPr>
      </w:pPr>
    </w:p>
    <w:p w:rsidR="00A54649" w:rsidRPr="00FA22F5" w:rsidRDefault="009B6B4D" w:rsidP="00900153">
      <w:pPr>
        <w:pStyle w:val="Rubrik4"/>
        <w:spacing w:line="480" w:lineRule="auto"/>
      </w:pPr>
      <w:r w:rsidRPr="00FA22F5">
        <w:t xml:space="preserve">Red tide </w:t>
      </w:r>
      <w:r w:rsidR="003D4AE0" w:rsidRPr="00FA22F5">
        <w:t>intensity</w:t>
      </w:r>
    </w:p>
    <w:p w:rsidR="00A54649" w:rsidRPr="00FA22F5" w:rsidRDefault="00A54649" w:rsidP="00900153">
      <w:pPr>
        <w:autoSpaceDE w:val="0"/>
        <w:autoSpaceDN w:val="0"/>
        <w:adjustRightInd w:val="0"/>
        <w:spacing w:line="480" w:lineRule="auto"/>
      </w:pPr>
      <w:r w:rsidRPr="00FA22F5">
        <w:t xml:space="preserve">The relative </w:t>
      </w:r>
      <w:r w:rsidR="00A1058B" w:rsidRPr="00FA22F5">
        <w:t xml:space="preserve">severity of </w:t>
      </w:r>
      <w:r w:rsidR="00A1058B" w:rsidRPr="00FA22F5">
        <w:rPr>
          <w:i/>
        </w:rPr>
        <w:t>Karenia brevis</w:t>
      </w:r>
      <w:r w:rsidR="00A1058B" w:rsidRPr="00FA22F5">
        <w:t xml:space="preserve"> </w:t>
      </w:r>
      <w:r w:rsidRPr="00FA22F5">
        <w:t xml:space="preserve">red tide </w:t>
      </w:r>
      <w:r w:rsidR="00A1058B" w:rsidRPr="00FA22F5">
        <w:t>blooms</w:t>
      </w:r>
      <w:r w:rsidR="00DD1812" w:rsidRPr="00FA22F5">
        <w:t xml:space="preserve">, as measured by the </w:t>
      </w:r>
      <w:r w:rsidR="003D4AE0" w:rsidRPr="00FA22F5">
        <w:t xml:space="preserve">number of weeks per year with </w:t>
      </w:r>
      <w:r w:rsidR="00A1058B" w:rsidRPr="00FA22F5">
        <w:rPr>
          <w:i/>
        </w:rPr>
        <w:t xml:space="preserve">K. </w:t>
      </w:r>
      <w:r w:rsidR="003D4AE0" w:rsidRPr="00FA22F5">
        <w:rPr>
          <w:i/>
        </w:rPr>
        <w:t>brevis</w:t>
      </w:r>
      <w:r w:rsidR="003D4AE0" w:rsidRPr="00FA22F5">
        <w:t xml:space="preserve"> concentrations above 100,000 cells per litre</w:t>
      </w:r>
      <w:r w:rsidR="00385152" w:rsidRPr="00FA22F5">
        <w:t xml:space="preserve">, </w:t>
      </w:r>
      <w:r w:rsidRPr="00FA22F5">
        <w:t xml:space="preserve">was included as a covariate to investigate the number of conditioned dolphins in the study area. </w:t>
      </w:r>
      <w:r w:rsidR="00290AC4" w:rsidRPr="00FA22F5">
        <w:t xml:space="preserve">Cell </w:t>
      </w:r>
      <w:r w:rsidR="00CE7938" w:rsidRPr="00FA22F5">
        <w:t>densit</w:t>
      </w:r>
      <w:r w:rsidR="00290AC4" w:rsidRPr="00FA22F5">
        <w:t>ies were</w:t>
      </w:r>
      <w:r w:rsidR="00CE7938" w:rsidRPr="00FA22F5">
        <w:t xml:space="preserve"> sampled between 1987 and 2014 in Sarasota Bay by the Sarasota Dolphin Research Program</w:t>
      </w:r>
      <w:r w:rsidR="00203AFC" w:rsidRPr="00FA22F5">
        <w:t xml:space="preserve"> (sampled twice at 10 fixed stations each month and once at each randomly sampled fish sampling site, 2005-2014)</w:t>
      </w:r>
      <w:r w:rsidR="002D1E5D" w:rsidRPr="00FA22F5">
        <w:t>,</w:t>
      </w:r>
      <w:r w:rsidR="00CE7938" w:rsidRPr="00FA22F5">
        <w:t xml:space="preserve"> Mote Marine Lab’s Phytoplankton Ecology Program</w:t>
      </w:r>
      <w:r w:rsidR="00203AFC" w:rsidRPr="00FA22F5">
        <w:t xml:space="preserve"> (sampled once daily at two fixed sampling stations and opportunistically, from 1987-2014)</w:t>
      </w:r>
      <w:r w:rsidR="002D1E5D" w:rsidRPr="00FA22F5">
        <w:t>, and the Florida Wildlife Research Institute’s (FWRI) red tide program</w:t>
      </w:r>
      <w:r w:rsidR="00203AFC" w:rsidRPr="00FA22F5">
        <w:t xml:space="preserve"> (sampled opportunistically, from 1987-2014)</w:t>
      </w:r>
      <w:r w:rsidR="00CE7938" w:rsidRPr="00FA22F5">
        <w:t xml:space="preserve">. Water sample collection and cell-counting procedures followed </w:t>
      </w:r>
      <w:r w:rsidR="004A4997" w:rsidRPr="00FA22F5">
        <w:t>established protocols</w:t>
      </w:r>
      <w:r w:rsidR="00CE7938" w:rsidRPr="00FA22F5">
        <w:t xml:space="preserve"> </w:t>
      </w:r>
      <w:r w:rsidR="00E20F48" w:rsidRPr="00FA22F5">
        <w:fldChar w:fldCharType="begin" w:fldLock="1"/>
      </w:r>
      <w:r w:rsidR="00ED0990" w:rsidRPr="00FA22F5">
        <w:instrText>ADDIN CSL_CITATION { "citationItems" : [ { "id" : "ITEM-1", "itemData" : { "author" : [ { "dropping-particle" : "", "family" : "Lund", "given" : "J W G", "non-dropping-particle" : "", "parse-names" : false, "suffix" : "" }, { "dropping-particle" : "", "family" : "Kipling", "given" : "C", "non-dropping-particle" : "", "parse-names" : false, "suffix" : "" }, { "dropping-particle" : "", "family" : "LeCren", "given" : "E D", "non-dropping-particle" : "", "parse-names" : false, "suffix" : "" } ], "container-title" : "Hydrobiologia", "id" : "ITEM-1", "issued" : { "date-parts" : [ [ "1958" ] ] }, "page" : "143\u2013170", "title" : "The inverted microscope method of estimating algal numbers and the statistical basis of estimations of counting", "type" : "article-journal", "volume" : "11" }, "uris" : [ "http://www.mendeley.com/documents/?uuid=0ab8b985-aa45-4f6b-8463-6e2c07b2e1c3" ] }, { "id" : "ITEM-2", "itemData" : { "author" : [ { "dropping-particle" : "", "family" : "Sournia", "given" : "A", "non-dropping-particle" : "", "parse-names" : false, "suffix" : "" } ], "container-title" : "Monographs on oceanographic methodology", "id" : "ITEM-2", "issued" : { "date-parts" : [ [ "1978" ] ] }, "publisher" : "UNESCO", "publisher-place" : "Paris", "title" : "Phytoplankton manual", "type" : "book", "volume" : "6" }, "uris" : [ "http://www.mendeley.com/documents/?uuid=cb9f8594-9c38-46b2-bee6-60de6b192038" ] }, { "id" : "ITEM-3", "itemData" : { "author" : [ { "dropping-particle" : "", "family" : "Sellner", "given" : "K G", "non-dropping-particle" : "", "parse-names" : false, "suffix" : "" }, { "dropping-particle" : "", "family" : "Doucette", "given" : "G J", "non-dropping-particle" : "", "parse-names" : false, "suffix" : "" }, { "dropping-particle" : "", "family" : "Kirkpatrick", "given" : "G J", "non-dropping-particle" : "", "parse-names" : false, "suffix" : "" } ], "container-title" : "Journal of Industrial Microbiology", "id" : "ITEM-3", "issued" : { "date-parts" : [ [ "2003" ] ] }, "page" : "383-406", "title" : "Harmful algal blooms: causes, impacts, and detection", "type" : "article-journal", "volume" : "30" }, "uris" : [ "http://www.mendeley.com/documents/?uuid=95da03c8-4414-465f-975b-cb3753bd70c8" ] } ], "mendeley" : { "formattedCitation" : "[16\u201318]", "plainTextFormattedCitation" : "[16\u201318]", "previouslyFormattedCitation" : "[16\u201318]" }, "properties" : { "noteIndex" : 0 }, "schema" : "https://github.com/citation-style-language/schema/raw/master/csl-citation.json" }</w:instrText>
      </w:r>
      <w:r w:rsidR="00E20F48" w:rsidRPr="00FA22F5">
        <w:fldChar w:fldCharType="separate"/>
      </w:r>
      <w:r w:rsidR="00ED0990" w:rsidRPr="00FA22F5">
        <w:rPr>
          <w:noProof/>
        </w:rPr>
        <w:t>[16–18]</w:t>
      </w:r>
      <w:r w:rsidR="00E20F48" w:rsidRPr="00FA22F5">
        <w:fldChar w:fldCharType="end"/>
      </w:r>
      <w:r w:rsidR="00CE7938" w:rsidRPr="00FA22F5">
        <w:t>. Surface water samples were collected in 20 ml glass scintillation vials, preserved with Utermöhl’s solution</w:t>
      </w:r>
      <w:r w:rsidR="00E20F48" w:rsidRPr="00FA22F5">
        <w:t xml:space="preserve"> </w:t>
      </w:r>
      <w:r w:rsidR="00E20F48" w:rsidRPr="00FA22F5">
        <w:fldChar w:fldCharType="begin" w:fldLock="1"/>
      </w:r>
      <w:r w:rsidR="00ED0990" w:rsidRPr="00FA22F5">
        <w:instrText>ADDIN CSL_CITATION { "citationItems" : [ { "id" : "ITEM-1", "itemData" : { "author" : [ { "dropping-particle" : "", "family" : "Uterm\u00f6hl", "given" : "H", "non-dropping-particle" : "", "parse-names" : false, "suffix" : "" } ], "container-title" : "Mitteilung Internationale Vereinigung fuer Theoretische unde Amgewandte Limnologie", "id" : "ITEM-1", "issued" : { "date-parts" : [ [ "1958" ] ] }, "page" : "1-38", "title" : "Zur vervollkommnung der quantitativen phytoplankton-methodik", "type" : "article-journal", "volume" : "9" }, "uris" : [ "http://www.mendeley.com/documents/?uuid=f5f2e0a2-9e3e-4bff-95d2-883e6d1c5c39" ] }, { "id" : "ITEM-2", "itemData" : { "author" : [ { "dropping-particle" : "", "family" : "Guillard", "given" : "R", "non-dropping-particle" : "", "parse-names" : false, "suffix" : "" } ], "container-title" : "Phycological methods", "editor" : [ { "dropping-particle" : "", "family" : "Stein", "given" : "J", "non-dropping-particle" : "", "parse-names" : false, "suffix" : "" } ], "id" : "ITEM-2", "issued" : { "date-parts" : [ [ "1973" ] ] }, "page" : "289-311", "publisher" : "Cambridge University Press", "publisher-place" : "Cambridge", "title" : "Division rates", "type" : "chapter" }, "uris" : [ "http://www.mendeley.com/documents/?uuid=1213ee21-d39b-46ac-b411-b10a93ae0905" ] } ], "mendeley" : { "formattedCitation" : "[19,20]", "plainTextFormattedCitation" : "[19,20]", "previouslyFormattedCitation" : "[19,20]" }, "properties" : { "noteIndex" : 0 }, "schema" : "https://github.com/citation-style-language/schema/raw/master/csl-citation.json" }</w:instrText>
      </w:r>
      <w:r w:rsidR="00E20F48" w:rsidRPr="00FA22F5">
        <w:fldChar w:fldCharType="separate"/>
      </w:r>
      <w:r w:rsidR="00ED0990" w:rsidRPr="00FA22F5">
        <w:rPr>
          <w:noProof/>
        </w:rPr>
        <w:t>[19,20]</w:t>
      </w:r>
      <w:r w:rsidR="00E20F48" w:rsidRPr="00FA22F5">
        <w:fldChar w:fldCharType="end"/>
      </w:r>
      <w:r w:rsidR="00CE7938" w:rsidRPr="00FA22F5">
        <w:t xml:space="preserve">, and stored in darkness at room temperature until processing in the laboratory. </w:t>
      </w:r>
      <w:r w:rsidR="001E6D15" w:rsidRPr="00FA22F5">
        <w:t xml:space="preserve">The number of </w:t>
      </w:r>
      <w:r w:rsidR="001E6D15" w:rsidRPr="00FA22F5">
        <w:rPr>
          <w:i/>
          <w:iCs/>
        </w:rPr>
        <w:t xml:space="preserve">K. brevis </w:t>
      </w:r>
      <w:r w:rsidR="001E6D15" w:rsidRPr="00FA22F5">
        <w:t xml:space="preserve">cells in a 1 ml subsample was counted using an inverted </w:t>
      </w:r>
      <w:r w:rsidR="00E61BC6" w:rsidRPr="00FA22F5">
        <w:t>Olympus CK40 microscope</w:t>
      </w:r>
      <w:r w:rsidR="001E6D15" w:rsidRPr="00FA22F5">
        <w:t xml:space="preserve"> </w:t>
      </w:r>
      <w:r w:rsidR="00E61BC6" w:rsidRPr="00FA22F5">
        <w:t>and then</w:t>
      </w:r>
      <w:r w:rsidR="001E6D15" w:rsidRPr="00FA22F5">
        <w:t xml:space="preserve"> multiplied by 1</w:t>
      </w:r>
      <w:r w:rsidR="00AD4155" w:rsidRPr="00FA22F5">
        <w:t>,</w:t>
      </w:r>
      <w:r w:rsidR="001E6D15" w:rsidRPr="00FA22F5">
        <w:t xml:space="preserve">000 to obtain an estimate of the number of cells </w:t>
      </w:r>
      <w:r w:rsidR="00E61BC6" w:rsidRPr="00FA22F5">
        <w:t xml:space="preserve">per litre </w:t>
      </w:r>
      <w:r w:rsidR="00E20F48" w:rsidRPr="00FA22F5">
        <w:fldChar w:fldCharType="begin" w:fldLock="1"/>
      </w:r>
      <w:r w:rsidR="00ED0990" w:rsidRPr="00FA22F5">
        <w:instrText>ADDIN CSL_CITATION { "citationItems" : [ { "id" : "ITEM-1", "itemData" : { "author" : [ { "dropping-particle" : "", "family" : "Gannon", "given" : "D P", "non-dropping-particle" : "", "parse-names" : false, "suffix" : "" }, { "dropping-particle" : "", "family" : "Berens McCabe", "given" : "E J", "non-dropping-particle" : "", "parse-names" : false, "suffix" : "" }, { "dropping-particle" : "", "family" : "Camilleri", "given" : "S A", "non-dropping-particle" : "", "parse-names" : false, "suffix" : "" }, { "dropping-particle" : "", "family" : "Gannon", "given" : "J G", "non-dropping-particle" : "", "parse-names" : false, "suffix" : "" }, { "dropping-particle" : "", "family" : "Brueggen", "given" : "M K", "non-dropping-particle" : "", "parse-names" : false, "suffix" : "" }, { "dropping-particle" : "", "family" : "Barleycorn", "given" : "A A", "non-dropping-particle" : "", "parse-names" : false, "suffix" : "" }, { "dropping-particle" : "", "family" : "Palubok", "given" : "V I", "non-dropping-particle" : "", "parse-names" : false, "suffix" : "" }, { "dropping-particle" : "", "family" : "Kirkpatrick", "given" : "G J", "non-dropping-particle" : "", "parse-names" : false, "suffix" : "" }, { "dropping-particle" : "", "family" : "Wells", "given" : "R S", "non-dropping-particle" : "", "parse-names" : false, "suffix" : "" } ], "container-title" : "Marine Ecology Progress Series", "id" : "ITEM-1", "issued" : { "date-parts" : [ [ "2009" ] ] }, "page" : "171\u2013186", "title" : "Effects of Karenia brevis harmful algal blooms on nearshore fish communities in southwest Florida", "type" : "article-journal", "volume" : "378" }, "uris" : [ "http://www.mendeley.com/documents/?uuid=9307b437-bc6c-44a2-96ac-e6aa4fd1a5fc" ] } ], "mendeley" : { "formattedCitation" : "[12]", "plainTextFormattedCitation" : "[12]", "previouslyFormattedCitation" : "[12]" }, "properties" : { "noteIndex" : 0 }, "schema" : "https://github.com/citation-style-language/schema/raw/master/csl-citation.json" }</w:instrText>
      </w:r>
      <w:r w:rsidR="00E20F48" w:rsidRPr="00FA22F5">
        <w:fldChar w:fldCharType="separate"/>
      </w:r>
      <w:r w:rsidR="00ED0990" w:rsidRPr="00FA22F5">
        <w:rPr>
          <w:noProof/>
        </w:rPr>
        <w:t>[12]</w:t>
      </w:r>
      <w:r w:rsidR="00E20F48" w:rsidRPr="00FA22F5">
        <w:fldChar w:fldCharType="end"/>
      </w:r>
      <w:r w:rsidR="001E6D15" w:rsidRPr="00FA22F5">
        <w:t xml:space="preserve">. For samples with high concentrations of </w:t>
      </w:r>
      <w:r w:rsidR="001E6D15" w:rsidRPr="00FA22F5">
        <w:rPr>
          <w:i/>
          <w:iCs/>
        </w:rPr>
        <w:t xml:space="preserve">K. brevis, </w:t>
      </w:r>
      <w:r w:rsidR="001E6D15" w:rsidRPr="00FA22F5">
        <w:t>1:10 serial dilutions were performed using filtered water.</w:t>
      </w:r>
      <w:r w:rsidR="001E6D15" w:rsidRPr="00FA22F5" w:rsidDel="00DD1812">
        <w:rPr>
          <w:i/>
        </w:rPr>
        <w:t xml:space="preserve"> </w:t>
      </w:r>
      <w:r w:rsidR="008672FB" w:rsidRPr="00FA22F5">
        <w:t xml:space="preserve">A total of 11,591 </w:t>
      </w:r>
      <w:r w:rsidR="008672FB" w:rsidRPr="00FA22F5">
        <w:rPr>
          <w:i/>
        </w:rPr>
        <w:t>K. brevis</w:t>
      </w:r>
      <w:r w:rsidR="008672FB" w:rsidRPr="00FA22F5">
        <w:t xml:space="preserve"> samples were analysed</w:t>
      </w:r>
      <w:r w:rsidR="00E61BC6" w:rsidRPr="00FA22F5">
        <w:t xml:space="preserve"> from 1987-2014. </w:t>
      </w:r>
      <w:r w:rsidR="00D967DF" w:rsidRPr="00FA22F5">
        <w:rPr>
          <w:i/>
        </w:rPr>
        <w:t>K. brevis</w:t>
      </w:r>
      <w:r w:rsidR="00D967DF" w:rsidRPr="00FA22F5">
        <w:t xml:space="preserve"> cell densit</w:t>
      </w:r>
      <w:r w:rsidR="00870CDA" w:rsidRPr="00FA22F5">
        <w:t>ies</w:t>
      </w:r>
      <w:r w:rsidR="00D967DF" w:rsidRPr="00FA22F5">
        <w:t xml:space="preserve"> ranged from 0-293,470,000 cells</w:t>
      </w:r>
      <w:r w:rsidR="00E61BC6" w:rsidRPr="00FA22F5">
        <w:t xml:space="preserve"> per litre</w:t>
      </w:r>
      <w:r w:rsidR="00D967DF" w:rsidRPr="00FA22F5">
        <w:t xml:space="preserve"> during the study period (</w:t>
      </w:r>
      <w:r w:rsidR="004A4997" w:rsidRPr="00FA22F5">
        <w:t>t</w:t>
      </w:r>
      <w:r w:rsidR="00D967DF" w:rsidRPr="00FA22F5">
        <w:t xml:space="preserve">able </w:t>
      </w:r>
      <w:r w:rsidR="00E61BC6" w:rsidRPr="00FA22F5">
        <w:t>S2</w:t>
      </w:r>
      <w:r w:rsidR="00D967DF" w:rsidRPr="00FA22F5">
        <w:t xml:space="preserve">). </w:t>
      </w:r>
      <w:r w:rsidR="00CE7938" w:rsidRPr="00FA22F5">
        <w:t>D</w:t>
      </w:r>
      <w:r w:rsidR="000752D6" w:rsidRPr="00FA22F5">
        <w:t xml:space="preserve">ata </w:t>
      </w:r>
      <w:r w:rsidR="00CE7938" w:rsidRPr="00FA22F5">
        <w:t xml:space="preserve">were </w:t>
      </w:r>
      <w:r w:rsidR="00290AC4" w:rsidRPr="00FA22F5">
        <w:t xml:space="preserve">then </w:t>
      </w:r>
      <w:r w:rsidR="009068A6" w:rsidRPr="00FA22F5">
        <w:t xml:space="preserve">categorized </w:t>
      </w:r>
      <w:r w:rsidR="00DD1812" w:rsidRPr="00FA22F5">
        <w:t xml:space="preserve">by week </w:t>
      </w:r>
      <w:r w:rsidR="00F1364D" w:rsidRPr="00FA22F5">
        <w:t xml:space="preserve">following </w:t>
      </w:r>
      <w:r w:rsidR="009068A6" w:rsidRPr="00FA22F5">
        <w:t>the FWRI</w:t>
      </w:r>
      <w:r w:rsidR="002D1E5D" w:rsidRPr="00FA22F5">
        <w:t>’s</w:t>
      </w:r>
      <w:r w:rsidR="009068A6" w:rsidRPr="00FA22F5">
        <w:t xml:space="preserve"> red tide </w:t>
      </w:r>
      <w:r w:rsidR="00F1364D" w:rsidRPr="00FA22F5">
        <w:t xml:space="preserve">cell count categorizations </w:t>
      </w:r>
      <w:r w:rsidR="009068A6" w:rsidRPr="00FA22F5">
        <w:t>(</w:t>
      </w:r>
      <w:r w:rsidR="000752D6" w:rsidRPr="00FA22F5">
        <w:t>http://myfwc.com/research/redtide/statewide/</w:t>
      </w:r>
      <w:r w:rsidR="009068A6" w:rsidRPr="00FA22F5">
        <w:t>)</w:t>
      </w:r>
      <w:r w:rsidR="000752D6" w:rsidRPr="00FA22F5">
        <w:t>. The total number of w</w:t>
      </w:r>
      <w:r w:rsidR="00665D80" w:rsidRPr="00FA22F5">
        <w:t>eeks with</w:t>
      </w:r>
      <w:r w:rsidR="009068A6" w:rsidRPr="00FA22F5">
        <w:t xml:space="preserve"> </w:t>
      </w:r>
      <w:r w:rsidR="00665D80" w:rsidRPr="00FA22F5">
        <w:t>cell counts</w:t>
      </w:r>
      <w:r w:rsidR="009068A6" w:rsidRPr="00FA22F5">
        <w:t xml:space="preserve"> exceeding probable fish kill levels </w:t>
      </w:r>
      <w:r w:rsidR="00173BB6" w:rsidRPr="00FA22F5">
        <w:t xml:space="preserve">(i.e. &gt;100,000 cells per </w:t>
      </w:r>
      <w:r w:rsidR="00AD4155" w:rsidRPr="00FA22F5">
        <w:t>litre</w:t>
      </w:r>
      <w:r w:rsidR="00173BB6" w:rsidRPr="00FA22F5">
        <w:t xml:space="preserve">) </w:t>
      </w:r>
      <w:r w:rsidR="00E20F48" w:rsidRPr="00FA22F5">
        <w:fldChar w:fldCharType="begin" w:fldLock="1"/>
      </w:r>
      <w:r w:rsidR="00ED0990" w:rsidRPr="00FA22F5">
        <w:instrText>ADDIN CSL_CITATION { "citationItems" : [ { "id" : "ITEM-1", "itemData" : { "author" : [ { "dropping-particle" : "", "family" : "Quick", "given" : "J A", "non-dropping-particle" : "", "parse-names" : false, "suffix" : "" }, { "dropping-particle" : "", "family" : "Henderson", "given" : "G E", "non-dropping-particle" : "", "parse-names" : false, "suffix" : "" } ], "container-title" : "Proceedings of the Gulf Coast regional symposium on diseases of aquatic animals", "id" : "ITEM-1", "issued" : { "date-parts" : [ [ "1975" ] ] }, "page" : "85-115", "title" : "Effects of Gymnodinium breve red tide on fishes and birds: a preliminary report on behavior, anatomy, hematology, and histopathology", "type" : "paper-conference" }, "uris" : [ "http://www.mendeley.com/documents/?uuid=99235122-4709-47f8-9673-2597b2ddeb17" ] }, { "id" : "ITEM-2", "itemData" : { "author" : [ { "dropping-particle" : "", "family" : "Landsberg", "given" : "J H", "non-dropping-particle" : "", "parse-names" : false, "suffix" : "" }, { "dropping-particle" : "", "family" : "Steidinger", "given" : "K A", "non-dropping-particle" : "", "parse-names" : false, "suffix" : "" } ], "container-title" : "Harmful algae", "editor" : [ { "dropping-particle" : "", "family" : "Reguera", "given" : "B", "non-dropping-particle" : "", "parse-names" : false, "suffix" : "" }, { "dropping-particle" : "", "family" : "Blanco", "given" : "J", "non-dropping-particle" : "", "parse-names" : false, "suffix" : "" }, { "dropping-particle" : "", "family" : "Fernandez", "given" : "M L", "non-dropping-particle" : "", "parse-names" : false, "suffix" : "" }, { "dropping-particle" : "", "family" : "Wyatt", "given" : "T", "non-dropping-particle" : "", "parse-names" : false, "suffix" : "" } ], "id" : "ITEM-2", "issued" : { "date-parts" : [ [ "1998" ] ] }, "page" : "97-100", "publisher" : "Xunta de Galicia and Intergovernmental Oceanographic Commission, UNESCO", "title" : "A historical review of Gymnodinium breve red tides implicated in mass mortalities of the manatee (Trichechus manatus latirostris) in Florida, USA", "type" : "chapter" }, "uris" : [ "http://www.mendeley.com/documents/?uuid=943ec31a-e52b-478b-bfa9-80010eba5dab" ] }, { "id" : "ITEM-3", "itemData" : { "author" : [ { "dropping-particle" : "", "family" : "Gannon", "given" : "D P", "non-dropping-particle" : "", "parse-names" : false, "suffix" : "" }, { "dropping-particle" : "", "family" : "Berens McCabe", "given" : "E J", "non-dropping-particle" : "", "parse-names" : false, "suffix" : "" }, { "dropping-particle" : "", "family" : "Camilleri", "given" : "S A", "non-dropping-particle" : "", "parse-names" : false, "suffix" : "" }, { "dropping-particle" : "", "family" : "Gannon", "given" : "J G", "non-dropping-particle" : "", "parse-names" : false, "suffix" : "" }, { "dropping-particle" : "", "family" : "Brueggen", "given" : "M K", "non-dropping-particle" : "", "parse-names" : false, "suffix" : "" }, { "dropping-particle" : "", "family" : "Barleycorn", "given" : "A A", "non-dropping-particle" : "", "parse-names" : false, "suffix" : "" }, { "dropping-particle" : "", "family" : "Palubok", "given" : "V I", "non-dropping-particle" : "", "parse-names" : false, "suffix" : "" }, { "dropping-particle" : "", "family" : "Kirkpatrick", "given" : "G J", "non-dropping-particle" : "", "parse-names" : false, "suffix" : "" }, { "dropping-particle" : "", "family" : "Wells", "given" : "R S", "non-dropping-particle" : "", "parse-names" : false, "suffix" : "" } ], "container-title" : "Marine Ecology Progress Series", "id" : "ITEM-3", "issued" : { "date-parts" : [ [ "2009" ] ] }, "page" : "171\u2013186", "title" : "Effects of Karenia brevis harmful algal blooms on nearshore fish communities in southwest Florida", "type" : "article-journal", "volume" : "378" }, "uris" : [ "http://www.mendeley.com/documents/?uuid=9307b437-bc6c-44a2-96ac-e6aa4fd1a5fc" ] } ], "mendeley" : { "formattedCitation" : "[12,21,22]", "plainTextFormattedCitation" : "[12,21,22]", "previouslyFormattedCitation" : "[12,21,22]" }, "properties" : { "noteIndex" : 0 }, "schema" : "https://github.com/citation-style-language/schema/raw/master/csl-citation.json" }</w:instrText>
      </w:r>
      <w:r w:rsidR="00E20F48" w:rsidRPr="00FA22F5">
        <w:fldChar w:fldCharType="separate"/>
      </w:r>
      <w:r w:rsidR="00ED0990" w:rsidRPr="00FA22F5">
        <w:rPr>
          <w:noProof/>
        </w:rPr>
        <w:t>[12,21,22]</w:t>
      </w:r>
      <w:r w:rsidR="00E20F48" w:rsidRPr="00FA22F5">
        <w:fldChar w:fldCharType="end"/>
      </w:r>
      <w:r w:rsidR="007A5BF3" w:rsidRPr="00FA22F5">
        <w:t xml:space="preserve"> </w:t>
      </w:r>
      <w:r w:rsidR="009068A6" w:rsidRPr="00FA22F5">
        <w:t xml:space="preserve">within the </w:t>
      </w:r>
      <w:r w:rsidR="00173BB6" w:rsidRPr="00FA22F5">
        <w:t>resident</w:t>
      </w:r>
      <w:r w:rsidR="009068A6" w:rsidRPr="00FA22F5">
        <w:t xml:space="preserve"> </w:t>
      </w:r>
      <w:r w:rsidR="009068A6" w:rsidRPr="00FA22F5">
        <w:lastRenderedPageBreak/>
        <w:t xml:space="preserve">Sarasota Bay dolphin community </w:t>
      </w:r>
      <w:r w:rsidR="00173BB6" w:rsidRPr="00FA22F5">
        <w:t xml:space="preserve">home </w:t>
      </w:r>
      <w:r w:rsidR="009068A6" w:rsidRPr="00FA22F5">
        <w:t>range</w:t>
      </w:r>
      <w:r w:rsidR="00173BB6" w:rsidRPr="00FA22F5">
        <w:t>s</w:t>
      </w:r>
      <w:r w:rsidR="009068A6" w:rsidRPr="00FA22F5">
        <w:t xml:space="preserve"> were </w:t>
      </w:r>
      <w:r w:rsidR="000752D6" w:rsidRPr="00FA22F5">
        <w:t>calculated for each year</w:t>
      </w:r>
      <w:r w:rsidR="00E61BC6" w:rsidRPr="00FA22F5">
        <w:t xml:space="preserve">. </w:t>
      </w:r>
      <w:r w:rsidRPr="00FA22F5">
        <w:t xml:space="preserve">Red tide </w:t>
      </w:r>
      <w:r w:rsidR="003D4AE0" w:rsidRPr="00FA22F5">
        <w:t>intensity</w:t>
      </w:r>
      <w:r w:rsidRPr="00FA22F5">
        <w:t xml:space="preserve"> </w:t>
      </w:r>
      <w:r w:rsidR="00261215" w:rsidRPr="00FA22F5">
        <w:t xml:space="preserve">has been found to </w:t>
      </w:r>
      <w:r w:rsidRPr="00FA22F5">
        <w:t>correlate with high fish mortality</w:t>
      </w:r>
      <w:r w:rsidR="00261215" w:rsidRPr="00FA22F5">
        <w:t xml:space="preserve"> </w:t>
      </w:r>
      <w:r w:rsidR="00E20F48" w:rsidRPr="00FA22F5">
        <w:fldChar w:fldCharType="begin" w:fldLock="1"/>
      </w:r>
      <w:r w:rsidR="00ED0990" w:rsidRPr="00FA22F5">
        <w:instrText>ADDIN CSL_CITATION { "citationItems" : [ { "id" : "ITEM-1", "itemData" : { "author" : [ { "dropping-particle" : "", "family" : "Quick", "given" : "J A", "non-dropping-particle" : "", "parse-names" : false, "suffix" : "" }, { "dropping-particle" : "", "family" : "Henderson", "given" : "G E", "non-dropping-particle" : "", "parse-names" : false, "suffix" : "" } ], "container-title" : "Proceedings of the Gulf Coast regional symposium on diseases of aquatic animals", "id" : "ITEM-1", "issued" : { "date-parts" : [ [ "1975" ] ] }, "page" : "85-115", "title" : "Effects of Gymnodinium breve red tide on fishes and birds: a preliminary report on behavior, anatomy, hematology, and histopathology", "type" : "paper-conference" }, "uris" : [ "http://www.mendeley.com/documents/?uuid=99235122-4709-47f8-9673-2597b2ddeb17" ] }, { "id" : "ITEM-2", "itemData" : { "author" : [ { "dropping-particle" : "", "family" : "Landsberg", "given" : "J H", "non-dropping-particle" : "", "parse-names" : false, "suffix" : "" }, { "dropping-particle" : "", "family" : "Steidinger", "given" : "K A", "non-dropping-particle" : "", "parse-names" : false, "suffix" : "" } ], "container-title" : "Harmful algae", "editor" : [ { "dropping-particle" : "", "family" : "Reguera", "given" : "B", "non-dropping-particle" : "", "parse-names" : false, "suffix" : "" }, { "dropping-particle" : "", "family" : "Blanco", "given" : "J", "non-dropping-particle" : "", "parse-names" : false, "suffix" : "" }, { "dropping-particle" : "", "family" : "Fernandez", "given" : "M L", "non-dropping-particle" : "", "parse-names" : false, "suffix" : "" }, { "dropping-particle" : "", "family" : "Wyatt", "given" : "T", "non-dropping-particle" : "", "parse-names" : false, "suffix" : "" } ], "id" : "ITEM-2", "issued" : { "date-parts" : [ [ "1998" ] ] }, "page" : "97-100", "publisher" : "Xunta de Galicia and Intergovernmental Oceanographic Commission, UNESCO", "title" : "A historical review of Gymnodinium breve red tides implicated in mass mortalities of the manatee (Trichechus manatus latirostris) in Florida, USA", "type" : "chapter" }, "uris" : [ "http://www.mendeley.com/documents/?uuid=943ec31a-e52b-478b-bfa9-80010eba5dab" ] }, { "id" : "ITEM-3", "itemData" : { "author" : [ { "dropping-particle" : "", "family" : "Gannon", "given" : "D P", "non-dropping-particle" : "", "parse-names" : false, "suffix" : "" }, { "dropping-particle" : "", "family" : "Berens McCabe", "given" : "E J", "non-dropping-particle" : "", "parse-names" : false, "suffix" : "" }, { "dropping-particle" : "", "family" : "Camilleri", "given" : "S A", "non-dropping-particle" : "", "parse-names" : false, "suffix" : "" }, { "dropping-particle" : "", "family" : "Gannon", "given" : "J G", "non-dropping-particle" : "", "parse-names" : false, "suffix" : "" }, { "dropping-particle" : "", "family" : "Brueggen", "given" : "M K", "non-dropping-particle" : "", "parse-names" : false, "suffix" : "" }, { "dropping-particle" : "", "family" : "Barleycorn", "given" : "A A", "non-dropping-particle" : "", "parse-names" : false, "suffix" : "" }, { "dropping-particle" : "", "family" : "Palubok", "given" : "V I", "non-dropping-particle" : "", "parse-names" : false, "suffix" : "" }, { "dropping-particle" : "", "family" : "Kirkpatrick", "given" : "G J", "non-dropping-particle" : "", "parse-names" : false, "suffix" : "" }, { "dropping-particle" : "", "family" : "Wells", "given" : "R S", "non-dropping-particle" : "", "parse-names" : false, "suffix" : "" } ], "container-title" : "Marine Ecology Progress Series", "id" : "ITEM-3", "issued" : { "date-parts" : [ [ "2009" ] ] }, "page" : "171\u2013186", "title" : "Effects of Karenia brevis harmful algal blooms on nearshore fish communities in southwest Florida", "type" : "article-journal", "volume" : "378" }, "uris" : [ "http://www.mendeley.com/documents/?uuid=9307b437-bc6c-44a2-96ac-e6aa4fd1a5fc" ] } ], "mendeley" : { "formattedCitation" : "[12,21,22]", "plainTextFormattedCitation" : "[12,21,22]", "previouslyFormattedCitation" : "[12,21,22]" }, "properties" : { "noteIndex" : 0 }, "schema" : "https://github.com/citation-style-language/schema/raw/master/csl-citation.json" }</w:instrText>
      </w:r>
      <w:r w:rsidR="00E20F48" w:rsidRPr="00FA22F5">
        <w:fldChar w:fldCharType="separate"/>
      </w:r>
      <w:r w:rsidR="00ED0990" w:rsidRPr="00FA22F5">
        <w:rPr>
          <w:noProof/>
        </w:rPr>
        <w:t>[12,21,22]</w:t>
      </w:r>
      <w:r w:rsidR="00E20F48" w:rsidRPr="00FA22F5">
        <w:fldChar w:fldCharType="end"/>
      </w:r>
      <w:r w:rsidRPr="00FA22F5">
        <w:t xml:space="preserve">, and </w:t>
      </w:r>
      <w:r w:rsidR="00CE7938" w:rsidRPr="00FA22F5">
        <w:t>may</w:t>
      </w:r>
      <w:r w:rsidR="009068A6" w:rsidRPr="00FA22F5">
        <w:t xml:space="preserve"> </w:t>
      </w:r>
      <w:r w:rsidR="005E34A7" w:rsidRPr="00FA22F5">
        <w:t>provide</w:t>
      </w:r>
      <w:r w:rsidRPr="00FA22F5">
        <w:t xml:space="preserve"> a</w:t>
      </w:r>
      <w:r w:rsidR="009068A6" w:rsidRPr="00FA22F5">
        <w:t>n indirect</w:t>
      </w:r>
      <w:r w:rsidRPr="00FA22F5">
        <w:t xml:space="preserve"> relative measure of prey </w:t>
      </w:r>
      <w:r w:rsidR="00DD1812" w:rsidRPr="00FA22F5">
        <w:t xml:space="preserve">availability </w:t>
      </w:r>
      <w:r w:rsidRPr="00FA22F5">
        <w:t>in the area</w:t>
      </w:r>
      <w:r w:rsidR="00E61BC6" w:rsidRPr="00FA22F5">
        <w:t>.</w:t>
      </w:r>
    </w:p>
    <w:p w:rsidR="00831F62" w:rsidRPr="00FA22F5" w:rsidRDefault="00831F62" w:rsidP="00900153">
      <w:pPr>
        <w:spacing w:line="480" w:lineRule="auto"/>
      </w:pPr>
    </w:p>
    <w:p w:rsidR="00831F62" w:rsidRPr="00FA22F5" w:rsidRDefault="00831F62" w:rsidP="00900153">
      <w:pPr>
        <w:pStyle w:val="Rubrik3"/>
        <w:spacing w:line="480" w:lineRule="auto"/>
      </w:pPr>
      <w:r w:rsidRPr="00FA22F5">
        <w:t>References</w:t>
      </w:r>
    </w:p>
    <w:p w:rsidR="002A540E" w:rsidRPr="00FA22F5" w:rsidRDefault="003F6E95" w:rsidP="002A540E">
      <w:pPr>
        <w:widowControl w:val="0"/>
        <w:autoSpaceDE w:val="0"/>
        <w:autoSpaceDN w:val="0"/>
        <w:adjustRightInd w:val="0"/>
        <w:spacing w:line="480" w:lineRule="auto"/>
        <w:ind w:left="640" w:hanging="640"/>
        <w:rPr>
          <w:noProof/>
        </w:rPr>
      </w:pPr>
      <w:r w:rsidRPr="00FA22F5">
        <w:rPr>
          <w:rFonts w:eastAsia="Calibri"/>
          <w:b/>
        </w:rPr>
        <w:fldChar w:fldCharType="begin" w:fldLock="1"/>
      </w:r>
      <w:r w:rsidRPr="00FA22F5">
        <w:rPr>
          <w:rFonts w:eastAsia="Calibri"/>
          <w:b/>
        </w:rPr>
        <w:instrText xml:space="preserve">ADDIN Mendeley Bibliography CSL_BIBLIOGRAPHY </w:instrText>
      </w:r>
      <w:r w:rsidRPr="00FA22F5">
        <w:rPr>
          <w:rFonts w:eastAsia="Calibri"/>
          <w:b/>
        </w:rPr>
        <w:fldChar w:fldCharType="separate"/>
      </w:r>
      <w:r w:rsidR="002A540E" w:rsidRPr="00FA22F5">
        <w:rPr>
          <w:noProof/>
        </w:rPr>
        <w:t>1.</w:t>
      </w:r>
      <w:r w:rsidR="002A540E" w:rsidRPr="00FA22F5">
        <w:rPr>
          <w:noProof/>
        </w:rPr>
        <w:tab/>
        <w:t xml:space="preserve">Wells, R. S. 2014 Social structure and life history of common bottlenose dolphins near Sarasota Bay, Florida: Insights from four decades and five generations. In </w:t>
      </w:r>
      <w:r w:rsidR="002A540E" w:rsidRPr="00FA22F5">
        <w:rPr>
          <w:i/>
          <w:iCs/>
          <w:noProof/>
        </w:rPr>
        <w:t>Primates and cetaceans: Field research and conservation of complex mammalian societies</w:t>
      </w:r>
      <w:r w:rsidR="002A540E" w:rsidRPr="00FA22F5">
        <w:rPr>
          <w:noProof/>
        </w:rPr>
        <w:t xml:space="preserve"> (eds J. Yamagiwa &amp; L. Karczmarski), pp. 149–172. Tokyo, Japan: Springer.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2.</w:t>
      </w:r>
      <w:r w:rsidRPr="00FA22F5">
        <w:rPr>
          <w:noProof/>
        </w:rPr>
        <w:tab/>
        <w:t xml:space="preserve">Wells, R. S. 2009 Learning from nature: Bottlenose dolphin care and husbandry. </w:t>
      </w:r>
      <w:r w:rsidRPr="00FA22F5">
        <w:rPr>
          <w:i/>
          <w:iCs/>
          <w:noProof/>
        </w:rPr>
        <w:t>Zoo Biol.</w:t>
      </w:r>
      <w:r w:rsidRPr="00FA22F5">
        <w:rPr>
          <w:noProof/>
        </w:rPr>
        <w:t xml:space="preserve"> </w:t>
      </w:r>
      <w:r w:rsidRPr="00FA22F5">
        <w:rPr>
          <w:b/>
          <w:bCs/>
          <w:noProof/>
        </w:rPr>
        <w:t>28</w:t>
      </w:r>
      <w:r w:rsidRPr="00FA22F5">
        <w:rPr>
          <w:noProof/>
        </w:rPr>
        <w:t>, 635–651.</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3.</w:t>
      </w:r>
      <w:r w:rsidRPr="00FA22F5">
        <w:rPr>
          <w:noProof/>
        </w:rPr>
        <w:tab/>
        <w:t xml:space="preserve">Wells, R. S., Allen, J. B., Lovewell, G., Gorzelany, J., Delynn, R. E., Fauquier, D. A. &amp; Barros, N. B. 2015 Carcass-recovery rates for resident bottlenose dolphins in Sarasota Bay, Florida. </w:t>
      </w:r>
      <w:r w:rsidRPr="00FA22F5">
        <w:rPr>
          <w:i/>
          <w:iCs/>
          <w:noProof/>
        </w:rPr>
        <w:t>Mar. Mammal Sci.</w:t>
      </w:r>
      <w:r w:rsidRPr="00FA22F5">
        <w:rPr>
          <w:noProof/>
        </w:rPr>
        <w:t xml:space="preserve"> </w:t>
      </w:r>
      <w:r w:rsidRPr="00FA22F5">
        <w:rPr>
          <w:b/>
          <w:bCs/>
          <w:noProof/>
        </w:rPr>
        <w:t>31</w:t>
      </w:r>
      <w:r w:rsidRPr="00FA22F5">
        <w:rPr>
          <w:noProof/>
        </w:rPr>
        <w:t>, 355–368.</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4.</w:t>
      </w:r>
      <w:r w:rsidRPr="00FA22F5">
        <w:rPr>
          <w:noProof/>
        </w:rPr>
        <w:tab/>
        <w:t xml:space="preserve">Hammond, P. S., Mizroch, S. A. &amp; Donovan, G. P. 1990 Individual recognition of cetaceans: Use of photo-identification and other techniques to estimate population parameters. </w:t>
      </w:r>
      <w:r w:rsidRPr="00FA22F5">
        <w:rPr>
          <w:i/>
          <w:iCs/>
          <w:noProof/>
        </w:rPr>
        <w:t>Reports Int. Whal. Comm.</w:t>
      </w:r>
      <w:r w:rsidRPr="00FA22F5">
        <w:rPr>
          <w:noProof/>
        </w:rPr>
        <w:t xml:space="preserve"> , 440.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5.</w:t>
      </w:r>
      <w:r w:rsidRPr="00FA22F5">
        <w:rPr>
          <w:noProof/>
        </w:rPr>
        <w:tab/>
        <w:t xml:space="preserve">Finn, H., Donaldson, R. &amp; Calver, M. 2008 Feeding flipper: a case study of a human-dolphin interaction. </w:t>
      </w:r>
      <w:r w:rsidRPr="00FA22F5">
        <w:rPr>
          <w:i/>
          <w:iCs/>
          <w:noProof/>
        </w:rPr>
        <w:t>Pacific Conserv. Biol.</w:t>
      </w:r>
      <w:r w:rsidRPr="00FA22F5">
        <w:rPr>
          <w:noProof/>
        </w:rPr>
        <w:t xml:space="preserve"> </w:t>
      </w:r>
      <w:r w:rsidRPr="00FA22F5">
        <w:rPr>
          <w:b/>
          <w:bCs/>
          <w:noProof/>
        </w:rPr>
        <w:t>14</w:t>
      </w:r>
      <w:r w:rsidRPr="00FA22F5">
        <w:rPr>
          <w:noProof/>
        </w:rPr>
        <w:t xml:space="preserve">, 215–225.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6.</w:t>
      </w:r>
      <w:r w:rsidRPr="00FA22F5">
        <w:rPr>
          <w:noProof/>
        </w:rPr>
        <w:tab/>
        <w:t xml:space="preserve">Donaldson, R., Finn, H., Bejder, L., Lusseau, D. &amp; Calver, M. 2012 The social side of human-wildlife interaction: wildlife can learn harmful behaviours from each other. </w:t>
      </w:r>
      <w:r w:rsidRPr="00FA22F5">
        <w:rPr>
          <w:i/>
          <w:iCs/>
          <w:noProof/>
        </w:rPr>
        <w:t>Anim. Conserv.</w:t>
      </w:r>
      <w:r w:rsidRPr="00FA22F5">
        <w:rPr>
          <w:noProof/>
        </w:rPr>
        <w:t xml:space="preserve"> </w:t>
      </w:r>
      <w:r w:rsidRPr="00FA22F5">
        <w:rPr>
          <w:b/>
          <w:bCs/>
          <w:noProof/>
        </w:rPr>
        <w:t>15</w:t>
      </w:r>
      <w:r w:rsidRPr="00FA22F5">
        <w:rPr>
          <w:noProof/>
        </w:rPr>
        <w:t>, 427–435.</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7.</w:t>
      </w:r>
      <w:r w:rsidRPr="00FA22F5">
        <w:rPr>
          <w:noProof/>
        </w:rPr>
        <w:tab/>
        <w:t>Wells, R. S. et al. 2008 Consequences of injuries on survival and reproduction of common bottlenose dolphins (</w:t>
      </w:r>
      <w:r w:rsidRPr="00FA22F5">
        <w:rPr>
          <w:i/>
          <w:noProof/>
        </w:rPr>
        <w:t>Tursiops truncatus</w:t>
      </w:r>
      <w:r w:rsidRPr="00FA22F5">
        <w:rPr>
          <w:noProof/>
        </w:rPr>
        <w:t xml:space="preserve">) along the west coast of Florida. </w:t>
      </w:r>
      <w:r w:rsidRPr="00FA22F5">
        <w:rPr>
          <w:i/>
          <w:iCs/>
          <w:noProof/>
        </w:rPr>
        <w:t>Mar. Mammal Sci.</w:t>
      </w:r>
      <w:r w:rsidRPr="00FA22F5">
        <w:rPr>
          <w:noProof/>
        </w:rPr>
        <w:t xml:space="preserve"> </w:t>
      </w:r>
      <w:r w:rsidRPr="00FA22F5">
        <w:rPr>
          <w:b/>
          <w:bCs/>
          <w:noProof/>
        </w:rPr>
        <w:t>24</w:t>
      </w:r>
      <w:r w:rsidRPr="00FA22F5">
        <w:rPr>
          <w:noProof/>
        </w:rPr>
        <w:t>, 774–794.</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lastRenderedPageBreak/>
        <w:t>8.</w:t>
      </w:r>
      <w:r w:rsidRPr="00FA22F5">
        <w:rPr>
          <w:noProof/>
        </w:rPr>
        <w:tab/>
        <w:t xml:space="preserve">Pirotta, E., Thompson, P. M., Cheney, B., Donovan, C. R. &amp; Lusseau, D. 2015 Estimating spatial, temporal and individual variability in dolphin cumulative exposure to boat traffic using spatially explicit capture-recapture methods. </w:t>
      </w:r>
      <w:r w:rsidRPr="00FA22F5">
        <w:rPr>
          <w:i/>
          <w:iCs/>
          <w:noProof/>
        </w:rPr>
        <w:t>Anim. Conserv.</w:t>
      </w:r>
      <w:r w:rsidRPr="00FA22F5">
        <w:rPr>
          <w:noProof/>
        </w:rPr>
        <w:t xml:space="preserve"> </w:t>
      </w:r>
      <w:r w:rsidRPr="00FA22F5">
        <w:rPr>
          <w:b/>
          <w:bCs/>
          <w:noProof/>
        </w:rPr>
        <w:t>18</w:t>
      </w:r>
      <w:r w:rsidRPr="00FA22F5">
        <w:rPr>
          <w:noProof/>
        </w:rPr>
        <w:t>, 20–31.</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9.</w:t>
      </w:r>
      <w:r w:rsidRPr="00FA22F5">
        <w:rPr>
          <w:noProof/>
        </w:rPr>
        <w:tab/>
        <w:t xml:space="preserve">Christiansen, F., Bertulli, C. G., Rasmussen, M. H. &amp; Lusseau, D. 2015 Estimating cumulative exposure of wildlife to non-lethal disturbance using spatially explicit capture-recapture models. </w:t>
      </w:r>
      <w:r w:rsidRPr="00FA22F5">
        <w:rPr>
          <w:i/>
          <w:iCs/>
          <w:noProof/>
        </w:rPr>
        <w:t>J. Wildl. Manage.</w:t>
      </w:r>
      <w:r w:rsidRPr="00FA22F5">
        <w:rPr>
          <w:noProof/>
        </w:rPr>
        <w:t xml:space="preserve"> </w:t>
      </w:r>
      <w:r w:rsidRPr="00FA22F5">
        <w:rPr>
          <w:b/>
          <w:bCs/>
          <w:noProof/>
        </w:rPr>
        <w:t>79</w:t>
      </w:r>
      <w:r w:rsidRPr="00FA22F5">
        <w:rPr>
          <w:noProof/>
        </w:rPr>
        <w:t>, 311–324.</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10.</w:t>
      </w:r>
      <w:r w:rsidRPr="00FA22F5">
        <w:rPr>
          <w:noProof/>
        </w:rPr>
        <w:tab/>
        <w:t xml:space="preserve">Whitehead, H. 2008 </w:t>
      </w:r>
      <w:r w:rsidRPr="00FA22F5">
        <w:rPr>
          <w:i/>
          <w:iCs/>
          <w:noProof/>
        </w:rPr>
        <w:t>Analyzing animal societies: quantitative methods for vertebrate social analysis</w:t>
      </w:r>
      <w:r w:rsidRPr="00FA22F5">
        <w:rPr>
          <w:noProof/>
        </w:rPr>
        <w:t xml:space="preserve">. University of Chicago Press.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11.</w:t>
      </w:r>
      <w:r w:rsidRPr="00FA22F5">
        <w:rPr>
          <w:noProof/>
        </w:rPr>
        <w:tab/>
        <w:t xml:space="preserve">Hohn, A. A., Scott, M. D., Wells, R. S. &amp; Sweeney, J. C. 1989 Growth layers in teeth from known-age, free-ranging bottlenose dolphins. </w:t>
      </w:r>
      <w:r w:rsidRPr="00FA22F5">
        <w:rPr>
          <w:i/>
          <w:iCs/>
          <w:noProof/>
        </w:rPr>
        <w:t>Mar. Mammal Sci.</w:t>
      </w:r>
      <w:r w:rsidRPr="00FA22F5">
        <w:rPr>
          <w:noProof/>
        </w:rPr>
        <w:t xml:space="preserve"> </w:t>
      </w:r>
      <w:r w:rsidRPr="00FA22F5">
        <w:rPr>
          <w:b/>
          <w:bCs/>
          <w:noProof/>
        </w:rPr>
        <w:t>5</w:t>
      </w:r>
      <w:r w:rsidRPr="00FA22F5">
        <w:rPr>
          <w:noProof/>
        </w:rPr>
        <w:t xml:space="preserve">, 315–342.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12.</w:t>
      </w:r>
      <w:r w:rsidRPr="00FA22F5">
        <w:rPr>
          <w:noProof/>
        </w:rPr>
        <w:tab/>
        <w:t xml:space="preserve">Gannon, D. P., Berens McCabe, E. J., Camilleri, S. A., Gannon, J. G., Brueggen, M. K., Barleycorn, A. A., Palubok, V. I., Kirkpatrick, G. J. &amp; Wells, R. S. 2009 Effects of </w:t>
      </w:r>
      <w:r w:rsidRPr="00FA22F5">
        <w:rPr>
          <w:i/>
          <w:noProof/>
        </w:rPr>
        <w:t>Karenia brevis</w:t>
      </w:r>
      <w:r w:rsidRPr="00FA22F5">
        <w:rPr>
          <w:noProof/>
        </w:rPr>
        <w:t xml:space="preserve"> harmful algal blooms on nearshore fish communities in southwest Florida. </w:t>
      </w:r>
      <w:r w:rsidRPr="00FA22F5">
        <w:rPr>
          <w:i/>
          <w:iCs/>
          <w:noProof/>
        </w:rPr>
        <w:t>Mar. Ecol. Prog. Ser.</w:t>
      </w:r>
      <w:r w:rsidRPr="00FA22F5">
        <w:rPr>
          <w:noProof/>
        </w:rPr>
        <w:t xml:space="preserve"> </w:t>
      </w:r>
      <w:r w:rsidRPr="00FA22F5">
        <w:rPr>
          <w:b/>
          <w:bCs/>
          <w:noProof/>
        </w:rPr>
        <w:t>378</w:t>
      </w:r>
      <w:r w:rsidRPr="00FA22F5">
        <w:rPr>
          <w:noProof/>
        </w:rPr>
        <w:t xml:space="preserve">, 171–186.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13.</w:t>
      </w:r>
      <w:r w:rsidRPr="00FA22F5">
        <w:rPr>
          <w:noProof/>
        </w:rPr>
        <w:tab/>
        <w:t>Barros, N. B. &amp; Wells, R. S. 1998 Prey and feeding patterns of resident bottlenose dolphins (</w:t>
      </w:r>
      <w:r w:rsidRPr="00FA22F5">
        <w:rPr>
          <w:i/>
          <w:noProof/>
        </w:rPr>
        <w:t>Tursiops truncatus</w:t>
      </w:r>
      <w:r w:rsidRPr="00FA22F5">
        <w:rPr>
          <w:noProof/>
        </w:rPr>
        <w:t xml:space="preserve">) in Sarasota Bay, Florida. </w:t>
      </w:r>
      <w:r w:rsidRPr="00FA22F5">
        <w:rPr>
          <w:i/>
          <w:iCs/>
          <w:noProof/>
        </w:rPr>
        <w:t>J. Mammal.</w:t>
      </w:r>
      <w:r w:rsidRPr="00FA22F5">
        <w:rPr>
          <w:noProof/>
        </w:rPr>
        <w:t xml:space="preserve"> </w:t>
      </w:r>
      <w:r w:rsidRPr="00FA22F5">
        <w:rPr>
          <w:b/>
          <w:bCs/>
          <w:noProof/>
        </w:rPr>
        <w:t>79</w:t>
      </w:r>
      <w:r w:rsidRPr="00FA22F5">
        <w:rPr>
          <w:noProof/>
        </w:rPr>
        <w:t xml:space="preserve">, 1045–1059.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14.</w:t>
      </w:r>
      <w:r w:rsidRPr="00FA22F5">
        <w:rPr>
          <w:noProof/>
        </w:rPr>
        <w:tab/>
        <w:t>Berens McCabe, E. J., Gannon, D. P., Barros, N. B. &amp; Wells, R. S. 2010 Prey selection by resident common bottlenose dolphins (</w:t>
      </w:r>
      <w:r w:rsidRPr="00FA22F5">
        <w:rPr>
          <w:i/>
          <w:noProof/>
        </w:rPr>
        <w:t>Tursiops truncatus</w:t>
      </w:r>
      <w:r w:rsidRPr="00FA22F5">
        <w:rPr>
          <w:noProof/>
        </w:rPr>
        <w:t xml:space="preserve">) in Sarasota Bay, Florida. </w:t>
      </w:r>
      <w:r w:rsidRPr="00FA22F5">
        <w:rPr>
          <w:i/>
          <w:iCs/>
          <w:noProof/>
        </w:rPr>
        <w:t>Mar. Biol.</w:t>
      </w:r>
      <w:r w:rsidRPr="00FA22F5">
        <w:rPr>
          <w:noProof/>
        </w:rPr>
        <w:t xml:space="preserve"> </w:t>
      </w:r>
      <w:r w:rsidRPr="00FA22F5">
        <w:rPr>
          <w:b/>
          <w:bCs/>
          <w:noProof/>
        </w:rPr>
        <w:t>157</w:t>
      </w:r>
      <w:r w:rsidRPr="00FA22F5">
        <w:rPr>
          <w:noProof/>
        </w:rPr>
        <w:t xml:space="preserve">, 931–942.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15.</w:t>
      </w:r>
      <w:r w:rsidRPr="00FA22F5">
        <w:rPr>
          <w:noProof/>
        </w:rPr>
        <w:tab/>
        <w:t xml:space="preserve">Dunshea, G., Barros, N. B., Berens McCabe, E. J., Gales, N. J., Hindell, M. A., Jarman, S. N. &amp; Wells, R. S. 2013 Stranded dolphin stomach contents represent the free-ranging population’s diet. </w:t>
      </w:r>
      <w:r w:rsidRPr="00FA22F5">
        <w:rPr>
          <w:i/>
          <w:iCs/>
          <w:noProof/>
        </w:rPr>
        <w:t>Biol. Lett.</w:t>
      </w:r>
      <w:r w:rsidRPr="00FA22F5">
        <w:rPr>
          <w:noProof/>
        </w:rPr>
        <w:t xml:space="preserve"> </w:t>
      </w:r>
      <w:r w:rsidRPr="00FA22F5">
        <w:rPr>
          <w:b/>
          <w:bCs/>
          <w:noProof/>
        </w:rPr>
        <w:t>9</w:t>
      </w:r>
      <w:r w:rsidRPr="00FA22F5">
        <w:rPr>
          <w:noProof/>
        </w:rPr>
        <w:t xml:space="preserve">, 20121036.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16.</w:t>
      </w:r>
      <w:r w:rsidRPr="00FA22F5">
        <w:rPr>
          <w:noProof/>
        </w:rPr>
        <w:tab/>
        <w:t xml:space="preserve">Lund, J. W. G., Kipling, C. &amp; LeCren, E. D. 1958 The inverted microscope method of estimating algal numbers and the statistical basis of estimations of counting. </w:t>
      </w:r>
      <w:r w:rsidRPr="00FA22F5">
        <w:rPr>
          <w:i/>
          <w:iCs/>
          <w:noProof/>
        </w:rPr>
        <w:lastRenderedPageBreak/>
        <w:t>Hydrobiologia</w:t>
      </w:r>
      <w:r w:rsidRPr="00FA22F5">
        <w:rPr>
          <w:noProof/>
        </w:rPr>
        <w:t xml:space="preserve"> </w:t>
      </w:r>
      <w:r w:rsidRPr="00FA22F5">
        <w:rPr>
          <w:b/>
          <w:bCs/>
          <w:noProof/>
        </w:rPr>
        <w:t>11</w:t>
      </w:r>
      <w:r w:rsidRPr="00FA22F5">
        <w:rPr>
          <w:noProof/>
        </w:rPr>
        <w:t xml:space="preserve">, 143–170.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17.</w:t>
      </w:r>
      <w:r w:rsidRPr="00FA22F5">
        <w:rPr>
          <w:noProof/>
        </w:rPr>
        <w:tab/>
        <w:t xml:space="preserve">Sournia, A. 1978 </w:t>
      </w:r>
      <w:r w:rsidRPr="00FA22F5">
        <w:rPr>
          <w:i/>
          <w:iCs/>
          <w:noProof/>
        </w:rPr>
        <w:t>Phytoplankton manual</w:t>
      </w:r>
      <w:r w:rsidRPr="00FA22F5">
        <w:rPr>
          <w:noProof/>
        </w:rPr>
        <w:t xml:space="preserve">. Paris: UNESCO.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18.</w:t>
      </w:r>
      <w:r w:rsidRPr="00FA22F5">
        <w:rPr>
          <w:noProof/>
        </w:rPr>
        <w:tab/>
        <w:t xml:space="preserve">Sellner, K. G., Doucette, G. J. &amp; Kirkpatrick, G. J. 2003 Harmful algal blooms: causes, impacts, and detection. </w:t>
      </w:r>
      <w:r w:rsidRPr="00FA22F5">
        <w:rPr>
          <w:i/>
          <w:iCs/>
          <w:noProof/>
        </w:rPr>
        <w:t>J. Ind. Microbiol.</w:t>
      </w:r>
      <w:r w:rsidRPr="00FA22F5">
        <w:rPr>
          <w:noProof/>
        </w:rPr>
        <w:t xml:space="preserve"> </w:t>
      </w:r>
      <w:r w:rsidRPr="00FA22F5">
        <w:rPr>
          <w:b/>
          <w:bCs/>
          <w:noProof/>
        </w:rPr>
        <w:t>30</w:t>
      </w:r>
      <w:r w:rsidRPr="00FA22F5">
        <w:rPr>
          <w:noProof/>
        </w:rPr>
        <w:t xml:space="preserve">, 383–406.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19.</w:t>
      </w:r>
      <w:r w:rsidRPr="00FA22F5">
        <w:rPr>
          <w:noProof/>
        </w:rPr>
        <w:tab/>
        <w:t xml:space="preserve">Utermöhl, H. 1958 Zur vervollkommnung der quantitativen phytoplankton-methodik. </w:t>
      </w:r>
      <w:r w:rsidRPr="00FA22F5">
        <w:rPr>
          <w:i/>
          <w:iCs/>
          <w:noProof/>
        </w:rPr>
        <w:t>Mitteilung Int. Vereinigung fuer Theor. unde Amgewandte Limnol.</w:t>
      </w:r>
      <w:r w:rsidRPr="00FA22F5">
        <w:rPr>
          <w:noProof/>
        </w:rPr>
        <w:t xml:space="preserve"> </w:t>
      </w:r>
      <w:r w:rsidRPr="00FA22F5">
        <w:rPr>
          <w:b/>
          <w:bCs/>
          <w:noProof/>
        </w:rPr>
        <w:t>9</w:t>
      </w:r>
      <w:r w:rsidRPr="00FA22F5">
        <w:rPr>
          <w:noProof/>
        </w:rPr>
        <w:t xml:space="preserve">, 1–38.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20.</w:t>
      </w:r>
      <w:r w:rsidRPr="00FA22F5">
        <w:rPr>
          <w:noProof/>
        </w:rPr>
        <w:tab/>
        <w:t xml:space="preserve">Guillard, R. 1973 Division rates. In </w:t>
      </w:r>
      <w:r w:rsidRPr="00FA22F5">
        <w:rPr>
          <w:i/>
          <w:iCs/>
          <w:noProof/>
        </w:rPr>
        <w:t>Phycological methods</w:t>
      </w:r>
      <w:r w:rsidRPr="00FA22F5">
        <w:rPr>
          <w:noProof/>
        </w:rPr>
        <w:t xml:space="preserve"> (ed J. Stein), pp. 289–311. Cambridge: Cambridge University Press. </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21.</w:t>
      </w:r>
      <w:r w:rsidRPr="00FA22F5">
        <w:rPr>
          <w:noProof/>
        </w:rPr>
        <w:tab/>
        <w:t xml:space="preserve">Quick, J. A. &amp; Henderson, G. E. 1975 Effects of </w:t>
      </w:r>
      <w:r w:rsidRPr="00FA22F5">
        <w:rPr>
          <w:i/>
          <w:noProof/>
        </w:rPr>
        <w:t>Gymnodinium breve</w:t>
      </w:r>
      <w:r w:rsidRPr="00FA22F5">
        <w:rPr>
          <w:noProof/>
        </w:rPr>
        <w:t xml:space="preserve"> red tide on fishes and birds: a preliminary report on behavior, anatomy, hematology, and histopathology. In </w:t>
      </w:r>
      <w:r w:rsidRPr="00FA22F5">
        <w:rPr>
          <w:i/>
          <w:iCs/>
          <w:noProof/>
        </w:rPr>
        <w:t>Proceedings of the Gulf Coast regional symposium on diseases of aquatic animals</w:t>
      </w:r>
      <w:r w:rsidRPr="00FA22F5">
        <w:rPr>
          <w:noProof/>
        </w:rPr>
        <w:t>, pp. 85–115.</w:t>
      </w:r>
    </w:p>
    <w:p w:rsidR="002A540E" w:rsidRPr="00FA22F5" w:rsidRDefault="002A540E" w:rsidP="002A540E">
      <w:pPr>
        <w:widowControl w:val="0"/>
        <w:autoSpaceDE w:val="0"/>
        <w:autoSpaceDN w:val="0"/>
        <w:adjustRightInd w:val="0"/>
        <w:spacing w:line="480" w:lineRule="auto"/>
        <w:ind w:left="640" w:hanging="640"/>
        <w:rPr>
          <w:noProof/>
        </w:rPr>
      </w:pPr>
      <w:r w:rsidRPr="00FA22F5">
        <w:rPr>
          <w:noProof/>
        </w:rPr>
        <w:t>22.</w:t>
      </w:r>
      <w:r w:rsidRPr="00FA22F5">
        <w:rPr>
          <w:noProof/>
        </w:rPr>
        <w:tab/>
        <w:t xml:space="preserve">Landsberg, J. H. &amp; Steidinger, K. A. 1998 A historical review of </w:t>
      </w:r>
      <w:r w:rsidRPr="00FA22F5">
        <w:rPr>
          <w:i/>
          <w:noProof/>
        </w:rPr>
        <w:t>Gymnodinium breve</w:t>
      </w:r>
      <w:r w:rsidRPr="00FA22F5">
        <w:rPr>
          <w:noProof/>
        </w:rPr>
        <w:t xml:space="preserve"> red tides implicated in mass mortalities of the manatee (</w:t>
      </w:r>
      <w:r w:rsidRPr="00FA22F5">
        <w:rPr>
          <w:i/>
          <w:noProof/>
        </w:rPr>
        <w:t>Trichechus manatus latirostris</w:t>
      </w:r>
      <w:r w:rsidRPr="00FA22F5">
        <w:rPr>
          <w:noProof/>
        </w:rPr>
        <w:t xml:space="preserve">) in Florida, USA. In </w:t>
      </w:r>
      <w:r w:rsidRPr="00FA22F5">
        <w:rPr>
          <w:i/>
          <w:iCs/>
          <w:noProof/>
        </w:rPr>
        <w:t>Harmful algae</w:t>
      </w:r>
      <w:r w:rsidRPr="00FA22F5">
        <w:rPr>
          <w:noProof/>
        </w:rPr>
        <w:t xml:space="preserve"> (eds B. Reguera J. Blanco M. L. Fernandez &amp; T. Wyatt), pp. 97–100. Xunta de Galicia and Intergovernmental Oceanographic Commission, UNESCO. </w:t>
      </w:r>
    </w:p>
    <w:p w:rsidR="00552E3E" w:rsidRPr="00FA22F5" w:rsidRDefault="003F6E95" w:rsidP="002A540E">
      <w:pPr>
        <w:widowControl w:val="0"/>
        <w:autoSpaceDE w:val="0"/>
        <w:autoSpaceDN w:val="0"/>
        <w:adjustRightInd w:val="0"/>
        <w:spacing w:line="480" w:lineRule="auto"/>
        <w:ind w:left="640" w:hanging="640"/>
        <w:rPr>
          <w:noProof/>
          <w:lang w:eastAsia="en-GB"/>
        </w:rPr>
      </w:pPr>
      <w:r w:rsidRPr="00FA22F5">
        <w:rPr>
          <w:rFonts w:eastAsia="Calibri"/>
          <w:b/>
        </w:rPr>
        <w:fldChar w:fldCharType="end"/>
      </w:r>
      <w:r w:rsidR="00552E3E" w:rsidRPr="00FA22F5">
        <w:rPr>
          <w:noProof/>
          <w:lang w:eastAsia="en-GB"/>
        </w:rPr>
        <w:br w:type="page"/>
      </w:r>
    </w:p>
    <w:p w:rsidR="008221C8" w:rsidRPr="00FA22F5" w:rsidRDefault="008221C8" w:rsidP="00900153">
      <w:pPr>
        <w:pStyle w:val="Rubrik2"/>
        <w:spacing w:line="480" w:lineRule="auto"/>
        <w:rPr>
          <w:noProof/>
          <w:lang w:eastAsia="en-GB"/>
        </w:rPr>
      </w:pPr>
      <w:r w:rsidRPr="00FA22F5">
        <w:rPr>
          <w:noProof/>
          <w:lang w:eastAsia="en-GB"/>
        </w:rPr>
        <w:lastRenderedPageBreak/>
        <w:t>Figures</w:t>
      </w:r>
    </w:p>
    <w:p w:rsidR="001A4D83" w:rsidRPr="00FA22F5" w:rsidRDefault="001A4D83" w:rsidP="00900153">
      <w:pPr>
        <w:spacing w:line="480" w:lineRule="auto"/>
        <w:rPr>
          <w:lang w:eastAsia="en-GB"/>
        </w:rPr>
      </w:pPr>
    </w:p>
    <w:p w:rsidR="001A4D83" w:rsidRPr="00FA22F5" w:rsidRDefault="001A4D83" w:rsidP="00900153">
      <w:pPr>
        <w:spacing w:line="480" w:lineRule="auto"/>
        <w:rPr>
          <w:noProof/>
          <w:sz w:val="28"/>
          <w:lang w:eastAsia="en-GB"/>
        </w:rPr>
      </w:pPr>
      <w:r w:rsidRPr="00FA22F5">
        <w:rPr>
          <w:b/>
        </w:rPr>
        <w:t>Fig</w:t>
      </w:r>
      <w:r w:rsidR="004A4997" w:rsidRPr="00FA22F5">
        <w:rPr>
          <w:b/>
        </w:rPr>
        <w:t>ure</w:t>
      </w:r>
      <w:r w:rsidRPr="00FA22F5">
        <w:rPr>
          <w:b/>
        </w:rPr>
        <w:t xml:space="preserve"> S1.</w:t>
      </w:r>
      <w:r w:rsidRPr="00FA22F5">
        <w:t xml:space="preserve"> Number of dolphin sightings (indicated by colour scale) for each month and year during the study period. The number of dolphin sightings is also given by the numbers in the cells.</w:t>
      </w:r>
    </w:p>
    <w:p w:rsidR="006D385A" w:rsidRPr="00FA22F5" w:rsidRDefault="006F5B6C" w:rsidP="00900153">
      <w:pPr>
        <w:spacing w:line="480" w:lineRule="auto"/>
        <w:rPr>
          <w:sz w:val="28"/>
        </w:rPr>
      </w:pPr>
      <w:r w:rsidRPr="00FA22F5">
        <w:rPr>
          <w:noProof/>
          <w:sz w:val="28"/>
          <w:lang w:eastAsia="en-GB"/>
        </w:rPr>
        <w:drawing>
          <wp:inline distT="0" distB="0" distL="0" distR="0" wp14:anchorId="021E1A4A" wp14:editId="57E33BC3">
            <wp:extent cx="5523565" cy="4608214"/>
            <wp:effectExtent l="0" t="0" r="127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tiff"/>
                    <pic:cNvPicPr/>
                  </pic:nvPicPr>
                  <pic:blipFill rotWithShape="1">
                    <a:blip r:embed="rId8" cstate="print">
                      <a:extLst>
                        <a:ext uri="{28A0092B-C50C-407E-A947-70E740481C1C}">
                          <a14:useLocalDpi xmlns:a14="http://schemas.microsoft.com/office/drawing/2010/main" val="0"/>
                        </a:ext>
                      </a:extLst>
                    </a:blip>
                    <a:srcRect t="2676"/>
                    <a:stretch/>
                  </pic:blipFill>
                  <pic:spPr bwMode="auto">
                    <a:xfrm>
                      <a:off x="0" y="0"/>
                      <a:ext cx="5534000" cy="4616920"/>
                    </a:xfrm>
                    <a:prstGeom prst="rect">
                      <a:avLst/>
                    </a:prstGeom>
                    <a:ln>
                      <a:noFill/>
                    </a:ln>
                    <a:extLst>
                      <a:ext uri="{53640926-AAD7-44D8-BBD7-CCE9431645EC}">
                        <a14:shadowObscured xmlns:a14="http://schemas.microsoft.com/office/drawing/2010/main"/>
                      </a:ext>
                    </a:extLst>
                  </pic:spPr>
                </pic:pic>
              </a:graphicData>
            </a:graphic>
          </wp:inline>
        </w:drawing>
      </w:r>
    </w:p>
    <w:p w:rsidR="001A4D83" w:rsidRPr="00FA22F5" w:rsidRDefault="001A4D83" w:rsidP="00900153">
      <w:pPr>
        <w:spacing w:after="200" w:line="480" w:lineRule="auto"/>
        <w:rPr>
          <w:b/>
        </w:rPr>
      </w:pPr>
      <w:r w:rsidRPr="00FA22F5">
        <w:rPr>
          <w:b/>
        </w:rPr>
        <w:br w:type="page"/>
      </w:r>
    </w:p>
    <w:p w:rsidR="00085816" w:rsidRPr="00FA22F5" w:rsidRDefault="001A4D83" w:rsidP="00900153">
      <w:pPr>
        <w:spacing w:line="480" w:lineRule="auto"/>
        <w:rPr>
          <w:b/>
        </w:rPr>
      </w:pPr>
      <w:r w:rsidRPr="00FA22F5">
        <w:rPr>
          <w:b/>
        </w:rPr>
        <w:lastRenderedPageBreak/>
        <w:t>Fig</w:t>
      </w:r>
      <w:r w:rsidR="004A4997" w:rsidRPr="00FA22F5">
        <w:rPr>
          <w:b/>
        </w:rPr>
        <w:t>ure</w:t>
      </w:r>
      <w:r w:rsidRPr="00FA22F5">
        <w:rPr>
          <w:b/>
        </w:rPr>
        <w:t xml:space="preserve"> S2.</w:t>
      </w:r>
      <w:r w:rsidRPr="00FA22F5">
        <w:t xml:space="preserve"> Probability of conditioning in bottlenose dolphins as a function of the coefficient of association with already conditioned animals (COA). The lines represent the fitted values of the generalized linear models, with the line types corresponding to the different time periods over which COA was estimated (between one to five years). The red line highlights the best fitting model (i.e. COA estimated over two years) based on model selection using Akaike’s Information Criterion (AIC</w:t>
      </w:r>
      <w:r w:rsidRPr="00FA22F5">
        <w:rPr>
          <w:vertAlign w:val="subscript"/>
        </w:rPr>
        <w:t>1 year</w:t>
      </w:r>
      <w:r w:rsidRPr="00FA22F5">
        <w:t>=413.0, AIC</w:t>
      </w:r>
      <w:r w:rsidRPr="00FA22F5">
        <w:rPr>
          <w:vertAlign w:val="subscript"/>
        </w:rPr>
        <w:t>2 years</w:t>
      </w:r>
      <w:r w:rsidRPr="00FA22F5">
        <w:t>=400.4, AIC</w:t>
      </w:r>
      <w:r w:rsidRPr="00FA22F5">
        <w:rPr>
          <w:vertAlign w:val="subscript"/>
        </w:rPr>
        <w:t>3 years</w:t>
      </w:r>
      <w:r w:rsidRPr="00FA22F5">
        <w:t>=424.1, AIC</w:t>
      </w:r>
      <w:r w:rsidRPr="00FA22F5">
        <w:rPr>
          <w:vertAlign w:val="subscript"/>
        </w:rPr>
        <w:t>4 years</w:t>
      </w:r>
      <w:r w:rsidRPr="00FA22F5">
        <w:t>=452.8, AIC</w:t>
      </w:r>
      <w:r w:rsidRPr="00FA22F5">
        <w:rPr>
          <w:vertAlign w:val="subscript"/>
        </w:rPr>
        <w:t>5 years</w:t>
      </w:r>
      <w:r w:rsidRPr="00FA22F5">
        <w:t>=469.5). n=524.</w:t>
      </w:r>
      <w:r w:rsidR="00E6543C" w:rsidRPr="00FA22F5">
        <w:rPr>
          <w:b/>
          <w:noProof/>
          <w:lang w:eastAsia="en-GB"/>
        </w:rPr>
        <w:drawing>
          <wp:inline distT="0" distB="0" distL="0" distR="0" wp14:anchorId="43787F20" wp14:editId="00B1D847">
            <wp:extent cx="5303520" cy="3502071"/>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tiff"/>
                    <pic:cNvPicPr/>
                  </pic:nvPicPr>
                  <pic:blipFill rotWithShape="1">
                    <a:blip r:embed="rId9" cstate="print">
                      <a:extLst>
                        <a:ext uri="{28A0092B-C50C-407E-A947-70E740481C1C}">
                          <a14:useLocalDpi xmlns:a14="http://schemas.microsoft.com/office/drawing/2010/main" val="0"/>
                        </a:ext>
                      </a:extLst>
                    </a:blip>
                    <a:srcRect t="12603" r="3071" b="2064"/>
                    <a:stretch/>
                  </pic:blipFill>
                  <pic:spPr bwMode="auto">
                    <a:xfrm>
                      <a:off x="0" y="0"/>
                      <a:ext cx="5309644" cy="3506115"/>
                    </a:xfrm>
                    <a:prstGeom prst="rect">
                      <a:avLst/>
                    </a:prstGeom>
                    <a:ln>
                      <a:noFill/>
                    </a:ln>
                    <a:extLst>
                      <a:ext uri="{53640926-AAD7-44D8-BBD7-CCE9431645EC}">
                        <a14:shadowObscured xmlns:a14="http://schemas.microsoft.com/office/drawing/2010/main"/>
                      </a:ext>
                    </a:extLst>
                  </pic:spPr>
                </pic:pic>
              </a:graphicData>
            </a:graphic>
          </wp:inline>
        </w:drawing>
      </w:r>
    </w:p>
    <w:p w:rsidR="001A4D83" w:rsidRPr="00FA22F5" w:rsidRDefault="001A4D83" w:rsidP="00900153">
      <w:pPr>
        <w:spacing w:after="200" w:line="480" w:lineRule="auto"/>
        <w:rPr>
          <w:b/>
        </w:rPr>
      </w:pPr>
      <w:r w:rsidRPr="00FA22F5">
        <w:rPr>
          <w:b/>
        </w:rPr>
        <w:br w:type="page"/>
      </w:r>
    </w:p>
    <w:p w:rsidR="001A4D83" w:rsidRPr="00FA22F5" w:rsidRDefault="001A4D83" w:rsidP="00900153">
      <w:pPr>
        <w:spacing w:line="480" w:lineRule="auto"/>
        <w:rPr>
          <w:b/>
          <w:noProof/>
          <w:lang w:eastAsia="en-GB"/>
        </w:rPr>
      </w:pPr>
      <w:r w:rsidRPr="00FA22F5">
        <w:rPr>
          <w:b/>
        </w:rPr>
        <w:lastRenderedPageBreak/>
        <w:t>Fig</w:t>
      </w:r>
      <w:r w:rsidR="004A4997" w:rsidRPr="00FA22F5">
        <w:rPr>
          <w:b/>
        </w:rPr>
        <w:t>ure</w:t>
      </w:r>
      <w:r w:rsidRPr="00FA22F5">
        <w:rPr>
          <w:b/>
        </w:rPr>
        <w:t xml:space="preserve"> S3.</w:t>
      </w:r>
      <w:r w:rsidRPr="00FA22F5">
        <w:t xml:space="preserve"> Temporal trends in (</w:t>
      </w:r>
      <w:r w:rsidRPr="00FA22F5">
        <w:rPr>
          <w:i/>
        </w:rPr>
        <w:t>a</w:t>
      </w:r>
      <w:r w:rsidRPr="00FA22F5">
        <w:t>) boat intensity, (</w:t>
      </w:r>
      <w:r w:rsidRPr="00FA22F5">
        <w:rPr>
          <w:i/>
        </w:rPr>
        <w:t>b</w:t>
      </w:r>
      <w:r w:rsidRPr="00FA22F5">
        <w:t>) coefficient of association with conditioned animals (COA), (</w:t>
      </w:r>
      <w:r w:rsidRPr="00FA22F5">
        <w:rPr>
          <w:i/>
        </w:rPr>
        <w:t>c</w:t>
      </w:r>
      <w:r w:rsidRPr="00FA22F5">
        <w:t>) catch-per-unit-effort (CPUE) of dolphin prey species and (</w:t>
      </w:r>
      <w:r w:rsidRPr="00FA22F5">
        <w:rPr>
          <w:i/>
        </w:rPr>
        <w:t>d</w:t>
      </w:r>
      <w:r w:rsidRPr="00FA22F5">
        <w:t xml:space="preserve">) number of weeks with high red tide concentrations (&gt;100,000 </w:t>
      </w:r>
      <w:r w:rsidRPr="00FA22F5">
        <w:rPr>
          <w:i/>
        </w:rPr>
        <w:t>Karenia brevis</w:t>
      </w:r>
      <w:r w:rsidRPr="00FA22F5">
        <w:t xml:space="preserve"> cells per litre). A cubic smoothing spline (black solid lines) was fitted to each variable, with the degrees of freedom set to </w:t>
      </w:r>
      <w:r w:rsidR="00AD4155" w:rsidRPr="00FA22F5">
        <w:t>five</w:t>
      </w:r>
      <w:r w:rsidRPr="00FA22F5">
        <w:t>. n=10 years.</w:t>
      </w:r>
    </w:p>
    <w:p w:rsidR="005E34A7" w:rsidRPr="00FA22F5" w:rsidRDefault="004F41EB" w:rsidP="00900153">
      <w:pPr>
        <w:spacing w:line="480" w:lineRule="auto"/>
        <w:rPr>
          <w:b/>
        </w:rPr>
      </w:pPr>
      <w:r w:rsidRPr="00FA22F5">
        <w:rPr>
          <w:b/>
          <w:noProof/>
          <w:lang w:eastAsia="en-GB"/>
        </w:rPr>
        <w:drawing>
          <wp:inline distT="0" distB="0" distL="0" distR="0" wp14:anchorId="41C2D39D" wp14:editId="6A3D143C">
            <wp:extent cx="5731510" cy="3342640"/>
            <wp:effectExtent l="0" t="0" r="254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342640"/>
                    </a:xfrm>
                    <a:prstGeom prst="rect">
                      <a:avLst/>
                    </a:prstGeom>
                  </pic:spPr>
                </pic:pic>
              </a:graphicData>
            </a:graphic>
          </wp:inline>
        </w:drawing>
      </w:r>
    </w:p>
    <w:p w:rsidR="00551CF1" w:rsidRPr="00FA22F5" w:rsidRDefault="00551CF1" w:rsidP="00900153">
      <w:pPr>
        <w:spacing w:after="200" w:line="480" w:lineRule="auto"/>
      </w:pPr>
      <w:r w:rsidRPr="00FA22F5">
        <w:br w:type="page"/>
      </w:r>
    </w:p>
    <w:p w:rsidR="008221C8" w:rsidRPr="00FA22F5" w:rsidRDefault="008221C8" w:rsidP="00900153">
      <w:pPr>
        <w:pStyle w:val="Rubrik2"/>
        <w:spacing w:line="480" w:lineRule="auto"/>
      </w:pPr>
      <w:r w:rsidRPr="00FA22F5">
        <w:lastRenderedPageBreak/>
        <w:t>Tables</w:t>
      </w:r>
    </w:p>
    <w:p w:rsidR="008221C8" w:rsidRPr="00FA22F5" w:rsidRDefault="008221C8" w:rsidP="00900153">
      <w:pPr>
        <w:spacing w:line="480" w:lineRule="auto"/>
        <w:rPr>
          <w:b/>
        </w:rPr>
      </w:pPr>
    </w:p>
    <w:p w:rsidR="001A1A5D" w:rsidRPr="00FA22F5" w:rsidRDefault="00551CF1" w:rsidP="00900153">
      <w:pPr>
        <w:spacing w:line="480" w:lineRule="auto"/>
      </w:pPr>
      <w:r w:rsidRPr="00FA22F5">
        <w:rPr>
          <w:b/>
        </w:rPr>
        <w:t xml:space="preserve">Table S1. </w:t>
      </w:r>
      <w:r w:rsidR="00D90847" w:rsidRPr="00FA22F5">
        <w:t>Definitions of dolphin behaviours indicative of conditioning</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2518"/>
        <w:gridCol w:w="6724"/>
      </w:tblGrid>
      <w:tr w:rsidR="00D90847" w:rsidRPr="00FA22F5" w:rsidTr="004A38EC">
        <w:tc>
          <w:tcPr>
            <w:tcW w:w="2518" w:type="dxa"/>
            <w:tcBorders>
              <w:top w:val="single" w:sz="4" w:space="0" w:color="auto"/>
              <w:bottom w:val="single" w:sz="4" w:space="0" w:color="auto"/>
            </w:tcBorders>
          </w:tcPr>
          <w:p w:rsidR="00D90847" w:rsidRPr="00FA22F5" w:rsidRDefault="00D90847" w:rsidP="00900153">
            <w:pPr>
              <w:spacing w:line="480" w:lineRule="auto"/>
            </w:pPr>
            <w:r w:rsidRPr="00FA22F5">
              <w:t>Behaviour</w:t>
            </w:r>
          </w:p>
        </w:tc>
        <w:tc>
          <w:tcPr>
            <w:tcW w:w="6724" w:type="dxa"/>
            <w:tcBorders>
              <w:top w:val="single" w:sz="4" w:space="0" w:color="auto"/>
              <w:bottom w:val="single" w:sz="4" w:space="0" w:color="auto"/>
            </w:tcBorders>
          </w:tcPr>
          <w:p w:rsidR="00D90847" w:rsidRPr="00FA22F5" w:rsidRDefault="00D90847" w:rsidP="00900153">
            <w:pPr>
              <w:spacing w:line="480" w:lineRule="auto"/>
            </w:pPr>
            <w:r w:rsidRPr="00FA22F5">
              <w:t>Definition</w:t>
            </w:r>
          </w:p>
        </w:tc>
      </w:tr>
      <w:tr w:rsidR="00D90847" w:rsidRPr="00FA22F5" w:rsidTr="004A38EC">
        <w:tc>
          <w:tcPr>
            <w:tcW w:w="2518" w:type="dxa"/>
            <w:tcBorders>
              <w:top w:val="single" w:sz="4" w:space="0" w:color="auto"/>
            </w:tcBorders>
          </w:tcPr>
          <w:p w:rsidR="00D90847" w:rsidRPr="00FA22F5" w:rsidRDefault="00D90847" w:rsidP="00900153">
            <w:pPr>
              <w:spacing w:line="480" w:lineRule="auto"/>
            </w:pPr>
            <w:r w:rsidRPr="00FA22F5">
              <w:t>Patrolling</w:t>
            </w:r>
          </w:p>
        </w:tc>
        <w:tc>
          <w:tcPr>
            <w:tcW w:w="6724" w:type="dxa"/>
            <w:tcBorders>
              <w:top w:val="single" w:sz="4" w:space="0" w:color="auto"/>
            </w:tcBorders>
          </w:tcPr>
          <w:p w:rsidR="00D90847" w:rsidRPr="00FA22F5" w:rsidRDefault="009B3F56" w:rsidP="00900153">
            <w:pPr>
              <w:spacing w:line="480" w:lineRule="auto"/>
            </w:pPr>
            <w:r w:rsidRPr="00FA22F5">
              <w:t>Dolphin m</w:t>
            </w:r>
            <w:r w:rsidR="00D90847" w:rsidRPr="00FA22F5">
              <w:t xml:space="preserve">illing or </w:t>
            </w:r>
            <w:r w:rsidR="00AD4155" w:rsidRPr="00FA22F5">
              <w:t>travelling</w:t>
            </w:r>
            <w:r w:rsidR="00D90847" w:rsidRPr="00FA22F5">
              <w:t xml:space="preserve"> back and forth within 20</w:t>
            </w:r>
            <w:r w:rsidRPr="00FA22F5">
              <w:t>m of boats, lines, or pier</w:t>
            </w:r>
          </w:p>
        </w:tc>
      </w:tr>
      <w:tr w:rsidR="00D90847" w:rsidRPr="00FA22F5" w:rsidTr="004A38EC">
        <w:tc>
          <w:tcPr>
            <w:tcW w:w="2518" w:type="dxa"/>
          </w:tcPr>
          <w:p w:rsidR="00D90847" w:rsidRPr="00FA22F5" w:rsidRDefault="00D90847" w:rsidP="00900153">
            <w:pPr>
              <w:spacing w:line="480" w:lineRule="auto"/>
            </w:pPr>
            <w:r w:rsidRPr="00FA22F5">
              <w:t>Scavenging</w:t>
            </w:r>
          </w:p>
        </w:tc>
        <w:tc>
          <w:tcPr>
            <w:tcW w:w="6724" w:type="dxa"/>
          </w:tcPr>
          <w:p w:rsidR="00D90847" w:rsidRPr="00FA22F5" w:rsidRDefault="00D90847" w:rsidP="00900153">
            <w:pPr>
              <w:spacing w:line="480" w:lineRule="auto"/>
            </w:pPr>
            <w:r w:rsidRPr="00FA22F5">
              <w:t xml:space="preserve">Observed </w:t>
            </w:r>
            <w:r w:rsidR="009B3F56" w:rsidRPr="00FA22F5">
              <w:t xml:space="preserve">or probable </w:t>
            </w:r>
            <w:r w:rsidRPr="00FA22F5">
              <w:t xml:space="preserve">feeding </w:t>
            </w:r>
            <w:r w:rsidR="009B3F56" w:rsidRPr="00FA22F5">
              <w:t xml:space="preserve">by dolphins </w:t>
            </w:r>
            <w:r w:rsidRPr="00FA22F5">
              <w:t>on bait or catch</w:t>
            </w:r>
            <w:r w:rsidR="009B3F56" w:rsidRPr="00FA22F5">
              <w:t xml:space="preserve"> throwback not on angler's line,</w:t>
            </w:r>
            <w:r w:rsidRPr="00FA22F5">
              <w:t xml:space="preserve"> when angler did not intend to feed dolphin</w:t>
            </w:r>
          </w:p>
        </w:tc>
      </w:tr>
      <w:tr w:rsidR="00D90847" w:rsidRPr="00FA22F5" w:rsidTr="004A38EC">
        <w:tc>
          <w:tcPr>
            <w:tcW w:w="2518" w:type="dxa"/>
          </w:tcPr>
          <w:p w:rsidR="00D90847" w:rsidRPr="00FA22F5" w:rsidRDefault="00D90847" w:rsidP="00900153">
            <w:pPr>
              <w:spacing w:line="480" w:lineRule="auto"/>
            </w:pPr>
            <w:r w:rsidRPr="00FA22F5">
              <w:t>Depredation</w:t>
            </w:r>
          </w:p>
        </w:tc>
        <w:tc>
          <w:tcPr>
            <w:tcW w:w="6724" w:type="dxa"/>
          </w:tcPr>
          <w:p w:rsidR="00D90847" w:rsidRPr="00FA22F5" w:rsidRDefault="004A38EC" w:rsidP="00900153">
            <w:pPr>
              <w:spacing w:line="480" w:lineRule="auto"/>
            </w:pPr>
            <w:r w:rsidRPr="00FA22F5">
              <w:t>Dolphin s</w:t>
            </w:r>
            <w:r w:rsidR="00D90847" w:rsidRPr="00FA22F5">
              <w:t>uccessfully taking and feeding on some or all of bait or catch from angler's line</w:t>
            </w:r>
            <w:r w:rsidRPr="00FA22F5">
              <w:t>. Also includes u</w:t>
            </w:r>
            <w:r w:rsidR="00D90847" w:rsidRPr="00FA22F5">
              <w:t>nsuccessful or aborted depredation attempt or if it is not possible to determine the success</w:t>
            </w:r>
          </w:p>
        </w:tc>
      </w:tr>
      <w:tr w:rsidR="00D90847" w:rsidRPr="00FA22F5" w:rsidTr="004A38EC">
        <w:tc>
          <w:tcPr>
            <w:tcW w:w="2518" w:type="dxa"/>
          </w:tcPr>
          <w:p w:rsidR="00D90847" w:rsidRPr="00FA22F5" w:rsidRDefault="00D90847" w:rsidP="00900153">
            <w:pPr>
              <w:spacing w:line="480" w:lineRule="auto"/>
            </w:pPr>
            <w:r w:rsidRPr="00FA22F5">
              <w:t>Begging</w:t>
            </w:r>
          </w:p>
        </w:tc>
        <w:tc>
          <w:tcPr>
            <w:tcW w:w="6724" w:type="dxa"/>
          </w:tcPr>
          <w:p w:rsidR="00D90847" w:rsidRPr="00FA22F5" w:rsidRDefault="004A38EC" w:rsidP="00900153">
            <w:pPr>
              <w:spacing w:line="480" w:lineRule="auto"/>
            </w:pPr>
            <w:r w:rsidRPr="00FA22F5">
              <w:t>Dolphin b</w:t>
            </w:r>
            <w:r w:rsidR="00D90847" w:rsidRPr="00FA22F5">
              <w:t>ehavio</w:t>
            </w:r>
            <w:r w:rsidRPr="00FA22F5">
              <w:t>ur</w:t>
            </w:r>
            <w:r w:rsidR="00D90847" w:rsidRPr="00FA22F5">
              <w:t>(s) to elicit food from a person, such as bringing head out of the water and/or opening mouth at surface. Typ</w:t>
            </w:r>
            <w:r w:rsidR="009B3F56" w:rsidRPr="00FA22F5">
              <w:t>ically chin is out of the water</w:t>
            </w:r>
          </w:p>
        </w:tc>
      </w:tr>
      <w:tr w:rsidR="00D90847" w:rsidRPr="00FA22F5" w:rsidTr="004A38EC">
        <w:tc>
          <w:tcPr>
            <w:tcW w:w="2518" w:type="dxa"/>
          </w:tcPr>
          <w:p w:rsidR="00D90847" w:rsidRPr="00FA22F5" w:rsidRDefault="00D90847" w:rsidP="00900153">
            <w:pPr>
              <w:spacing w:line="480" w:lineRule="auto"/>
            </w:pPr>
            <w:r w:rsidRPr="00FA22F5">
              <w:t>Provisioning</w:t>
            </w:r>
          </w:p>
        </w:tc>
        <w:tc>
          <w:tcPr>
            <w:tcW w:w="6724" w:type="dxa"/>
          </w:tcPr>
          <w:p w:rsidR="00D90847" w:rsidRPr="00FA22F5" w:rsidRDefault="004A38EC" w:rsidP="00900153">
            <w:pPr>
              <w:spacing w:line="480" w:lineRule="auto"/>
            </w:pPr>
            <w:r w:rsidRPr="00FA22F5">
              <w:t>Dolphin i</w:t>
            </w:r>
            <w:r w:rsidR="00D90847" w:rsidRPr="00FA22F5">
              <w:t>ntentionally being fed bait, catch or other item(s)</w:t>
            </w:r>
            <w:r w:rsidRPr="00FA22F5">
              <w:t xml:space="preserve"> by humans</w:t>
            </w:r>
            <w:r w:rsidR="00D90847" w:rsidRPr="00FA22F5">
              <w:t xml:space="preserve">. May be directly dropped into mouth or thrown toward dolphin. </w:t>
            </w:r>
            <w:r w:rsidR="009B3F56" w:rsidRPr="00FA22F5">
              <w:t>Objects are released to dolphin</w:t>
            </w:r>
            <w:r w:rsidRPr="00FA22F5">
              <w:t>. Includes humans</w:t>
            </w:r>
            <w:r w:rsidR="00D90847" w:rsidRPr="00FA22F5">
              <w:t xml:space="preserve"> trying to feed bait, catch or other item(s) to dolphins when it is unclea</w:t>
            </w:r>
            <w:r w:rsidR="009B3F56" w:rsidRPr="00FA22F5">
              <w:t>r if the dolphins took the item</w:t>
            </w:r>
          </w:p>
        </w:tc>
      </w:tr>
      <w:tr w:rsidR="00D90847" w:rsidRPr="00FA22F5" w:rsidTr="004A38EC">
        <w:tc>
          <w:tcPr>
            <w:tcW w:w="2518" w:type="dxa"/>
          </w:tcPr>
          <w:p w:rsidR="00D90847" w:rsidRPr="00FA22F5" w:rsidRDefault="00D90847" w:rsidP="00900153">
            <w:pPr>
              <w:spacing w:line="480" w:lineRule="auto"/>
            </w:pPr>
            <w:r w:rsidRPr="00FA22F5">
              <w:t>Fixed gear interactions</w:t>
            </w:r>
          </w:p>
        </w:tc>
        <w:tc>
          <w:tcPr>
            <w:tcW w:w="6724" w:type="dxa"/>
          </w:tcPr>
          <w:p w:rsidR="004C31C3" w:rsidRPr="00FA22F5" w:rsidRDefault="004C31C3" w:rsidP="00900153">
            <w:pPr>
              <w:spacing w:line="480" w:lineRule="auto"/>
            </w:pPr>
            <w:r w:rsidRPr="00FA22F5">
              <w:t>Repeated diving, milling, or probable feeding in close proximity to crab pots or other fixed fishing gear. May or may not include direct physical contact with a trap and/or its associated line and float</w:t>
            </w:r>
          </w:p>
        </w:tc>
      </w:tr>
    </w:tbl>
    <w:p w:rsidR="00D90847" w:rsidRPr="00FA22F5" w:rsidRDefault="00D90847" w:rsidP="00900153">
      <w:pPr>
        <w:spacing w:after="200" w:line="480" w:lineRule="auto"/>
        <w:rPr>
          <w:b/>
        </w:rPr>
      </w:pPr>
      <w:r w:rsidRPr="00FA22F5">
        <w:rPr>
          <w:b/>
        </w:rPr>
        <w:br w:type="page"/>
      </w:r>
    </w:p>
    <w:p w:rsidR="00E61BC6" w:rsidRPr="00FA22F5" w:rsidRDefault="00E61BC6" w:rsidP="00900153">
      <w:pPr>
        <w:spacing w:line="480" w:lineRule="auto"/>
      </w:pPr>
      <w:r w:rsidRPr="00FA22F5">
        <w:rPr>
          <w:b/>
        </w:rPr>
        <w:lastRenderedPageBreak/>
        <w:t>Table S2.</w:t>
      </w:r>
      <w:r w:rsidR="00A66223" w:rsidRPr="00FA22F5">
        <w:t xml:space="preserve"> Total number of </w:t>
      </w:r>
      <w:r w:rsidR="00A66223" w:rsidRPr="00FA22F5">
        <w:rPr>
          <w:i/>
        </w:rPr>
        <w:t>Karenia brevis</w:t>
      </w:r>
      <w:r w:rsidR="00A66223" w:rsidRPr="00FA22F5">
        <w:t xml:space="preserve"> samples, and sampling effort, total catch, and catch-per-unit-effort (CPUE) of selected dolphin prey species caught in seagrass habitat from 2004-2014 in Sarasota Bay, Florida. SD=standard deviation</w:t>
      </w:r>
    </w:p>
    <w:tbl>
      <w:tblPr>
        <w:tblStyle w:val="Tabellrutnt"/>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242"/>
        <w:gridCol w:w="1838"/>
        <w:gridCol w:w="1540"/>
        <w:gridCol w:w="1540"/>
        <w:gridCol w:w="1541"/>
        <w:gridCol w:w="1541"/>
      </w:tblGrid>
      <w:tr w:rsidR="00A66223" w:rsidRPr="00FA22F5" w:rsidTr="004A38EC">
        <w:tc>
          <w:tcPr>
            <w:tcW w:w="1242" w:type="dxa"/>
            <w:tcBorders>
              <w:top w:val="single" w:sz="8" w:space="0" w:color="auto"/>
              <w:bottom w:val="single" w:sz="8" w:space="0" w:color="auto"/>
            </w:tcBorders>
            <w:vAlign w:val="bottom"/>
          </w:tcPr>
          <w:p w:rsidR="00A66223" w:rsidRPr="00FA22F5" w:rsidRDefault="00A66223" w:rsidP="00900153">
            <w:pPr>
              <w:spacing w:line="480" w:lineRule="auto"/>
              <w:jc w:val="center"/>
            </w:pPr>
            <w:r w:rsidRPr="00FA22F5">
              <w:t>Year</w:t>
            </w:r>
          </w:p>
        </w:tc>
        <w:tc>
          <w:tcPr>
            <w:tcW w:w="1838" w:type="dxa"/>
            <w:tcBorders>
              <w:top w:val="single" w:sz="8" w:space="0" w:color="auto"/>
              <w:bottom w:val="single" w:sz="8" w:space="0" w:color="auto"/>
            </w:tcBorders>
            <w:vAlign w:val="bottom"/>
          </w:tcPr>
          <w:p w:rsidR="00A66223" w:rsidRPr="00FA22F5" w:rsidRDefault="00A66223" w:rsidP="00900153">
            <w:pPr>
              <w:spacing w:line="480" w:lineRule="auto"/>
              <w:jc w:val="center"/>
            </w:pPr>
            <w:r w:rsidRPr="00FA22F5">
              <w:t xml:space="preserve">No. </w:t>
            </w:r>
            <w:r w:rsidRPr="00FA22F5">
              <w:rPr>
                <w:i/>
                <w:iCs/>
              </w:rPr>
              <w:t>Karenia brevis</w:t>
            </w:r>
            <w:r w:rsidRPr="00FA22F5">
              <w:t xml:space="preserve"> samples</w:t>
            </w:r>
          </w:p>
        </w:tc>
        <w:tc>
          <w:tcPr>
            <w:tcW w:w="1540" w:type="dxa"/>
            <w:tcBorders>
              <w:top w:val="single" w:sz="8" w:space="0" w:color="auto"/>
              <w:bottom w:val="single" w:sz="8" w:space="0" w:color="auto"/>
            </w:tcBorders>
            <w:vAlign w:val="bottom"/>
          </w:tcPr>
          <w:p w:rsidR="00A66223" w:rsidRPr="00FA22F5" w:rsidRDefault="00A66223" w:rsidP="00900153">
            <w:pPr>
              <w:spacing w:line="480" w:lineRule="auto"/>
              <w:jc w:val="center"/>
            </w:pPr>
            <w:r w:rsidRPr="00FA22F5">
              <w:t>No. seine sets</w:t>
            </w:r>
          </w:p>
        </w:tc>
        <w:tc>
          <w:tcPr>
            <w:tcW w:w="1540" w:type="dxa"/>
            <w:tcBorders>
              <w:top w:val="single" w:sz="8" w:space="0" w:color="auto"/>
              <w:bottom w:val="single" w:sz="8" w:space="0" w:color="auto"/>
            </w:tcBorders>
            <w:vAlign w:val="bottom"/>
          </w:tcPr>
          <w:p w:rsidR="00A66223" w:rsidRPr="00FA22F5" w:rsidRDefault="00A66223" w:rsidP="00900153">
            <w:pPr>
              <w:spacing w:line="480" w:lineRule="auto"/>
              <w:jc w:val="center"/>
              <w:rPr>
                <w:color w:val="000000"/>
              </w:rPr>
            </w:pPr>
            <w:r w:rsidRPr="00FA22F5">
              <w:rPr>
                <w:color w:val="000000"/>
              </w:rPr>
              <w:t>Total dolphin prey catch</w:t>
            </w:r>
          </w:p>
        </w:tc>
        <w:tc>
          <w:tcPr>
            <w:tcW w:w="1541" w:type="dxa"/>
            <w:tcBorders>
              <w:top w:val="single" w:sz="8" w:space="0" w:color="auto"/>
              <w:bottom w:val="single" w:sz="8" w:space="0" w:color="auto"/>
            </w:tcBorders>
            <w:vAlign w:val="bottom"/>
          </w:tcPr>
          <w:p w:rsidR="00A66223" w:rsidRPr="00FA22F5" w:rsidRDefault="00A66223" w:rsidP="00900153">
            <w:pPr>
              <w:spacing w:line="480" w:lineRule="auto"/>
              <w:jc w:val="center"/>
            </w:pPr>
            <w:r w:rsidRPr="00FA22F5">
              <w:t>CPUE</w:t>
            </w:r>
          </w:p>
        </w:tc>
        <w:tc>
          <w:tcPr>
            <w:tcW w:w="1541" w:type="dxa"/>
            <w:tcBorders>
              <w:top w:val="single" w:sz="8" w:space="0" w:color="auto"/>
              <w:bottom w:val="single" w:sz="8" w:space="0" w:color="auto"/>
            </w:tcBorders>
            <w:vAlign w:val="bottom"/>
          </w:tcPr>
          <w:p w:rsidR="00A66223" w:rsidRPr="00FA22F5" w:rsidRDefault="00A66223" w:rsidP="00900153">
            <w:pPr>
              <w:spacing w:line="480" w:lineRule="auto"/>
              <w:jc w:val="center"/>
            </w:pPr>
            <w:r w:rsidRPr="00FA22F5">
              <w:t>SD</w:t>
            </w:r>
          </w:p>
        </w:tc>
      </w:tr>
      <w:tr w:rsidR="00A66223" w:rsidRPr="00FA22F5" w:rsidTr="004A38EC">
        <w:tc>
          <w:tcPr>
            <w:tcW w:w="1242" w:type="dxa"/>
            <w:tcBorders>
              <w:top w:val="single" w:sz="8" w:space="0" w:color="auto"/>
            </w:tcBorders>
            <w:vAlign w:val="bottom"/>
          </w:tcPr>
          <w:p w:rsidR="00A66223" w:rsidRPr="00FA22F5" w:rsidRDefault="00A66223" w:rsidP="00900153">
            <w:pPr>
              <w:spacing w:line="480" w:lineRule="auto"/>
              <w:jc w:val="center"/>
            </w:pPr>
            <w:r w:rsidRPr="00FA22F5">
              <w:t>2004</w:t>
            </w:r>
          </w:p>
        </w:tc>
        <w:tc>
          <w:tcPr>
            <w:tcW w:w="1838" w:type="dxa"/>
            <w:tcBorders>
              <w:top w:val="single" w:sz="8" w:space="0" w:color="auto"/>
            </w:tcBorders>
            <w:vAlign w:val="bottom"/>
          </w:tcPr>
          <w:p w:rsidR="00A66223" w:rsidRPr="00FA22F5" w:rsidRDefault="00A66223" w:rsidP="00900153">
            <w:pPr>
              <w:spacing w:line="480" w:lineRule="auto"/>
              <w:jc w:val="center"/>
            </w:pPr>
            <w:r w:rsidRPr="00FA22F5">
              <w:t>297</w:t>
            </w:r>
          </w:p>
        </w:tc>
        <w:tc>
          <w:tcPr>
            <w:tcW w:w="1540" w:type="dxa"/>
            <w:tcBorders>
              <w:top w:val="single" w:sz="8" w:space="0" w:color="auto"/>
            </w:tcBorders>
            <w:vAlign w:val="bottom"/>
          </w:tcPr>
          <w:p w:rsidR="00A66223" w:rsidRPr="00FA22F5" w:rsidRDefault="00A66223" w:rsidP="00900153">
            <w:pPr>
              <w:spacing w:line="480" w:lineRule="auto"/>
              <w:jc w:val="center"/>
            </w:pPr>
            <w:r w:rsidRPr="00FA22F5">
              <w:t>16</w:t>
            </w:r>
          </w:p>
        </w:tc>
        <w:tc>
          <w:tcPr>
            <w:tcW w:w="1540" w:type="dxa"/>
            <w:tcBorders>
              <w:top w:val="single" w:sz="8" w:space="0" w:color="auto"/>
            </w:tcBorders>
            <w:vAlign w:val="bottom"/>
          </w:tcPr>
          <w:p w:rsidR="00A66223" w:rsidRPr="00FA22F5" w:rsidRDefault="00A66223" w:rsidP="00900153">
            <w:pPr>
              <w:spacing w:line="480" w:lineRule="auto"/>
              <w:jc w:val="center"/>
              <w:rPr>
                <w:color w:val="000000"/>
              </w:rPr>
            </w:pPr>
            <w:r w:rsidRPr="00FA22F5">
              <w:rPr>
                <w:color w:val="000000"/>
              </w:rPr>
              <w:t>11498</w:t>
            </w:r>
          </w:p>
        </w:tc>
        <w:tc>
          <w:tcPr>
            <w:tcW w:w="1541" w:type="dxa"/>
            <w:tcBorders>
              <w:top w:val="single" w:sz="8" w:space="0" w:color="auto"/>
            </w:tcBorders>
            <w:vAlign w:val="bottom"/>
          </w:tcPr>
          <w:p w:rsidR="00A66223" w:rsidRPr="00FA22F5" w:rsidRDefault="00A66223" w:rsidP="00900153">
            <w:pPr>
              <w:spacing w:line="480" w:lineRule="auto"/>
              <w:jc w:val="center"/>
              <w:rPr>
                <w:color w:val="000000"/>
              </w:rPr>
            </w:pPr>
            <w:r w:rsidRPr="00FA22F5">
              <w:rPr>
                <w:color w:val="000000"/>
              </w:rPr>
              <w:t>718.63</w:t>
            </w:r>
          </w:p>
        </w:tc>
        <w:tc>
          <w:tcPr>
            <w:tcW w:w="1541" w:type="dxa"/>
            <w:tcBorders>
              <w:top w:val="single" w:sz="8" w:space="0" w:color="auto"/>
            </w:tcBorders>
            <w:vAlign w:val="bottom"/>
          </w:tcPr>
          <w:p w:rsidR="00A66223" w:rsidRPr="00FA22F5" w:rsidRDefault="00A66223" w:rsidP="00900153">
            <w:pPr>
              <w:spacing w:line="480" w:lineRule="auto"/>
              <w:jc w:val="center"/>
              <w:rPr>
                <w:color w:val="000000"/>
              </w:rPr>
            </w:pPr>
            <w:r w:rsidRPr="00FA22F5">
              <w:rPr>
                <w:color w:val="000000"/>
              </w:rPr>
              <w:t>695.31</w:t>
            </w:r>
          </w:p>
        </w:tc>
      </w:tr>
      <w:tr w:rsidR="00A66223" w:rsidRPr="00FA22F5" w:rsidTr="004A38EC">
        <w:tc>
          <w:tcPr>
            <w:tcW w:w="1242" w:type="dxa"/>
            <w:vAlign w:val="bottom"/>
          </w:tcPr>
          <w:p w:rsidR="00A66223" w:rsidRPr="00FA22F5" w:rsidRDefault="00A66223" w:rsidP="00900153">
            <w:pPr>
              <w:spacing w:line="480" w:lineRule="auto"/>
              <w:jc w:val="center"/>
            </w:pPr>
            <w:r w:rsidRPr="00FA22F5">
              <w:t>2005</w:t>
            </w:r>
          </w:p>
        </w:tc>
        <w:tc>
          <w:tcPr>
            <w:tcW w:w="1838" w:type="dxa"/>
            <w:vAlign w:val="bottom"/>
          </w:tcPr>
          <w:p w:rsidR="00A66223" w:rsidRPr="00FA22F5" w:rsidRDefault="00A66223" w:rsidP="00900153">
            <w:pPr>
              <w:spacing w:line="480" w:lineRule="auto"/>
              <w:jc w:val="center"/>
            </w:pPr>
            <w:r w:rsidRPr="00FA22F5">
              <w:t>743</w:t>
            </w:r>
          </w:p>
        </w:tc>
        <w:tc>
          <w:tcPr>
            <w:tcW w:w="1540" w:type="dxa"/>
            <w:vAlign w:val="bottom"/>
          </w:tcPr>
          <w:p w:rsidR="00A66223" w:rsidRPr="00FA22F5" w:rsidRDefault="00A66223" w:rsidP="00900153">
            <w:pPr>
              <w:spacing w:line="480" w:lineRule="auto"/>
              <w:jc w:val="center"/>
            </w:pPr>
            <w:r w:rsidRPr="00FA22F5">
              <w:t>24</w:t>
            </w:r>
          </w:p>
        </w:tc>
        <w:tc>
          <w:tcPr>
            <w:tcW w:w="1540" w:type="dxa"/>
            <w:vAlign w:val="bottom"/>
          </w:tcPr>
          <w:p w:rsidR="00A66223" w:rsidRPr="00FA22F5" w:rsidRDefault="00A66223" w:rsidP="00900153">
            <w:pPr>
              <w:spacing w:line="480" w:lineRule="auto"/>
              <w:jc w:val="center"/>
              <w:rPr>
                <w:color w:val="000000"/>
              </w:rPr>
            </w:pPr>
            <w:r w:rsidRPr="00FA22F5">
              <w:rPr>
                <w:color w:val="000000"/>
              </w:rPr>
              <w:t>5884</w:t>
            </w:r>
          </w:p>
        </w:tc>
        <w:tc>
          <w:tcPr>
            <w:tcW w:w="1541" w:type="dxa"/>
            <w:vAlign w:val="bottom"/>
          </w:tcPr>
          <w:p w:rsidR="00A66223" w:rsidRPr="00FA22F5" w:rsidRDefault="00A66223" w:rsidP="00900153">
            <w:pPr>
              <w:spacing w:line="480" w:lineRule="auto"/>
              <w:jc w:val="center"/>
              <w:rPr>
                <w:color w:val="000000"/>
              </w:rPr>
            </w:pPr>
            <w:r w:rsidRPr="00FA22F5">
              <w:rPr>
                <w:color w:val="000000"/>
              </w:rPr>
              <w:t>245.17</w:t>
            </w:r>
          </w:p>
        </w:tc>
        <w:tc>
          <w:tcPr>
            <w:tcW w:w="1541" w:type="dxa"/>
            <w:vAlign w:val="bottom"/>
          </w:tcPr>
          <w:p w:rsidR="00A66223" w:rsidRPr="00FA22F5" w:rsidRDefault="00A66223" w:rsidP="00900153">
            <w:pPr>
              <w:spacing w:line="480" w:lineRule="auto"/>
              <w:jc w:val="center"/>
              <w:rPr>
                <w:color w:val="000000"/>
              </w:rPr>
            </w:pPr>
            <w:r w:rsidRPr="00FA22F5">
              <w:rPr>
                <w:color w:val="000000"/>
              </w:rPr>
              <w:t>365.83</w:t>
            </w:r>
          </w:p>
        </w:tc>
      </w:tr>
      <w:tr w:rsidR="00A66223" w:rsidRPr="00FA22F5" w:rsidTr="004A38EC">
        <w:tc>
          <w:tcPr>
            <w:tcW w:w="1242" w:type="dxa"/>
            <w:vAlign w:val="bottom"/>
          </w:tcPr>
          <w:p w:rsidR="00A66223" w:rsidRPr="00FA22F5" w:rsidRDefault="00A66223" w:rsidP="00900153">
            <w:pPr>
              <w:spacing w:line="480" w:lineRule="auto"/>
              <w:jc w:val="center"/>
              <w:rPr>
                <w:color w:val="000000"/>
              </w:rPr>
            </w:pPr>
            <w:r w:rsidRPr="00FA22F5">
              <w:rPr>
                <w:color w:val="000000"/>
              </w:rPr>
              <w:t>2006</w:t>
            </w:r>
          </w:p>
        </w:tc>
        <w:tc>
          <w:tcPr>
            <w:tcW w:w="1838" w:type="dxa"/>
            <w:vAlign w:val="bottom"/>
          </w:tcPr>
          <w:p w:rsidR="00A66223" w:rsidRPr="00FA22F5" w:rsidRDefault="00A66223" w:rsidP="00900153">
            <w:pPr>
              <w:spacing w:line="480" w:lineRule="auto"/>
              <w:jc w:val="center"/>
            </w:pPr>
            <w:r w:rsidRPr="00FA22F5">
              <w:t>1597</w:t>
            </w:r>
          </w:p>
        </w:tc>
        <w:tc>
          <w:tcPr>
            <w:tcW w:w="1540" w:type="dxa"/>
            <w:vAlign w:val="bottom"/>
          </w:tcPr>
          <w:p w:rsidR="00A66223" w:rsidRPr="00FA22F5" w:rsidRDefault="00A66223" w:rsidP="00900153">
            <w:pPr>
              <w:spacing w:line="480" w:lineRule="auto"/>
              <w:jc w:val="center"/>
            </w:pPr>
            <w:r w:rsidRPr="00FA22F5">
              <w:t>33</w:t>
            </w:r>
          </w:p>
        </w:tc>
        <w:tc>
          <w:tcPr>
            <w:tcW w:w="1540" w:type="dxa"/>
            <w:vAlign w:val="bottom"/>
          </w:tcPr>
          <w:p w:rsidR="00A66223" w:rsidRPr="00FA22F5" w:rsidRDefault="00A66223" w:rsidP="00900153">
            <w:pPr>
              <w:spacing w:line="480" w:lineRule="auto"/>
              <w:jc w:val="center"/>
              <w:rPr>
                <w:color w:val="000000"/>
              </w:rPr>
            </w:pPr>
            <w:r w:rsidRPr="00FA22F5">
              <w:rPr>
                <w:color w:val="000000"/>
              </w:rPr>
              <w:t>32403</w:t>
            </w:r>
          </w:p>
        </w:tc>
        <w:tc>
          <w:tcPr>
            <w:tcW w:w="1541" w:type="dxa"/>
            <w:vAlign w:val="bottom"/>
          </w:tcPr>
          <w:p w:rsidR="00A66223" w:rsidRPr="00FA22F5" w:rsidRDefault="00A66223" w:rsidP="00900153">
            <w:pPr>
              <w:spacing w:line="480" w:lineRule="auto"/>
              <w:jc w:val="center"/>
              <w:rPr>
                <w:color w:val="000000"/>
              </w:rPr>
            </w:pPr>
            <w:r w:rsidRPr="00FA22F5">
              <w:rPr>
                <w:color w:val="000000"/>
              </w:rPr>
              <w:t>981.91</w:t>
            </w:r>
          </w:p>
        </w:tc>
        <w:tc>
          <w:tcPr>
            <w:tcW w:w="1541" w:type="dxa"/>
            <w:vAlign w:val="bottom"/>
          </w:tcPr>
          <w:p w:rsidR="00A66223" w:rsidRPr="00FA22F5" w:rsidRDefault="00A66223" w:rsidP="00900153">
            <w:pPr>
              <w:spacing w:line="480" w:lineRule="auto"/>
              <w:jc w:val="center"/>
              <w:rPr>
                <w:color w:val="000000"/>
              </w:rPr>
            </w:pPr>
            <w:r w:rsidRPr="00FA22F5">
              <w:rPr>
                <w:color w:val="000000"/>
              </w:rPr>
              <w:t>1774.96</w:t>
            </w:r>
          </w:p>
        </w:tc>
      </w:tr>
      <w:tr w:rsidR="00A66223" w:rsidRPr="00FA22F5" w:rsidTr="004A38EC">
        <w:tc>
          <w:tcPr>
            <w:tcW w:w="1242" w:type="dxa"/>
            <w:vAlign w:val="bottom"/>
          </w:tcPr>
          <w:p w:rsidR="00A66223" w:rsidRPr="00FA22F5" w:rsidRDefault="00A66223" w:rsidP="00900153">
            <w:pPr>
              <w:spacing w:line="480" w:lineRule="auto"/>
              <w:jc w:val="center"/>
              <w:rPr>
                <w:color w:val="000000"/>
              </w:rPr>
            </w:pPr>
            <w:r w:rsidRPr="00FA22F5">
              <w:rPr>
                <w:color w:val="000000"/>
              </w:rPr>
              <w:t>2007</w:t>
            </w:r>
          </w:p>
        </w:tc>
        <w:tc>
          <w:tcPr>
            <w:tcW w:w="1838" w:type="dxa"/>
            <w:vAlign w:val="bottom"/>
          </w:tcPr>
          <w:p w:rsidR="00A66223" w:rsidRPr="00FA22F5" w:rsidRDefault="00A66223" w:rsidP="00900153">
            <w:pPr>
              <w:spacing w:line="480" w:lineRule="auto"/>
              <w:jc w:val="center"/>
            </w:pPr>
            <w:r w:rsidRPr="00FA22F5">
              <w:t>1800</w:t>
            </w:r>
          </w:p>
        </w:tc>
        <w:tc>
          <w:tcPr>
            <w:tcW w:w="1540" w:type="dxa"/>
            <w:vAlign w:val="bottom"/>
          </w:tcPr>
          <w:p w:rsidR="00A66223" w:rsidRPr="00FA22F5" w:rsidRDefault="00A66223" w:rsidP="00900153">
            <w:pPr>
              <w:spacing w:line="480" w:lineRule="auto"/>
              <w:jc w:val="center"/>
            </w:pPr>
            <w:r w:rsidRPr="00FA22F5">
              <w:t>30</w:t>
            </w:r>
          </w:p>
        </w:tc>
        <w:tc>
          <w:tcPr>
            <w:tcW w:w="1540" w:type="dxa"/>
            <w:vAlign w:val="bottom"/>
          </w:tcPr>
          <w:p w:rsidR="00A66223" w:rsidRPr="00FA22F5" w:rsidRDefault="00A66223" w:rsidP="00900153">
            <w:pPr>
              <w:spacing w:line="480" w:lineRule="auto"/>
              <w:jc w:val="center"/>
              <w:rPr>
                <w:color w:val="000000"/>
              </w:rPr>
            </w:pPr>
            <w:r w:rsidRPr="00FA22F5">
              <w:rPr>
                <w:color w:val="000000"/>
              </w:rPr>
              <w:t>16624</w:t>
            </w:r>
          </w:p>
        </w:tc>
        <w:tc>
          <w:tcPr>
            <w:tcW w:w="1541" w:type="dxa"/>
            <w:vAlign w:val="bottom"/>
          </w:tcPr>
          <w:p w:rsidR="00A66223" w:rsidRPr="00FA22F5" w:rsidRDefault="00A66223" w:rsidP="00900153">
            <w:pPr>
              <w:spacing w:line="480" w:lineRule="auto"/>
              <w:jc w:val="center"/>
              <w:rPr>
                <w:color w:val="000000"/>
              </w:rPr>
            </w:pPr>
            <w:r w:rsidRPr="00FA22F5">
              <w:rPr>
                <w:color w:val="000000"/>
              </w:rPr>
              <w:t>554.13</w:t>
            </w:r>
          </w:p>
        </w:tc>
        <w:tc>
          <w:tcPr>
            <w:tcW w:w="1541" w:type="dxa"/>
            <w:vAlign w:val="bottom"/>
          </w:tcPr>
          <w:p w:rsidR="00A66223" w:rsidRPr="00FA22F5" w:rsidRDefault="00A66223" w:rsidP="00900153">
            <w:pPr>
              <w:spacing w:line="480" w:lineRule="auto"/>
              <w:jc w:val="center"/>
              <w:rPr>
                <w:color w:val="000000"/>
              </w:rPr>
            </w:pPr>
            <w:r w:rsidRPr="00FA22F5">
              <w:rPr>
                <w:color w:val="000000"/>
              </w:rPr>
              <w:t>599.61</w:t>
            </w:r>
          </w:p>
        </w:tc>
      </w:tr>
      <w:tr w:rsidR="00A66223" w:rsidRPr="00FA22F5" w:rsidTr="004A38EC">
        <w:tc>
          <w:tcPr>
            <w:tcW w:w="1242" w:type="dxa"/>
            <w:vAlign w:val="bottom"/>
          </w:tcPr>
          <w:p w:rsidR="00A66223" w:rsidRPr="00FA22F5" w:rsidRDefault="00A66223" w:rsidP="00900153">
            <w:pPr>
              <w:spacing w:line="480" w:lineRule="auto"/>
              <w:jc w:val="center"/>
              <w:rPr>
                <w:color w:val="000000"/>
              </w:rPr>
            </w:pPr>
            <w:r w:rsidRPr="00FA22F5">
              <w:rPr>
                <w:color w:val="000000"/>
              </w:rPr>
              <w:t>2008</w:t>
            </w:r>
          </w:p>
        </w:tc>
        <w:tc>
          <w:tcPr>
            <w:tcW w:w="1838" w:type="dxa"/>
            <w:vAlign w:val="bottom"/>
          </w:tcPr>
          <w:p w:rsidR="00A66223" w:rsidRPr="00FA22F5" w:rsidRDefault="00A66223" w:rsidP="00900153">
            <w:pPr>
              <w:spacing w:line="480" w:lineRule="auto"/>
              <w:jc w:val="center"/>
            </w:pPr>
            <w:r w:rsidRPr="00FA22F5">
              <w:t>1500</w:t>
            </w:r>
          </w:p>
        </w:tc>
        <w:tc>
          <w:tcPr>
            <w:tcW w:w="1540" w:type="dxa"/>
            <w:vAlign w:val="bottom"/>
          </w:tcPr>
          <w:p w:rsidR="00A66223" w:rsidRPr="00FA22F5" w:rsidRDefault="00A66223" w:rsidP="00900153">
            <w:pPr>
              <w:spacing w:line="480" w:lineRule="auto"/>
              <w:jc w:val="center"/>
            </w:pPr>
            <w:r w:rsidRPr="00FA22F5">
              <w:t>40</w:t>
            </w:r>
          </w:p>
        </w:tc>
        <w:tc>
          <w:tcPr>
            <w:tcW w:w="1540" w:type="dxa"/>
            <w:vAlign w:val="bottom"/>
          </w:tcPr>
          <w:p w:rsidR="00A66223" w:rsidRPr="00FA22F5" w:rsidRDefault="00A66223" w:rsidP="00900153">
            <w:pPr>
              <w:spacing w:line="480" w:lineRule="auto"/>
              <w:jc w:val="center"/>
              <w:rPr>
                <w:color w:val="000000"/>
              </w:rPr>
            </w:pPr>
            <w:r w:rsidRPr="00FA22F5">
              <w:rPr>
                <w:color w:val="000000"/>
              </w:rPr>
              <w:t>39936</w:t>
            </w:r>
          </w:p>
        </w:tc>
        <w:tc>
          <w:tcPr>
            <w:tcW w:w="1541" w:type="dxa"/>
            <w:vAlign w:val="bottom"/>
          </w:tcPr>
          <w:p w:rsidR="00A66223" w:rsidRPr="00FA22F5" w:rsidRDefault="00A66223" w:rsidP="00900153">
            <w:pPr>
              <w:spacing w:line="480" w:lineRule="auto"/>
              <w:jc w:val="center"/>
              <w:rPr>
                <w:color w:val="000000"/>
              </w:rPr>
            </w:pPr>
            <w:r w:rsidRPr="00FA22F5">
              <w:rPr>
                <w:color w:val="000000"/>
              </w:rPr>
              <w:t>998.40</w:t>
            </w:r>
          </w:p>
        </w:tc>
        <w:tc>
          <w:tcPr>
            <w:tcW w:w="1541" w:type="dxa"/>
            <w:vAlign w:val="bottom"/>
          </w:tcPr>
          <w:p w:rsidR="00A66223" w:rsidRPr="00FA22F5" w:rsidRDefault="00A66223" w:rsidP="00900153">
            <w:pPr>
              <w:spacing w:line="480" w:lineRule="auto"/>
              <w:jc w:val="center"/>
              <w:rPr>
                <w:color w:val="000000"/>
              </w:rPr>
            </w:pPr>
            <w:r w:rsidRPr="00FA22F5">
              <w:rPr>
                <w:color w:val="000000"/>
              </w:rPr>
              <w:t>1109.62</w:t>
            </w:r>
          </w:p>
        </w:tc>
      </w:tr>
      <w:tr w:rsidR="00A66223" w:rsidRPr="00FA22F5" w:rsidTr="004A38EC">
        <w:tc>
          <w:tcPr>
            <w:tcW w:w="1242" w:type="dxa"/>
            <w:vAlign w:val="bottom"/>
          </w:tcPr>
          <w:p w:rsidR="00A66223" w:rsidRPr="00FA22F5" w:rsidRDefault="00A66223" w:rsidP="00900153">
            <w:pPr>
              <w:spacing w:line="480" w:lineRule="auto"/>
              <w:jc w:val="center"/>
            </w:pPr>
            <w:r w:rsidRPr="00FA22F5">
              <w:t>2009</w:t>
            </w:r>
          </w:p>
        </w:tc>
        <w:tc>
          <w:tcPr>
            <w:tcW w:w="1838" w:type="dxa"/>
            <w:vAlign w:val="bottom"/>
          </w:tcPr>
          <w:p w:rsidR="00A66223" w:rsidRPr="00FA22F5" w:rsidRDefault="00A66223" w:rsidP="00900153">
            <w:pPr>
              <w:spacing w:line="480" w:lineRule="auto"/>
              <w:jc w:val="center"/>
            </w:pPr>
            <w:r w:rsidRPr="00FA22F5">
              <w:t>1313</w:t>
            </w:r>
          </w:p>
        </w:tc>
        <w:tc>
          <w:tcPr>
            <w:tcW w:w="1540" w:type="dxa"/>
            <w:vAlign w:val="bottom"/>
          </w:tcPr>
          <w:p w:rsidR="00A66223" w:rsidRPr="00FA22F5" w:rsidRDefault="00A66223" w:rsidP="00900153">
            <w:pPr>
              <w:spacing w:line="480" w:lineRule="auto"/>
              <w:jc w:val="center"/>
            </w:pPr>
            <w:r w:rsidRPr="00FA22F5">
              <w:t>40</w:t>
            </w:r>
          </w:p>
        </w:tc>
        <w:tc>
          <w:tcPr>
            <w:tcW w:w="1540" w:type="dxa"/>
            <w:vAlign w:val="bottom"/>
          </w:tcPr>
          <w:p w:rsidR="00A66223" w:rsidRPr="00FA22F5" w:rsidRDefault="00A66223" w:rsidP="00900153">
            <w:pPr>
              <w:spacing w:line="480" w:lineRule="auto"/>
              <w:jc w:val="center"/>
              <w:rPr>
                <w:color w:val="000000"/>
              </w:rPr>
            </w:pPr>
            <w:r w:rsidRPr="00FA22F5">
              <w:rPr>
                <w:color w:val="000000"/>
              </w:rPr>
              <w:t>17336</w:t>
            </w:r>
          </w:p>
        </w:tc>
        <w:tc>
          <w:tcPr>
            <w:tcW w:w="1541" w:type="dxa"/>
            <w:vAlign w:val="bottom"/>
          </w:tcPr>
          <w:p w:rsidR="00A66223" w:rsidRPr="00FA22F5" w:rsidRDefault="00A66223" w:rsidP="00900153">
            <w:pPr>
              <w:spacing w:line="480" w:lineRule="auto"/>
              <w:jc w:val="center"/>
              <w:rPr>
                <w:color w:val="000000"/>
              </w:rPr>
            </w:pPr>
            <w:r w:rsidRPr="00FA22F5">
              <w:rPr>
                <w:color w:val="000000"/>
              </w:rPr>
              <w:t>433.40</w:t>
            </w:r>
          </w:p>
        </w:tc>
        <w:tc>
          <w:tcPr>
            <w:tcW w:w="1541" w:type="dxa"/>
            <w:vAlign w:val="bottom"/>
          </w:tcPr>
          <w:p w:rsidR="00A66223" w:rsidRPr="00FA22F5" w:rsidRDefault="00A66223" w:rsidP="00900153">
            <w:pPr>
              <w:spacing w:line="480" w:lineRule="auto"/>
              <w:jc w:val="center"/>
              <w:rPr>
                <w:color w:val="000000"/>
              </w:rPr>
            </w:pPr>
            <w:r w:rsidRPr="00FA22F5">
              <w:rPr>
                <w:color w:val="000000"/>
              </w:rPr>
              <w:t>352.11</w:t>
            </w:r>
          </w:p>
        </w:tc>
      </w:tr>
      <w:tr w:rsidR="00A66223" w:rsidRPr="00FA22F5" w:rsidTr="004A38EC">
        <w:tc>
          <w:tcPr>
            <w:tcW w:w="1242" w:type="dxa"/>
            <w:vAlign w:val="bottom"/>
          </w:tcPr>
          <w:p w:rsidR="00A66223" w:rsidRPr="00FA22F5" w:rsidRDefault="00A66223" w:rsidP="00900153">
            <w:pPr>
              <w:spacing w:line="480" w:lineRule="auto"/>
              <w:jc w:val="center"/>
            </w:pPr>
            <w:r w:rsidRPr="00FA22F5">
              <w:t>2010</w:t>
            </w:r>
          </w:p>
        </w:tc>
        <w:tc>
          <w:tcPr>
            <w:tcW w:w="1838" w:type="dxa"/>
            <w:vAlign w:val="bottom"/>
          </w:tcPr>
          <w:p w:rsidR="00A66223" w:rsidRPr="00FA22F5" w:rsidRDefault="00A66223" w:rsidP="00900153">
            <w:pPr>
              <w:spacing w:line="480" w:lineRule="auto"/>
              <w:jc w:val="center"/>
            </w:pPr>
            <w:r w:rsidRPr="00FA22F5">
              <w:t>994</w:t>
            </w:r>
          </w:p>
        </w:tc>
        <w:tc>
          <w:tcPr>
            <w:tcW w:w="1540" w:type="dxa"/>
            <w:vAlign w:val="bottom"/>
          </w:tcPr>
          <w:p w:rsidR="00A66223" w:rsidRPr="00FA22F5" w:rsidRDefault="00A66223" w:rsidP="00900153">
            <w:pPr>
              <w:spacing w:line="480" w:lineRule="auto"/>
              <w:jc w:val="center"/>
            </w:pPr>
            <w:r w:rsidRPr="00FA22F5">
              <w:t>40</w:t>
            </w:r>
          </w:p>
        </w:tc>
        <w:tc>
          <w:tcPr>
            <w:tcW w:w="1540" w:type="dxa"/>
            <w:vAlign w:val="bottom"/>
          </w:tcPr>
          <w:p w:rsidR="00A66223" w:rsidRPr="00FA22F5" w:rsidRDefault="00A66223" w:rsidP="00900153">
            <w:pPr>
              <w:spacing w:line="480" w:lineRule="auto"/>
              <w:jc w:val="center"/>
              <w:rPr>
                <w:color w:val="000000"/>
              </w:rPr>
            </w:pPr>
            <w:r w:rsidRPr="00FA22F5">
              <w:rPr>
                <w:color w:val="000000"/>
              </w:rPr>
              <w:t>30815</w:t>
            </w:r>
          </w:p>
        </w:tc>
        <w:tc>
          <w:tcPr>
            <w:tcW w:w="1541" w:type="dxa"/>
            <w:vAlign w:val="bottom"/>
          </w:tcPr>
          <w:p w:rsidR="00A66223" w:rsidRPr="00FA22F5" w:rsidRDefault="00A66223" w:rsidP="00900153">
            <w:pPr>
              <w:spacing w:line="480" w:lineRule="auto"/>
              <w:jc w:val="center"/>
              <w:rPr>
                <w:color w:val="000000"/>
              </w:rPr>
            </w:pPr>
            <w:r w:rsidRPr="00FA22F5">
              <w:rPr>
                <w:color w:val="000000"/>
              </w:rPr>
              <w:t>770.38</w:t>
            </w:r>
          </w:p>
        </w:tc>
        <w:tc>
          <w:tcPr>
            <w:tcW w:w="1541" w:type="dxa"/>
            <w:vAlign w:val="bottom"/>
          </w:tcPr>
          <w:p w:rsidR="00A66223" w:rsidRPr="00FA22F5" w:rsidRDefault="00A66223" w:rsidP="00900153">
            <w:pPr>
              <w:spacing w:line="480" w:lineRule="auto"/>
              <w:jc w:val="center"/>
              <w:rPr>
                <w:color w:val="000000"/>
              </w:rPr>
            </w:pPr>
            <w:r w:rsidRPr="00FA22F5">
              <w:rPr>
                <w:color w:val="000000"/>
              </w:rPr>
              <w:t>1147.79</w:t>
            </w:r>
          </w:p>
        </w:tc>
      </w:tr>
      <w:tr w:rsidR="00A66223" w:rsidRPr="00FA22F5" w:rsidTr="004A38EC">
        <w:tc>
          <w:tcPr>
            <w:tcW w:w="1242" w:type="dxa"/>
            <w:vAlign w:val="bottom"/>
          </w:tcPr>
          <w:p w:rsidR="00A66223" w:rsidRPr="00FA22F5" w:rsidRDefault="00A66223" w:rsidP="00900153">
            <w:pPr>
              <w:spacing w:line="480" w:lineRule="auto"/>
              <w:jc w:val="center"/>
            </w:pPr>
            <w:r w:rsidRPr="00FA22F5">
              <w:t>2011</w:t>
            </w:r>
          </w:p>
        </w:tc>
        <w:tc>
          <w:tcPr>
            <w:tcW w:w="1838" w:type="dxa"/>
            <w:vAlign w:val="bottom"/>
          </w:tcPr>
          <w:p w:rsidR="00A66223" w:rsidRPr="00FA22F5" w:rsidRDefault="00A66223" w:rsidP="00900153">
            <w:pPr>
              <w:spacing w:line="480" w:lineRule="auto"/>
              <w:jc w:val="center"/>
            </w:pPr>
            <w:r w:rsidRPr="00FA22F5">
              <w:t>1007</w:t>
            </w:r>
          </w:p>
        </w:tc>
        <w:tc>
          <w:tcPr>
            <w:tcW w:w="1540" w:type="dxa"/>
            <w:vAlign w:val="bottom"/>
          </w:tcPr>
          <w:p w:rsidR="00A66223" w:rsidRPr="00FA22F5" w:rsidRDefault="00A66223" w:rsidP="00900153">
            <w:pPr>
              <w:spacing w:line="480" w:lineRule="auto"/>
              <w:jc w:val="center"/>
            </w:pPr>
            <w:r w:rsidRPr="00FA22F5">
              <w:t>40</w:t>
            </w:r>
          </w:p>
        </w:tc>
        <w:tc>
          <w:tcPr>
            <w:tcW w:w="1540" w:type="dxa"/>
            <w:vAlign w:val="bottom"/>
          </w:tcPr>
          <w:p w:rsidR="00A66223" w:rsidRPr="00FA22F5" w:rsidRDefault="00A66223" w:rsidP="00900153">
            <w:pPr>
              <w:spacing w:line="480" w:lineRule="auto"/>
              <w:jc w:val="center"/>
              <w:rPr>
                <w:color w:val="000000"/>
              </w:rPr>
            </w:pPr>
            <w:r w:rsidRPr="00FA22F5">
              <w:rPr>
                <w:color w:val="000000"/>
              </w:rPr>
              <w:t>20113</w:t>
            </w:r>
          </w:p>
        </w:tc>
        <w:tc>
          <w:tcPr>
            <w:tcW w:w="1541" w:type="dxa"/>
            <w:vAlign w:val="bottom"/>
          </w:tcPr>
          <w:p w:rsidR="00A66223" w:rsidRPr="00FA22F5" w:rsidRDefault="00A66223" w:rsidP="00900153">
            <w:pPr>
              <w:spacing w:line="480" w:lineRule="auto"/>
              <w:jc w:val="center"/>
              <w:rPr>
                <w:color w:val="000000"/>
              </w:rPr>
            </w:pPr>
            <w:r w:rsidRPr="00FA22F5">
              <w:rPr>
                <w:color w:val="000000"/>
              </w:rPr>
              <w:t>502.83</w:t>
            </w:r>
          </w:p>
        </w:tc>
        <w:tc>
          <w:tcPr>
            <w:tcW w:w="1541" w:type="dxa"/>
            <w:vAlign w:val="bottom"/>
          </w:tcPr>
          <w:p w:rsidR="00A66223" w:rsidRPr="00FA22F5" w:rsidRDefault="00A66223" w:rsidP="00900153">
            <w:pPr>
              <w:spacing w:line="480" w:lineRule="auto"/>
              <w:jc w:val="center"/>
              <w:rPr>
                <w:color w:val="000000"/>
              </w:rPr>
            </w:pPr>
            <w:r w:rsidRPr="00FA22F5">
              <w:rPr>
                <w:color w:val="000000"/>
              </w:rPr>
              <w:t>483.15</w:t>
            </w:r>
          </w:p>
        </w:tc>
      </w:tr>
      <w:tr w:rsidR="00A66223" w:rsidRPr="00FA22F5" w:rsidTr="004A38EC">
        <w:tc>
          <w:tcPr>
            <w:tcW w:w="1242" w:type="dxa"/>
            <w:vAlign w:val="bottom"/>
          </w:tcPr>
          <w:p w:rsidR="00A66223" w:rsidRPr="00FA22F5" w:rsidRDefault="00A66223" w:rsidP="00900153">
            <w:pPr>
              <w:spacing w:line="480" w:lineRule="auto"/>
              <w:jc w:val="center"/>
            </w:pPr>
            <w:r w:rsidRPr="00FA22F5">
              <w:t>2012</w:t>
            </w:r>
          </w:p>
        </w:tc>
        <w:tc>
          <w:tcPr>
            <w:tcW w:w="1838" w:type="dxa"/>
            <w:vAlign w:val="bottom"/>
          </w:tcPr>
          <w:p w:rsidR="00A66223" w:rsidRPr="00FA22F5" w:rsidRDefault="00A66223" w:rsidP="00900153">
            <w:pPr>
              <w:spacing w:line="480" w:lineRule="auto"/>
              <w:jc w:val="center"/>
            </w:pPr>
            <w:r w:rsidRPr="00FA22F5">
              <w:t>909</w:t>
            </w:r>
          </w:p>
        </w:tc>
        <w:tc>
          <w:tcPr>
            <w:tcW w:w="1540" w:type="dxa"/>
            <w:vAlign w:val="bottom"/>
          </w:tcPr>
          <w:p w:rsidR="00A66223" w:rsidRPr="00FA22F5" w:rsidRDefault="00A66223" w:rsidP="00900153">
            <w:pPr>
              <w:spacing w:line="480" w:lineRule="auto"/>
              <w:jc w:val="center"/>
            </w:pPr>
            <w:r w:rsidRPr="00FA22F5">
              <w:t>40</w:t>
            </w:r>
          </w:p>
        </w:tc>
        <w:tc>
          <w:tcPr>
            <w:tcW w:w="1540" w:type="dxa"/>
            <w:vAlign w:val="bottom"/>
          </w:tcPr>
          <w:p w:rsidR="00A66223" w:rsidRPr="00FA22F5" w:rsidRDefault="00A66223" w:rsidP="00900153">
            <w:pPr>
              <w:spacing w:line="480" w:lineRule="auto"/>
              <w:jc w:val="center"/>
              <w:rPr>
                <w:color w:val="000000"/>
              </w:rPr>
            </w:pPr>
            <w:r w:rsidRPr="00FA22F5">
              <w:rPr>
                <w:color w:val="000000"/>
              </w:rPr>
              <w:t>20195</w:t>
            </w:r>
          </w:p>
        </w:tc>
        <w:tc>
          <w:tcPr>
            <w:tcW w:w="1541" w:type="dxa"/>
            <w:vAlign w:val="bottom"/>
          </w:tcPr>
          <w:p w:rsidR="00A66223" w:rsidRPr="00FA22F5" w:rsidRDefault="00A66223" w:rsidP="00900153">
            <w:pPr>
              <w:spacing w:line="480" w:lineRule="auto"/>
              <w:jc w:val="center"/>
              <w:rPr>
                <w:color w:val="000000"/>
              </w:rPr>
            </w:pPr>
            <w:r w:rsidRPr="00FA22F5">
              <w:rPr>
                <w:color w:val="000000"/>
              </w:rPr>
              <w:t>504.88</w:t>
            </w:r>
          </w:p>
        </w:tc>
        <w:tc>
          <w:tcPr>
            <w:tcW w:w="1541" w:type="dxa"/>
            <w:vAlign w:val="bottom"/>
          </w:tcPr>
          <w:p w:rsidR="00A66223" w:rsidRPr="00FA22F5" w:rsidRDefault="00A66223" w:rsidP="00900153">
            <w:pPr>
              <w:spacing w:line="480" w:lineRule="auto"/>
              <w:jc w:val="center"/>
              <w:rPr>
                <w:color w:val="000000"/>
              </w:rPr>
            </w:pPr>
            <w:r w:rsidRPr="00FA22F5">
              <w:rPr>
                <w:color w:val="000000"/>
              </w:rPr>
              <w:t>397.30</w:t>
            </w:r>
          </w:p>
        </w:tc>
      </w:tr>
      <w:tr w:rsidR="00A66223" w:rsidRPr="00FA22F5" w:rsidTr="004A38EC">
        <w:tc>
          <w:tcPr>
            <w:tcW w:w="1242" w:type="dxa"/>
            <w:vAlign w:val="bottom"/>
          </w:tcPr>
          <w:p w:rsidR="00A66223" w:rsidRPr="00FA22F5" w:rsidRDefault="00A66223" w:rsidP="00900153">
            <w:pPr>
              <w:spacing w:line="480" w:lineRule="auto"/>
              <w:jc w:val="center"/>
            </w:pPr>
            <w:r w:rsidRPr="00FA22F5">
              <w:t>2013</w:t>
            </w:r>
          </w:p>
        </w:tc>
        <w:tc>
          <w:tcPr>
            <w:tcW w:w="1838" w:type="dxa"/>
            <w:vAlign w:val="bottom"/>
          </w:tcPr>
          <w:p w:rsidR="00A66223" w:rsidRPr="00FA22F5" w:rsidRDefault="00A66223" w:rsidP="00900153">
            <w:pPr>
              <w:spacing w:line="480" w:lineRule="auto"/>
              <w:jc w:val="center"/>
            </w:pPr>
            <w:r w:rsidRPr="00FA22F5">
              <w:t>1024</w:t>
            </w:r>
          </w:p>
        </w:tc>
        <w:tc>
          <w:tcPr>
            <w:tcW w:w="1540" w:type="dxa"/>
            <w:vAlign w:val="bottom"/>
          </w:tcPr>
          <w:p w:rsidR="00A66223" w:rsidRPr="00FA22F5" w:rsidRDefault="00A66223" w:rsidP="00900153">
            <w:pPr>
              <w:spacing w:line="480" w:lineRule="auto"/>
              <w:jc w:val="center"/>
            </w:pPr>
            <w:r w:rsidRPr="00FA22F5">
              <w:t>40</w:t>
            </w:r>
          </w:p>
        </w:tc>
        <w:tc>
          <w:tcPr>
            <w:tcW w:w="1540" w:type="dxa"/>
            <w:vAlign w:val="bottom"/>
          </w:tcPr>
          <w:p w:rsidR="00A66223" w:rsidRPr="00FA22F5" w:rsidRDefault="00A66223" w:rsidP="00900153">
            <w:pPr>
              <w:spacing w:line="480" w:lineRule="auto"/>
              <w:jc w:val="center"/>
              <w:rPr>
                <w:color w:val="000000"/>
              </w:rPr>
            </w:pPr>
            <w:r w:rsidRPr="00FA22F5">
              <w:rPr>
                <w:color w:val="000000"/>
              </w:rPr>
              <w:t>14228</w:t>
            </w:r>
          </w:p>
        </w:tc>
        <w:tc>
          <w:tcPr>
            <w:tcW w:w="1541" w:type="dxa"/>
            <w:vAlign w:val="bottom"/>
          </w:tcPr>
          <w:p w:rsidR="00A66223" w:rsidRPr="00FA22F5" w:rsidRDefault="00A66223" w:rsidP="00900153">
            <w:pPr>
              <w:spacing w:line="480" w:lineRule="auto"/>
              <w:jc w:val="center"/>
              <w:rPr>
                <w:color w:val="000000"/>
              </w:rPr>
            </w:pPr>
            <w:r w:rsidRPr="00FA22F5">
              <w:rPr>
                <w:color w:val="000000"/>
              </w:rPr>
              <w:t>355.70</w:t>
            </w:r>
          </w:p>
        </w:tc>
        <w:tc>
          <w:tcPr>
            <w:tcW w:w="1541" w:type="dxa"/>
            <w:vAlign w:val="bottom"/>
          </w:tcPr>
          <w:p w:rsidR="00A66223" w:rsidRPr="00FA22F5" w:rsidRDefault="00A66223" w:rsidP="00900153">
            <w:pPr>
              <w:spacing w:line="480" w:lineRule="auto"/>
              <w:jc w:val="center"/>
              <w:rPr>
                <w:color w:val="000000"/>
              </w:rPr>
            </w:pPr>
            <w:r w:rsidRPr="00FA22F5">
              <w:rPr>
                <w:color w:val="000000"/>
              </w:rPr>
              <w:t>353.37</w:t>
            </w:r>
          </w:p>
        </w:tc>
      </w:tr>
      <w:tr w:rsidR="00A66223" w:rsidRPr="00FA22F5" w:rsidTr="004A38EC">
        <w:tc>
          <w:tcPr>
            <w:tcW w:w="1242" w:type="dxa"/>
            <w:vAlign w:val="bottom"/>
          </w:tcPr>
          <w:p w:rsidR="00A66223" w:rsidRPr="00FA22F5" w:rsidRDefault="00A66223" w:rsidP="00900153">
            <w:pPr>
              <w:spacing w:line="480" w:lineRule="auto"/>
              <w:jc w:val="center"/>
            </w:pPr>
            <w:r w:rsidRPr="00FA22F5">
              <w:t>2014</w:t>
            </w:r>
          </w:p>
        </w:tc>
        <w:tc>
          <w:tcPr>
            <w:tcW w:w="1838" w:type="dxa"/>
            <w:vAlign w:val="bottom"/>
          </w:tcPr>
          <w:p w:rsidR="00A66223" w:rsidRPr="00FA22F5" w:rsidRDefault="00A66223" w:rsidP="00900153">
            <w:pPr>
              <w:spacing w:line="480" w:lineRule="auto"/>
              <w:jc w:val="center"/>
            </w:pPr>
            <w:r w:rsidRPr="00FA22F5">
              <w:t>407</w:t>
            </w:r>
          </w:p>
        </w:tc>
        <w:tc>
          <w:tcPr>
            <w:tcW w:w="1540" w:type="dxa"/>
            <w:vAlign w:val="bottom"/>
          </w:tcPr>
          <w:p w:rsidR="00A66223" w:rsidRPr="00FA22F5" w:rsidRDefault="00A66223" w:rsidP="00900153">
            <w:pPr>
              <w:spacing w:line="480" w:lineRule="auto"/>
              <w:jc w:val="center"/>
            </w:pPr>
            <w:r w:rsidRPr="00FA22F5">
              <w:t>40</w:t>
            </w:r>
          </w:p>
        </w:tc>
        <w:tc>
          <w:tcPr>
            <w:tcW w:w="1540" w:type="dxa"/>
            <w:vAlign w:val="bottom"/>
          </w:tcPr>
          <w:p w:rsidR="00A66223" w:rsidRPr="00FA22F5" w:rsidRDefault="00A66223" w:rsidP="00900153">
            <w:pPr>
              <w:spacing w:line="480" w:lineRule="auto"/>
              <w:jc w:val="center"/>
              <w:rPr>
                <w:color w:val="000000"/>
              </w:rPr>
            </w:pPr>
            <w:r w:rsidRPr="00FA22F5">
              <w:rPr>
                <w:color w:val="000000"/>
              </w:rPr>
              <w:t>14948</w:t>
            </w:r>
          </w:p>
        </w:tc>
        <w:tc>
          <w:tcPr>
            <w:tcW w:w="1541" w:type="dxa"/>
            <w:vAlign w:val="bottom"/>
          </w:tcPr>
          <w:p w:rsidR="00A66223" w:rsidRPr="00FA22F5" w:rsidRDefault="00A66223" w:rsidP="00900153">
            <w:pPr>
              <w:spacing w:line="480" w:lineRule="auto"/>
              <w:jc w:val="center"/>
              <w:rPr>
                <w:color w:val="000000"/>
              </w:rPr>
            </w:pPr>
            <w:r w:rsidRPr="00FA22F5">
              <w:rPr>
                <w:color w:val="000000"/>
              </w:rPr>
              <w:t>373.70</w:t>
            </w:r>
          </w:p>
        </w:tc>
        <w:tc>
          <w:tcPr>
            <w:tcW w:w="1541" w:type="dxa"/>
            <w:vAlign w:val="bottom"/>
          </w:tcPr>
          <w:p w:rsidR="00A66223" w:rsidRPr="00FA22F5" w:rsidRDefault="00A66223" w:rsidP="00900153">
            <w:pPr>
              <w:spacing w:line="480" w:lineRule="auto"/>
              <w:jc w:val="center"/>
              <w:rPr>
                <w:color w:val="000000"/>
              </w:rPr>
            </w:pPr>
            <w:r w:rsidRPr="00FA22F5">
              <w:rPr>
                <w:color w:val="000000"/>
              </w:rPr>
              <w:t>311.76</w:t>
            </w:r>
          </w:p>
        </w:tc>
      </w:tr>
    </w:tbl>
    <w:p w:rsidR="000C4C56" w:rsidRPr="00FA22F5" w:rsidRDefault="000C4C56" w:rsidP="00900153">
      <w:pPr>
        <w:spacing w:line="480" w:lineRule="auto"/>
      </w:pPr>
    </w:p>
    <w:p w:rsidR="000C4C56" w:rsidRPr="00FA22F5" w:rsidRDefault="000C4C56">
      <w:pPr>
        <w:spacing w:after="200" w:line="276" w:lineRule="auto"/>
      </w:pPr>
      <w:r w:rsidRPr="00FA22F5">
        <w:br w:type="page"/>
      </w:r>
    </w:p>
    <w:p w:rsidR="000C4C56" w:rsidRPr="00FA22F5" w:rsidRDefault="000C4C56" w:rsidP="000C4C56">
      <w:pPr>
        <w:spacing w:line="480" w:lineRule="auto"/>
      </w:pPr>
      <w:r w:rsidRPr="00FA22F5">
        <w:rPr>
          <w:b/>
        </w:rPr>
        <w:lastRenderedPageBreak/>
        <w:t>Table S3.</w:t>
      </w:r>
      <w:r w:rsidRPr="00FA22F5">
        <w:t xml:space="preserve"> Description of variables in the “Data.COA.analyses.txt” data set</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1951"/>
        <w:gridCol w:w="7291"/>
      </w:tblGrid>
      <w:tr w:rsidR="000C4C56" w:rsidRPr="00FA22F5" w:rsidTr="000C4C56">
        <w:tc>
          <w:tcPr>
            <w:tcW w:w="1951" w:type="dxa"/>
            <w:tcBorders>
              <w:top w:val="single" w:sz="4" w:space="0" w:color="auto"/>
              <w:bottom w:val="single" w:sz="4" w:space="0" w:color="auto"/>
            </w:tcBorders>
          </w:tcPr>
          <w:p w:rsidR="000C4C56" w:rsidRPr="00FA22F5" w:rsidRDefault="000C4C56" w:rsidP="000C4C56">
            <w:pPr>
              <w:spacing w:line="480" w:lineRule="auto"/>
            </w:pPr>
            <w:r w:rsidRPr="00FA22F5">
              <w:t>Variable</w:t>
            </w:r>
          </w:p>
        </w:tc>
        <w:tc>
          <w:tcPr>
            <w:tcW w:w="7291" w:type="dxa"/>
            <w:tcBorders>
              <w:top w:val="single" w:sz="4" w:space="0" w:color="auto"/>
              <w:bottom w:val="single" w:sz="4" w:space="0" w:color="auto"/>
            </w:tcBorders>
          </w:tcPr>
          <w:p w:rsidR="000C4C56" w:rsidRPr="00FA22F5" w:rsidRDefault="000C4C56" w:rsidP="000C4C56">
            <w:pPr>
              <w:spacing w:line="480" w:lineRule="auto"/>
            </w:pPr>
            <w:r w:rsidRPr="00FA22F5">
              <w:t>Description</w:t>
            </w:r>
          </w:p>
        </w:tc>
      </w:tr>
      <w:tr w:rsidR="000C4C56" w:rsidRPr="00FA22F5" w:rsidTr="000C4C56">
        <w:tc>
          <w:tcPr>
            <w:tcW w:w="1951" w:type="dxa"/>
            <w:tcBorders>
              <w:top w:val="single" w:sz="4" w:space="0" w:color="auto"/>
            </w:tcBorders>
          </w:tcPr>
          <w:p w:rsidR="000C4C56" w:rsidRPr="00FA22F5" w:rsidRDefault="000C4C56" w:rsidP="000C4C56">
            <w:pPr>
              <w:spacing w:line="480" w:lineRule="auto"/>
            </w:pPr>
            <w:r w:rsidRPr="00FA22F5">
              <w:t>HI_Indiv</w:t>
            </w:r>
          </w:p>
        </w:tc>
        <w:tc>
          <w:tcPr>
            <w:tcW w:w="7291" w:type="dxa"/>
            <w:tcBorders>
              <w:top w:val="single" w:sz="4" w:space="0" w:color="auto"/>
            </w:tcBorders>
          </w:tcPr>
          <w:p w:rsidR="000C4C56" w:rsidRPr="00FA22F5" w:rsidRDefault="000C4C56" w:rsidP="000C4C56">
            <w:pPr>
              <w:spacing w:line="480" w:lineRule="auto"/>
            </w:pPr>
            <w:r w:rsidRPr="00FA22F5">
              <w:t>Classification of dolphins as either conditioned (1) or unconditioned (0) to food provisioning</w:t>
            </w:r>
          </w:p>
        </w:tc>
      </w:tr>
      <w:tr w:rsidR="000C4C56" w:rsidRPr="00FA22F5" w:rsidTr="000C4C56">
        <w:tc>
          <w:tcPr>
            <w:tcW w:w="1951" w:type="dxa"/>
          </w:tcPr>
          <w:p w:rsidR="000C4C56" w:rsidRPr="00FA22F5" w:rsidRDefault="000C4C56" w:rsidP="000C4C56">
            <w:pPr>
              <w:spacing w:line="480" w:lineRule="auto"/>
            </w:pPr>
            <w:r w:rsidRPr="00FA22F5">
              <w:t>COA.five.year</w:t>
            </w:r>
          </w:p>
        </w:tc>
        <w:tc>
          <w:tcPr>
            <w:tcW w:w="7291" w:type="dxa"/>
          </w:tcPr>
          <w:p w:rsidR="000C4C56" w:rsidRPr="00FA22F5" w:rsidRDefault="000C4C56" w:rsidP="000C4C56">
            <w:pPr>
              <w:spacing w:line="480" w:lineRule="auto"/>
            </w:pPr>
            <w:r w:rsidRPr="00FA22F5">
              <w:t>Average COA with conditioned animals over five years the last five years prior to conditioning (for conditioned dolphins) or before last estimate (for unconditioned dolphins)</w:t>
            </w:r>
          </w:p>
        </w:tc>
      </w:tr>
      <w:tr w:rsidR="000C4C56" w:rsidRPr="00FA22F5" w:rsidTr="000C4C56">
        <w:tc>
          <w:tcPr>
            <w:tcW w:w="1951" w:type="dxa"/>
          </w:tcPr>
          <w:p w:rsidR="000C4C56" w:rsidRPr="00FA22F5" w:rsidRDefault="000C4C56" w:rsidP="000C4C56">
            <w:pPr>
              <w:spacing w:line="480" w:lineRule="auto"/>
            </w:pPr>
            <w:r w:rsidRPr="00FA22F5">
              <w:t>COA.four.year</w:t>
            </w:r>
          </w:p>
        </w:tc>
        <w:tc>
          <w:tcPr>
            <w:tcW w:w="7291" w:type="dxa"/>
          </w:tcPr>
          <w:p w:rsidR="000C4C56" w:rsidRPr="00FA22F5" w:rsidRDefault="000C4C56" w:rsidP="000C4C56">
            <w:pPr>
              <w:spacing w:line="480" w:lineRule="auto"/>
            </w:pPr>
            <w:r w:rsidRPr="00FA22F5">
              <w:t>Same as above, but estimated over four years</w:t>
            </w:r>
          </w:p>
        </w:tc>
      </w:tr>
      <w:tr w:rsidR="000C4C56" w:rsidRPr="00FA22F5" w:rsidTr="000C4C56">
        <w:tc>
          <w:tcPr>
            <w:tcW w:w="1951" w:type="dxa"/>
          </w:tcPr>
          <w:p w:rsidR="000C4C56" w:rsidRPr="00FA22F5" w:rsidRDefault="000C4C56" w:rsidP="000C4C56">
            <w:pPr>
              <w:spacing w:line="480" w:lineRule="auto"/>
            </w:pPr>
            <w:r w:rsidRPr="00FA22F5">
              <w:t>COA.three.year</w:t>
            </w:r>
          </w:p>
        </w:tc>
        <w:tc>
          <w:tcPr>
            <w:tcW w:w="7291" w:type="dxa"/>
          </w:tcPr>
          <w:p w:rsidR="000C4C56" w:rsidRPr="00FA22F5" w:rsidRDefault="000C4C56" w:rsidP="000C4C56">
            <w:pPr>
              <w:spacing w:line="480" w:lineRule="auto"/>
            </w:pPr>
            <w:r w:rsidRPr="00FA22F5">
              <w:t>Same as above, but estimated over three years</w:t>
            </w:r>
          </w:p>
        </w:tc>
      </w:tr>
      <w:tr w:rsidR="000C4C56" w:rsidRPr="00FA22F5" w:rsidTr="000C4C56">
        <w:tc>
          <w:tcPr>
            <w:tcW w:w="1951" w:type="dxa"/>
          </w:tcPr>
          <w:p w:rsidR="000C4C56" w:rsidRPr="00FA22F5" w:rsidRDefault="000C4C56" w:rsidP="000C4C56">
            <w:pPr>
              <w:spacing w:line="480" w:lineRule="auto"/>
            </w:pPr>
            <w:r w:rsidRPr="00FA22F5">
              <w:t>COA.two.year</w:t>
            </w:r>
          </w:p>
        </w:tc>
        <w:tc>
          <w:tcPr>
            <w:tcW w:w="7291" w:type="dxa"/>
          </w:tcPr>
          <w:p w:rsidR="000C4C56" w:rsidRPr="00FA22F5" w:rsidRDefault="000C4C56" w:rsidP="000C4C56">
            <w:pPr>
              <w:spacing w:line="480" w:lineRule="auto"/>
            </w:pPr>
            <w:r w:rsidRPr="00FA22F5">
              <w:t>Same as above, but estimated over two years</w:t>
            </w:r>
          </w:p>
        </w:tc>
      </w:tr>
      <w:tr w:rsidR="000C4C56" w:rsidRPr="00FA22F5" w:rsidTr="000C4C56">
        <w:tc>
          <w:tcPr>
            <w:tcW w:w="1951" w:type="dxa"/>
          </w:tcPr>
          <w:p w:rsidR="000C4C56" w:rsidRPr="00FA22F5" w:rsidRDefault="000C4C56" w:rsidP="000C4C56">
            <w:pPr>
              <w:spacing w:line="480" w:lineRule="auto"/>
            </w:pPr>
            <w:r w:rsidRPr="00FA22F5">
              <w:t>COA.one.year</w:t>
            </w:r>
          </w:p>
        </w:tc>
        <w:tc>
          <w:tcPr>
            <w:tcW w:w="7291" w:type="dxa"/>
          </w:tcPr>
          <w:p w:rsidR="000C4C56" w:rsidRPr="00FA22F5" w:rsidRDefault="000C4C56" w:rsidP="000C4C56">
            <w:pPr>
              <w:spacing w:line="480" w:lineRule="auto"/>
            </w:pPr>
            <w:r w:rsidRPr="00FA22F5">
              <w:t>Same as above, but estimated over one year</w:t>
            </w:r>
          </w:p>
        </w:tc>
      </w:tr>
    </w:tbl>
    <w:p w:rsidR="000C4C56" w:rsidRPr="00FA22F5" w:rsidRDefault="000C4C56">
      <w:pPr>
        <w:spacing w:after="200" w:line="276" w:lineRule="auto"/>
      </w:pPr>
      <w:r w:rsidRPr="00FA22F5">
        <w:br w:type="page"/>
      </w:r>
    </w:p>
    <w:p w:rsidR="000C4C56" w:rsidRPr="00FA22F5" w:rsidRDefault="000C4C56" w:rsidP="000C4C56">
      <w:pPr>
        <w:spacing w:line="480" w:lineRule="auto"/>
      </w:pPr>
      <w:r w:rsidRPr="00FA22F5">
        <w:rPr>
          <w:b/>
        </w:rPr>
        <w:lastRenderedPageBreak/>
        <w:t>Table S4.</w:t>
      </w:r>
      <w:r w:rsidRPr="00FA22F5">
        <w:t xml:space="preserve"> Description of variables in the “Data.injury.analyses.txt” data set</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1951"/>
        <w:gridCol w:w="7291"/>
      </w:tblGrid>
      <w:tr w:rsidR="000C4C56" w:rsidRPr="00FA22F5" w:rsidTr="00A9015C">
        <w:tc>
          <w:tcPr>
            <w:tcW w:w="1951" w:type="dxa"/>
            <w:tcBorders>
              <w:top w:val="single" w:sz="4" w:space="0" w:color="auto"/>
              <w:bottom w:val="single" w:sz="4" w:space="0" w:color="auto"/>
            </w:tcBorders>
          </w:tcPr>
          <w:p w:rsidR="000C4C56" w:rsidRPr="00FA22F5" w:rsidRDefault="000C4C56" w:rsidP="00A9015C">
            <w:pPr>
              <w:spacing w:line="480" w:lineRule="auto"/>
            </w:pPr>
            <w:r w:rsidRPr="00FA22F5">
              <w:t>Variable</w:t>
            </w:r>
          </w:p>
        </w:tc>
        <w:tc>
          <w:tcPr>
            <w:tcW w:w="7291" w:type="dxa"/>
            <w:tcBorders>
              <w:top w:val="single" w:sz="4" w:space="0" w:color="auto"/>
              <w:bottom w:val="single" w:sz="4" w:space="0" w:color="auto"/>
            </w:tcBorders>
          </w:tcPr>
          <w:p w:rsidR="000C4C56" w:rsidRPr="00FA22F5" w:rsidRDefault="000C4C56" w:rsidP="00A9015C">
            <w:pPr>
              <w:spacing w:line="480" w:lineRule="auto"/>
            </w:pPr>
            <w:r w:rsidRPr="00FA22F5">
              <w:t>Description</w:t>
            </w:r>
          </w:p>
        </w:tc>
      </w:tr>
      <w:tr w:rsidR="000C4C56" w:rsidRPr="00FA22F5" w:rsidTr="00A9015C">
        <w:tc>
          <w:tcPr>
            <w:tcW w:w="1951" w:type="dxa"/>
            <w:tcBorders>
              <w:top w:val="single" w:sz="4" w:space="0" w:color="auto"/>
            </w:tcBorders>
          </w:tcPr>
          <w:p w:rsidR="000C4C56" w:rsidRPr="00FA22F5" w:rsidRDefault="000C4C56" w:rsidP="00A9015C">
            <w:pPr>
              <w:spacing w:line="480" w:lineRule="auto"/>
            </w:pPr>
            <w:r w:rsidRPr="00FA22F5">
              <w:t>HI_Injury</w:t>
            </w:r>
          </w:p>
        </w:tc>
        <w:tc>
          <w:tcPr>
            <w:tcW w:w="7291" w:type="dxa"/>
            <w:tcBorders>
              <w:top w:val="single" w:sz="4" w:space="0" w:color="auto"/>
            </w:tcBorders>
          </w:tcPr>
          <w:p w:rsidR="000C4C56" w:rsidRPr="00FA22F5" w:rsidRDefault="000C4C56" w:rsidP="00A9015C">
            <w:pPr>
              <w:spacing w:line="480" w:lineRule="auto"/>
            </w:pPr>
            <w:r w:rsidRPr="00FA22F5">
              <w:t>Classification of dolphins as either being injured (1) or not (0) as a result of human interactions</w:t>
            </w:r>
          </w:p>
        </w:tc>
      </w:tr>
      <w:tr w:rsidR="000C4C56" w:rsidRPr="00FA22F5" w:rsidTr="00A9015C">
        <w:tc>
          <w:tcPr>
            <w:tcW w:w="1951" w:type="dxa"/>
          </w:tcPr>
          <w:p w:rsidR="000C4C56" w:rsidRPr="00FA22F5" w:rsidRDefault="000C4C56" w:rsidP="00A9015C">
            <w:pPr>
              <w:spacing w:line="480" w:lineRule="auto"/>
            </w:pPr>
            <w:r w:rsidRPr="00FA22F5">
              <w:t>BirthYear</w:t>
            </w:r>
          </w:p>
        </w:tc>
        <w:tc>
          <w:tcPr>
            <w:tcW w:w="7291" w:type="dxa"/>
          </w:tcPr>
          <w:p w:rsidR="000C4C56" w:rsidRPr="00FA22F5" w:rsidRDefault="000C4C56" w:rsidP="000C4C56">
            <w:pPr>
              <w:spacing w:line="480" w:lineRule="auto"/>
            </w:pPr>
            <w:r w:rsidRPr="00FA22F5">
              <w:t>The year of birth for the dolphin</w:t>
            </w:r>
          </w:p>
        </w:tc>
      </w:tr>
      <w:tr w:rsidR="000C4C56" w:rsidRPr="00FA22F5" w:rsidTr="00A9015C">
        <w:tc>
          <w:tcPr>
            <w:tcW w:w="1951" w:type="dxa"/>
          </w:tcPr>
          <w:p w:rsidR="000C4C56" w:rsidRPr="00FA22F5" w:rsidRDefault="000C4C56" w:rsidP="00A9015C">
            <w:pPr>
              <w:spacing w:line="480" w:lineRule="auto"/>
            </w:pPr>
            <w:r w:rsidRPr="00FA22F5">
              <w:t>HI_Indiv</w:t>
            </w:r>
          </w:p>
        </w:tc>
        <w:tc>
          <w:tcPr>
            <w:tcW w:w="7291" w:type="dxa"/>
          </w:tcPr>
          <w:p w:rsidR="000C4C56" w:rsidRPr="00FA22F5" w:rsidRDefault="000C4C56" w:rsidP="00A9015C">
            <w:pPr>
              <w:spacing w:line="480" w:lineRule="auto"/>
            </w:pPr>
            <w:r w:rsidRPr="00FA22F5">
              <w:t>Classification of dolphins as either conditioned (1) or unconditioned (0) to food provisioning</w:t>
            </w:r>
          </w:p>
        </w:tc>
      </w:tr>
      <w:tr w:rsidR="000C4C56" w:rsidRPr="00FA22F5" w:rsidTr="00A9015C">
        <w:tc>
          <w:tcPr>
            <w:tcW w:w="1951" w:type="dxa"/>
          </w:tcPr>
          <w:p w:rsidR="000C4C56" w:rsidRPr="00FA22F5" w:rsidRDefault="000C4C56" w:rsidP="00A9015C">
            <w:pPr>
              <w:spacing w:line="480" w:lineRule="auto"/>
            </w:pPr>
            <w:r w:rsidRPr="00FA22F5">
              <w:t>Age</w:t>
            </w:r>
          </w:p>
        </w:tc>
        <w:tc>
          <w:tcPr>
            <w:tcW w:w="7291" w:type="dxa"/>
          </w:tcPr>
          <w:p w:rsidR="000C4C56" w:rsidRPr="00FA22F5" w:rsidRDefault="000C4C56" w:rsidP="00A9015C">
            <w:pPr>
              <w:spacing w:line="480" w:lineRule="auto"/>
            </w:pPr>
            <w:r w:rsidRPr="00FA22F5">
              <w:t>The age of the dolphin (in 2014)</w:t>
            </w:r>
          </w:p>
        </w:tc>
      </w:tr>
    </w:tbl>
    <w:p w:rsidR="000C4C56" w:rsidRPr="00FA22F5" w:rsidRDefault="000C4C56">
      <w:pPr>
        <w:spacing w:after="200" w:line="276" w:lineRule="auto"/>
        <w:rPr>
          <w:b/>
        </w:rPr>
      </w:pPr>
      <w:r w:rsidRPr="00FA22F5">
        <w:rPr>
          <w:b/>
        </w:rPr>
        <w:br w:type="page"/>
      </w:r>
    </w:p>
    <w:p w:rsidR="000C4C56" w:rsidRPr="00FA22F5" w:rsidRDefault="000C4C56" w:rsidP="000C4C56">
      <w:pPr>
        <w:spacing w:line="480" w:lineRule="auto"/>
      </w:pPr>
      <w:r w:rsidRPr="00FA22F5">
        <w:rPr>
          <w:b/>
        </w:rPr>
        <w:lastRenderedPageBreak/>
        <w:t>Table S5.</w:t>
      </w:r>
      <w:r w:rsidRPr="00FA22F5">
        <w:t xml:space="preserve"> Description of variables in the “Data.year.analyses.txt” data set</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2110"/>
        <w:gridCol w:w="7132"/>
      </w:tblGrid>
      <w:tr w:rsidR="000C4C56" w:rsidRPr="00FA22F5" w:rsidTr="00A9015C">
        <w:tc>
          <w:tcPr>
            <w:tcW w:w="1951" w:type="dxa"/>
            <w:tcBorders>
              <w:top w:val="single" w:sz="4" w:space="0" w:color="auto"/>
              <w:bottom w:val="single" w:sz="4" w:space="0" w:color="auto"/>
            </w:tcBorders>
          </w:tcPr>
          <w:p w:rsidR="000C4C56" w:rsidRPr="00FA22F5" w:rsidRDefault="000C4C56" w:rsidP="00A9015C">
            <w:pPr>
              <w:spacing w:line="480" w:lineRule="auto"/>
            </w:pPr>
            <w:r w:rsidRPr="00FA22F5">
              <w:t>Variable</w:t>
            </w:r>
          </w:p>
        </w:tc>
        <w:tc>
          <w:tcPr>
            <w:tcW w:w="7291" w:type="dxa"/>
            <w:tcBorders>
              <w:top w:val="single" w:sz="4" w:space="0" w:color="auto"/>
              <w:bottom w:val="single" w:sz="4" w:space="0" w:color="auto"/>
            </w:tcBorders>
          </w:tcPr>
          <w:p w:rsidR="000C4C56" w:rsidRPr="00FA22F5" w:rsidRDefault="000C4C56" w:rsidP="00A9015C">
            <w:pPr>
              <w:spacing w:line="480" w:lineRule="auto"/>
            </w:pPr>
            <w:r w:rsidRPr="00FA22F5">
              <w:t>Description</w:t>
            </w:r>
          </w:p>
        </w:tc>
      </w:tr>
      <w:tr w:rsidR="000C4C56" w:rsidRPr="00FA22F5" w:rsidTr="00A9015C">
        <w:tc>
          <w:tcPr>
            <w:tcW w:w="1951" w:type="dxa"/>
            <w:tcBorders>
              <w:top w:val="single" w:sz="4" w:space="0" w:color="auto"/>
            </w:tcBorders>
          </w:tcPr>
          <w:p w:rsidR="000C4C56" w:rsidRPr="00FA22F5" w:rsidRDefault="00B255B4" w:rsidP="00A9015C">
            <w:pPr>
              <w:spacing w:line="480" w:lineRule="auto"/>
            </w:pPr>
            <w:r w:rsidRPr="00FA22F5">
              <w:t>Year</w:t>
            </w:r>
          </w:p>
        </w:tc>
        <w:tc>
          <w:tcPr>
            <w:tcW w:w="7291" w:type="dxa"/>
            <w:tcBorders>
              <w:top w:val="single" w:sz="4" w:space="0" w:color="auto"/>
            </w:tcBorders>
          </w:tcPr>
          <w:p w:rsidR="000C4C56" w:rsidRPr="00FA22F5" w:rsidRDefault="00B255B4" w:rsidP="00A9015C">
            <w:pPr>
              <w:spacing w:line="480" w:lineRule="auto"/>
            </w:pPr>
            <w:r w:rsidRPr="00FA22F5">
              <w:t>The year</w:t>
            </w:r>
          </w:p>
        </w:tc>
      </w:tr>
      <w:tr w:rsidR="000C4C56" w:rsidRPr="00FA22F5" w:rsidTr="00A9015C">
        <w:tc>
          <w:tcPr>
            <w:tcW w:w="1951" w:type="dxa"/>
          </w:tcPr>
          <w:p w:rsidR="000C4C56" w:rsidRPr="00FA22F5" w:rsidRDefault="00B255B4" w:rsidP="00A9015C">
            <w:pPr>
              <w:spacing w:line="480" w:lineRule="auto"/>
            </w:pPr>
            <w:r w:rsidRPr="00FA22F5">
              <w:t>No.HI</w:t>
            </w:r>
          </w:p>
        </w:tc>
        <w:tc>
          <w:tcPr>
            <w:tcW w:w="7291" w:type="dxa"/>
          </w:tcPr>
          <w:p w:rsidR="000C4C56" w:rsidRPr="00FA22F5" w:rsidRDefault="00B255B4" w:rsidP="00A9015C">
            <w:pPr>
              <w:spacing w:line="480" w:lineRule="auto"/>
            </w:pPr>
            <w:r w:rsidRPr="00FA22F5">
              <w:t>The number of conditioned dolphins in a given year</w:t>
            </w:r>
          </w:p>
        </w:tc>
      </w:tr>
      <w:tr w:rsidR="000C4C56" w:rsidRPr="00FA22F5" w:rsidTr="00A9015C">
        <w:tc>
          <w:tcPr>
            <w:tcW w:w="1951" w:type="dxa"/>
          </w:tcPr>
          <w:p w:rsidR="000C4C56" w:rsidRPr="00FA22F5" w:rsidRDefault="00B255B4" w:rsidP="00A9015C">
            <w:pPr>
              <w:spacing w:line="480" w:lineRule="auto"/>
            </w:pPr>
            <w:r w:rsidRPr="00FA22F5">
              <w:t>Mean.COA</w:t>
            </w:r>
          </w:p>
        </w:tc>
        <w:tc>
          <w:tcPr>
            <w:tcW w:w="7291" w:type="dxa"/>
          </w:tcPr>
          <w:p w:rsidR="000C4C56" w:rsidRPr="00FA22F5" w:rsidRDefault="00B255B4" w:rsidP="00A9015C">
            <w:pPr>
              <w:spacing w:line="480" w:lineRule="auto"/>
            </w:pPr>
            <w:r w:rsidRPr="00FA22F5">
              <w:t>The mean COA with conditioned dolphins for all unconditioned dolphins in a given year</w:t>
            </w:r>
          </w:p>
        </w:tc>
      </w:tr>
      <w:tr w:rsidR="000C4C56" w:rsidRPr="00FA22F5" w:rsidTr="00A9015C">
        <w:tc>
          <w:tcPr>
            <w:tcW w:w="1951" w:type="dxa"/>
          </w:tcPr>
          <w:p w:rsidR="000C4C56" w:rsidRPr="00FA22F5" w:rsidRDefault="00B255B4" w:rsidP="00A9015C">
            <w:pPr>
              <w:spacing w:line="480" w:lineRule="auto"/>
            </w:pPr>
            <w:r w:rsidRPr="00FA22F5">
              <w:t>Median.COA</w:t>
            </w:r>
          </w:p>
        </w:tc>
        <w:tc>
          <w:tcPr>
            <w:tcW w:w="7291" w:type="dxa"/>
          </w:tcPr>
          <w:p w:rsidR="000C4C56" w:rsidRPr="00FA22F5" w:rsidRDefault="00B255B4" w:rsidP="00A9015C">
            <w:pPr>
              <w:spacing w:line="480" w:lineRule="auto"/>
            </w:pPr>
            <w:r w:rsidRPr="00FA22F5">
              <w:t>The median COA with conditioned dolphins for all unconditioned dolphins in a given year</w:t>
            </w:r>
          </w:p>
        </w:tc>
      </w:tr>
      <w:tr w:rsidR="00B255B4" w:rsidRPr="00FA22F5" w:rsidTr="00A9015C">
        <w:tc>
          <w:tcPr>
            <w:tcW w:w="1951" w:type="dxa"/>
          </w:tcPr>
          <w:p w:rsidR="00B255B4" w:rsidRPr="00FA22F5" w:rsidRDefault="00B255B4" w:rsidP="00A9015C">
            <w:pPr>
              <w:spacing w:line="480" w:lineRule="auto"/>
            </w:pPr>
            <w:r w:rsidRPr="00FA22F5">
              <w:t>CPUE.dolphin.prey</w:t>
            </w:r>
          </w:p>
        </w:tc>
        <w:tc>
          <w:tcPr>
            <w:tcW w:w="7291" w:type="dxa"/>
          </w:tcPr>
          <w:p w:rsidR="00B255B4" w:rsidRPr="00FA22F5" w:rsidRDefault="00B255B4" w:rsidP="00A9015C">
            <w:pPr>
              <w:spacing w:line="480" w:lineRule="auto"/>
            </w:pPr>
            <w:r w:rsidRPr="00FA22F5">
              <w:t>Catch per unit effort of dolphin prey in a given year</w:t>
            </w:r>
          </w:p>
        </w:tc>
      </w:tr>
      <w:tr w:rsidR="00B255B4" w:rsidRPr="00FA22F5" w:rsidTr="00A9015C">
        <w:tc>
          <w:tcPr>
            <w:tcW w:w="1951" w:type="dxa"/>
          </w:tcPr>
          <w:p w:rsidR="00B255B4" w:rsidRPr="00FA22F5" w:rsidRDefault="00B255B4" w:rsidP="00A9015C">
            <w:pPr>
              <w:spacing w:line="480" w:lineRule="auto"/>
            </w:pPr>
            <w:r w:rsidRPr="00FA22F5">
              <w:t>Red.tide.weeks</w:t>
            </w:r>
          </w:p>
        </w:tc>
        <w:tc>
          <w:tcPr>
            <w:tcW w:w="7291" w:type="dxa"/>
          </w:tcPr>
          <w:p w:rsidR="00B255B4" w:rsidRPr="00FA22F5" w:rsidRDefault="00B255B4" w:rsidP="00B255B4">
            <w:pPr>
              <w:spacing w:line="480" w:lineRule="auto"/>
            </w:pPr>
            <w:r w:rsidRPr="00FA22F5">
              <w:t>number of weeks per year with Karenia brevis concentrations above fish kill levels (&gt;100,000 cells per litre)</w:t>
            </w:r>
          </w:p>
        </w:tc>
      </w:tr>
      <w:tr w:rsidR="00B255B4" w:rsidRPr="00FA22F5" w:rsidTr="00A9015C">
        <w:tc>
          <w:tcPr>
            <w:tcW w:w="1951" w:type="dxa"/>
          </w:tcPr>
          <w:p w:rsidR="00B255B4" w:rsidRPr="00FA22F5" w:rsidRDefault="00B255B4" w:rsidP="00A9015C">
            <w:pPr>
              <w:spacing w:line="480" w:lineRule="auto"/>
            </w:pPr>
            <w:r w:rsidRPr="00FA22F5">
              <w:t>Total.Total</w:t>
            </w:r>
          </w:p>
        </w:tc>
        <w:tc>
          <w:tcPr>
            <w:tcW w:w="7291" w:type="dxa"/>
          </w:tcPr>
          <w:p w:rsidR="00B255B4" w:rsidRPr="00FA22F5" w:rsidRDefault="00B255B4" w:rsidP="00A9015C">
            <w:pPr>
              <w:spacing w:line="480" w:lineRule="auto"/>
            </w:pPr>
            <w:r w:rsidRPr="00FA22F5">
              <w:t>The number of registered boats in Manatee County and Sarasota County in a given year</w:t>
            </w:r>
          </w:p>
        </w:tc>
      </w:tr>
    </w:tbl>
    <w:p w:rsidR="00A66223" w:rsidRPr="00FA22F5" w:rsidRDefault="00A66223" w:rsidP="00B255B4">
      <w:pPr>
        <w:spacing w:line="480" w:lineRule="auto"/>
      </w:pPr>
    </w:p>
    <w:sectPr w:rsidR="00A66223" w:rsidRPr="00FA22F5" w:rsidSect="00900153">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8E" w:rsidRDefault="00382C8E" w:rsidP="002E500D">
      <w:r>
        <w:separator/>
      </w:r>
    </w:p>
  </w:endnote>
  <w:endnote w:type="continuationSeparator" w:id="0">
    <w:p w:rsidR="00382C8E" w:rsidRDefault="00382C8E" w:rsidP="002E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516752"/>
      <w:docPartObj>
        <w:docPartGallery w:val="Page Numbers (Bottom of Page)"/>
        <w:docPartUnique/>
      </w:docPartObj>
    </w:sdtPr>
    <w:sdtEndPr/>
    <w:sdtContent>
      <w:p w:rsidR="002E500D" w:rsidRDefault="002E500D">
        <w:pPr>
          <w:pStyle w:val="Sidfot"/>
          <w:jc w:val="center"/>
        </w:pPr>
        <w:r>
          <w:fldChar w:fldCharType="begin"/>
        </w:r>
        <w:r>
          <w:instrText>PAGE   \* MERGEFORMAT</w:instrText>
        </w:r>
        <w:r>
          <w:fldChar w:fldCharType="separate"/>
        </w:r>
        <w:r w:rsidR="00FA22F5" w:rsidRPr="00FA22F5">
          <w:rPr>
            <w:noProof/>
            <w:lang w:val="sv-SE"/>
          </w:rPr>
          <w:t>1</w:t>
        </w:r>
        <w:r>
          <w:fldChar w:fldCharType="end"/>
        </w:r>
      </w:p>
    </w:sdtContent>
  </w:sdt>
  <w:p w:rsidR="002E500D" w:rsidRDefault="002E500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8E" w:rsidRDefault="00382C8E" w:rsidP="002E500D">
      <w:r>
        <w:separator/>
      </w:r>
    </w:p>
  </w:footnote>
  <w:footnote w:type="continuationSeparator" w:id="0">
    <w:p w:rsidR="00382C8E" w:rsidRDefault="00382C8E" w:rsidP="002E5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F5"/>
    <w:rsid w:val="000000B6"/>
    <w:rsid w:val="00000122"/>
    <w:rsid w:val="00000B71"/>
    <w:rsid w:val="00001D24"/>
    <w:rsid w:val="00001F16"/>
    <w:rsid w:val="00002978"/>
    <w:rsid w:val="00003135"/>
    <w:rsid w:val="00003907"/>
    <w:rsid w:val="0000417B"/>
    <w:rsid w:val="00004940"/>
    <w:rsid w:val="00005ABC"/>
    <w:rsid w:val="00005D2F"/>
    <w:rsid w:val="00005E0C"/>
    <w:rsid w:val="00006E81"/>
    <w:rsid w:val="00006F8F"/>
    <w:rsid w:val="00007545"/>
    <w:rsid w:val="0000797A"/>
    <w:rsid w:val="00007AD3"/>
    <w:rsid w:val="00007F15"/>
    <w:rsid w:val="000117A3"/>
    <w:rsid w:val="0001251A"/>
    <w:rsid w:val="000127DB"/>
    <w:rsid w:val="00013D51"/>
    <w:rsid w:val="00014030"/>
    <w:rsid w:val="00014742"/>
    <w:rsid w:val="0001520B"/>
    <w:rsid w:val="00015765"/>
    <w:rsid w:val="00015C08"/>
    <w:rsid w:val="00015EB7"/>
    <w:rsid w:val="00016313"/>
    <w:rsid w:val="000166E3"/>
    <w:rsid w:val="00016CE1"/>
    <w:rsid w:val="000170E9"/>
    <w:rsid w:val="00020198"/>
    <w:rsid w:val="00020BA6"/>
    <w:rsid w:val="00020C80"/>
    <w:rsid w:val="00024304"/>
    <w:rsid w:val="00025AA0"/>
    <w:rsid w:val="00025B4A"/>
    <w:rsid w:val="00026257"/>
    <w:rsid w:val="00026286"/>
    <w:rsid w:val="0002664C"/>
    <w:rsid w:val="0002667B"/>
    <w:rsid w:val="00026E0D"/>
    <w:rsid w:val="0002743C"/>
    <w:rsid w:val="0002756B"/>
    <w:rsid w:val="00027B80"/>
    <w:rsid w:val="00030405"/>
    <w:rsid w:val="000307FC"/>
    <w:rsid w:val="00030A6E"/>
    <w:rsid w:val="00030D35"/>
    <w:rsid w:val="000311CC"/>
    <w:rsid w:val="00031261"/>
    <w:rsid w:val="00031E16"/>
    <w:rsid w:val="00031FD1"/>
    <w:rsid w:val="0003328D"/>
    <w:rsid w:val="00033426"/>
    <w:rsid w:val="000334B3"/>
    <w:rsid w:val="000345BE"/>
    <w:rsid w:val="00034736"/>
    <w:rsid w:val="0003569A"/>
    <w:rsid w:val="00035C93"/>
    <w:rsid w:val="00035E08"/>
    <w:rsid w:val="000362F8"/>
    <w:rsid w:val="000365A0"/>
    <w:rsid w:val="0003689A"/>
    <w:rsid w:val="000369A6"/>
    <w:rsid w:val="00036F59"/>
    <w:rsid w:val="00040248"/>
    <w:rsid w:val="00040583"/>
    <w:rsid w:val="00040A46"/>
    <w:rsid w:val="00040BDE"/>
    <w:rsid w:val="000411A7"/>
    <w:rsid w:val="0004185F"/>
    <w:rsid w:val="00041B5F"/>
    <w:rsid w:val="00043602"/>
    <w:rsid w:val="00043B46"/>
    <w:rsid w:val="00043BA1"/>
    <w:rsid w:val="000449F5"/>
    <w:rsid w:val="000460C6"/>
    <w:rsid w:val="000464AB"/>
    <w:rsid w:val="00046658"/>
    <w:rsid w:val="000467C9"/>
    <w:rsid w:val="00046947"/>
    <w:rsid w:val="00046B17"/>
    <w:rsid w:val="00047826"/>
    <w:rsid w:val="000508EC"/>
    <w:rsid w:val="00050F81"/>
    <w:rsid w:val="00050FF6"/>
    <w:rsid w:val="00051A71"/>
    <w:rsid w:val="00053538"/>
    <w:rsid w:val="0005374C"/>
    <w:rsid w:val="00055013"/>
    <w:rsid w:val="00055D9B"/>
    <w:rsid w:val="0005605F"/>
    <w:rsid w:val="000560F9"/>
    <w:rsid w:val="000563FA"/>
    <w:rsid w:val="00056A01"/>
    <w:rsid w:val="00056CF2"/>
    <w:rsid w:val="00057849"/>
    <w:rsid w:val="00057B37"/>
    <w:rsid w:val="00057CAC"/>
    <w:rsid w:val="00060219"/>
    <w:rsid w:val="00060CD7"/>
    <w:rsid w:val="000616E4"/>
    <w:rsid w:val="000620C4"/>
    <w:rsid w:val="00062A6B"/>
    <w:rsid w:val="00062AA7"/>
    <w:rsid w:val="00063105"/>
    <w:rsid w:val="0006336C"/>
    <w:rsid w:val="00064931"/>
    <w:rsid w:val="00065221"/>
    <w:rsid w:val="000652AC"/>
    <w:rsid w:val="000658CA"/>
    <w:rsid w:val="00065956"/>
    <w:rsid w:val="0006597C"/>
    <w:rsid w:val="00066406"/>
    <w:rsid w:val="0006773E"/>
    <w:rsid w:val="00067BB2"/>
    <w:rsid w:val="0007184F"/>
    <w:rsid w:val="00071990"/>
    <w:rsid w:val="0007216E"/>
    <w:rsid w:val="000728EE"/>
    <w:rsid w:val="00072E72"/>
    <w:rsid w:val="000733CE"/>
    <w:rsid w:val="000742F5"/>
    <w:rsid w:val="000752D6"/>
    <w:rsid w:val="0007578F"/>
    <w:rsid w:val="00076B19"/>
    <w:rsid w:val="00076F65"/>
    <w:rsid w:val="0007707D"/>
    <w:rsid w:val="000771BE"/>
    <w:rsid w:val="00077A85"/>
    <w:rsid w:val="00077D5F"/>
    <w:rsid w:val="000804AF"/>
    <w:rsid w:val="00080E07"/>
    <w:rsid w:val="000811CC"/>
    <w:rsid w:val="00081A6A"/>
    <w:rsid w:val="00081E7C"/>
    <w:rsid w:val="00081FBC"/>
    <w:rsid w:val="00082031"/>
    <w:rsid w:val="00082F85"/>
    <w:rsid w:val="000834E3"/>
    <w:rsid w:val="000838D0"/>
    <w:rsid w:val="00083BCE"/>
    <w:rsid w:val="00083BF2"/>
    <w:rsid w:val="00083C7A"/>
    <w:rsid w:val="0008449D"/>
    <w:rsid w:val="00084600"/>
    <w:rsid w:val="00085004"/>
    <w:rsid w:val="0008566E"/>
    <w:rsid w:val="00085816"/>
    <w:rsid w:val="000866AE"/>
    <w:rsid w:val="00086846"/>
    <w:rsid w:val="00086B34"/>
    <w:rsid w:val="00086EE0"/>
    <w:rsid w:val="0008734D"/>
    <w:rsid w:val="00087767"/>
    <w:rsid w:val="000879C0"/>
    <w:rsid w:val="00087D57"/>
    <w:rsid w:val="00087EFF"/>
    <w:rsid w:val="000903B6"/>
    <w:rsid w:val="00090430"/>
    <w:rsid w:val="00091422"/>
    <w:rsid w:val="000927F5"/>
    <w:rsid w:val="00092B72"/>
    <w:rsid w:val="00092D67"/>
    <w:rsid w:val="00093442"/>
    <w:rsid w:val="00093BB8"/>
    <w:rsid w:val="00093D86"/>
    <w:rsid w:val="0009432A"/>
    <w:rsid w:val="00095AEB"/>
    <w:rsid w:val="00095D23"/>
    <w:rsid w:val="00095D92"/>
    <w:rsid w:val="00096058"/>
    <w:rsid w:val="00096B67"/>
    <w:rsid w:val="00096D66"/>
    <w:rsid w:val="00096F53"/>
    <w:rsid w:val="00096FC6"/>
    <w:rsid w:val="00097416"/>
    <w:rsid w:val="000976DF"/>
    <w:rsid w:val="000977BC"/>
    <w:rsid w:val="00097942"/>
    <w:rsid w:val="00097FFA"/>
    <w:rsid w:val="000A0B90"/>
    <w:rsid w:val="000A1194"/>
    <w:rsid w:val="000A1394"/>
    <w:rsid w:val="000A166C"/>
    <w:rsid w:val="000A2269"/>
    <w:rsid w:val="000A39DA"/>
    <w:rsid w:val="000A3A02"/>
    <w:rsid w:val="000A4707"/>
    <w:rsid w:val="000A47F6"/>
    <w:rsid w:val="000A491B"/>
    <w:rsid w:val="000A4CD1"/>
    <w:rsid w:val="000A501E"/>
    <w:rsid w:val="000A5226"/>
    <w:rsid w:val="000A53E1"/>
    <w:rsid w:val="000A6B0F"/>
    <w:rsid w:val="000A6B7A"/>
    <w:rsid w:val="000B02B7"/>
    <w:rsid w:val="000B1395"/>
    <w:rsid w:val="000B1722"/>
    <w:rsid w:val="000B24DC"/>
    <w:rsid w:val="000B2BA7"/>
    <w:rsid w:val="000B2D40"/>
    <w:rsid w:val="000B2F53"/>
    <w:rsid w:val="000B38D2"/>
    <w:rsid w:val="000B4CC2"/>
    <w:rsid w:val="000B55F9"/>
    <w:rsid w:val="000B5AB6"/>
    <w:rsid w:val="000B5B6B"/>
    <w:rsid w:val="000B7FF8"/>
    <w:rsid w:val="000C006E"/>
    <w:rsid w:val="000C03E0"/>
    <w:rsid w:val="000C07F1"/>
    <w:rsid w:val="000C0FB7"/>
    <w:rsid w:val="000C2295"/>
    <w:rsid w:val="000C22DC"/>
    <w:rsid w:val="000C2613"/>
    <w:rsid w:val="000C372D"/>
    <w:rsid w:val="000C4128"/>
    <w:rsid w:val="000C494F"/>
    <w:rsid w:val="000C4C56"/>
    <w:rsid w:val="000C5D7B"/>
    <w:rsid w:val="000C62D4"/>
    <w:rsid w:val="000D02D0"/>
    <w:rsid w:val="000D0361"/>
    <w:rsid w:val="000D0428"/>
    <w:rsid w:val="000D062A"/>
    <w:rsid w:val="000D2317"/>
    <w:rsid w:val="000D28A9"/>
    <w:rsid w:val="000D3250"/>
    <w:rsid w:val="000D3EE7"/>
    <w:rsid w:val="000D49F6"/>
    <w:rsid w:val="000D5231"/>
    <w:rsid w:val="000D572E"/>
    <w:rsid w:val="000D6793"/>
    <w:rsid w:val="000D6E3A"/>
    <w:rsid w:val="000D78BB"/>
    <w:rsid w:val="000D7AFE"/>
    <w:rsid w:val="000D7DBE"/>
    <w:rsid w:val="000E0174"/>
    <w:rsid w:val="000E0D1E"/>
    <w:rsid w:val="000E0E56"/>
    <w:rsid w:val="000E1A15"/>
    <w:rsid w:val="000E2299"/>
    <w:rsid w:val="000E248C"/>
    <w:rsid w:val="000E2739"/>
    <w:rsid w:val="000E297E"/>
    <w:rsid w:val="000E3F14"/>
    <w:rsid w:val="000E456D"/>
    <w:rsid w:val="000E4756"/>
    <w:rsid w:val="000E58BD"/>
    <w:rsid w:val="000E5FAA"/>
    <w:rsid w:val="000E6118"/>
    <w:rsid w:val="000E7A06"/>
    <w:rsid w:val="000F0809"/>
    <w:rsid w:val="000F0A35"/>
    <w:rsid w:val="000F1398"/>
    <w:rsid w:val="000F1F63"/>
    <w:rsid w:val="000F2ACE"/>
    <w:rsid w:val="000F3B23"/>
    <w:rsid w:val="000F4C2A"/>
    <w:rsid w:val="000F5705"/>
    <w:rsid w:val="000F5888"/>
    <w:rsid w:val="000F5C03"/>
    <w:rsid w:val="000F60D4"/>
    <w:rsid w:val="000F7D6D"/>
    <w:rsid w:val="00100406"/>
    <w:rsid w:val="0010145E"/>
    <w:rsid w:val="0010177F"/>
    <w:rsid w:val="00102584"/>
    <w:rsid w:val="00102E38"/>
    <w:rsid w:val="00102E6C"/>
    <w:rsid w:val="001037AE"/>
    <w:rsid w:val="00103901"/>
    <w:rsid w:val="00103A85"/>
    <w:rsid w:val="001045C8"/>
    <w:rsid w:val="00104B69"/>
    <w:rsid w:val="00104C28"/>
    <w:rsid w:val="00104F5E"/>
    <w:rsid w:val="001062B1"/>
    <w:rsid w:val="00106BB8"/>
    <w:rsid w:val="00107852"/>
    <w:rsid w:val="00107EA1"/>
    <w:rsid w:val="0011011D"/>
    <w:rsid w:val="00110148"/>
    <w:rsid w:val="00110C37"/>
    <w:rsid w:val="00112797"/>
    <w:rsid w:val="00112A6F"/>
    <w:rsid w:val="001132EC"/>
    <w:rsid w:val="001134EB"/>
    <w:rsid w:val="00113B4B"/>
    <w:rsid w:val="00113C63"/>
    <w:rsid w:val="00113F42"/>
    <w:rsid w:val="00114DC2"/>
    <w:rsid w:val="00115BC0"/>
    <w:rsid w:val="00116331"/>
    <w:rsid w:val="001167E3"/>
    <w:rsid w:val="0011697E"/>
    <w:rsid w:val="001169C0"/>
    <w:rsid w:val="001175F3"/>
    <w:rsid w:val="00117736"/>
    <w:rsid w:val="001206C7"/>
    <w:rsid w:val="001207EA"/>
    <w:rsid w:val="00120FC3"/>
    <w:rsid w:val="00121992"/>
    <w:rsid w:val="00121C5B"/>
    <w:rsid w:val="00121C60"/>
    <w:rsid w:val="00122195"/>
    <w:rsid w:val="00122662"/>
    <w:rsid w:val="00122822"/>
    <w:rsid w:val="00122F72"/>
    <w:rsid w:val="001232AF"/>
    <w:rsid w:val="00123A0E"/>
    <w:rsid w:val="00123E17"/>
    <w:rsid w:val="001241E7"/>
    <w:rsid w:val="00124730"/>
    <w:rsid w:val="00124EF3"/>
    <w:rsid w:val="001250A5"/>
    <w:rsid w:val="00125C98"/>
    <w:rsid w:val="00125E8D"/>
    <w:rsid w:val="00126AB9"/>
    <w:rsid w:val="00126F5A"/>
    <w:rsid w:val="00127799"/>
    <w:rsid w:val="00127A31"/>
    <w:rsid w:val="00130052"/>
    <w:rsid w:val="00130447"/>
    <w:rsid w:val="00130B5B"/>
    <w:rsid w:val="00130BCC"/>
    <w:rsid w:val="00131194"/>
    <w:rsid w:val="00131440"/>
    <w:rsid w:val="00131916"/>
    <w:rsid w:val="001321CA"/>
    <w:rsid w:val="00132B16"/>
    <w:rsid w:val="00132C6B"/>
    <w:rsid w:val="00132D7D"/>
    <w:rsid w:val="00133089"/>
    <w:rsid w:val="00133A2A"/>
    <w:rsid w:val="00133A58"/>
    <w:rsid w:val="0013487F"/>
    <w:rsid w:val="00134D53"/>
    <w:rsid w:val="00134F22"/>
    <w:rsid w:val="00135060"/>
    <w:rsid w:val="00135110"/>
    <w:rsid w:val="00135D78"/>
    <w:rsid w:val="00137444"/>
    <w:rsid w:val="00140680"/>
    <w:rsid w:val="0014100F"/>
    <w:rsid w:val="00141B4E"/>
    <w:rsid w:val="00141E62"/>
    <w:rsid w:val="001430FE"/>
    <w:rsid w:val="001433B0"/>
    <w:rsid w:val="00143A4F"/>
    <w:rsid w:val="00145FBE"/>
    <w:rsid w:val="001464D1"/>
    <w:rsid w:val="00147AD6"/>
    <w:rsid w:val="0015004E"/>
    <w:rsid w:val="00150E54"/>
    <w:rsid w:val="001510B0"/>
    <w:rsid w:val="001520DB"/>
    <w:rsid w:val="001530EB"/>
    <w:rsid w:val="001542A7"/>
    <w:rsid w:val="00154FA7"/>
    <w:rsid w:val="00155300"/>
    <w:rsid w:val="00155861"/>
    <w:rsid w:val="00155CB8"/>
    <w:rsid w:val="00155EA4"/>
    <w:rsid w:val="00157157"/>
    <w:rsid w:val="001575DD"/>
    <w:rsid w:val="00157C5B"/>
    <w:rsid w:val="001603AA"/>
    <w:rsid w:val="0016197A"/>
    <w:rsid w:val="00161DA2"/>
    <w:rsid w:val="0016208D"/>
    <w:rsid w:val="00162B56"/>
    <w:rsid w:val="0016320D"/>
    <w:rsid w:val="00163A33"/>
    <w:rsid w:val="00163A66"/>
    <w:rsid w:val="00163DD4"/>
    <w:rsid w:val="00165C60"/>
    <w:rsid w:val="001667A7"/>
    <w:rsid w:val="00166B06"/>
    <w:rsid w:val="00166C89"/>
    <w:rsid w:val="001676C1"/>
    <w:rsid w:val="0017047B"/>
    <w:rsid w:val="00170AD9"/>
    <w:rsid w:val="00171827"/>
    <w:rsid w:val="001719B8"/>
    <w:rsid w:val="00171BCA"/>
    <w:rsid w:val="001721A6"/>
    <w:rsid w:val="001722A2"/>
    <w:rsid w:val="001725CD"/>
    <w:rsid w:val="0017395D"/>
    <w:rsid w:val="001739C2"/>
    <w:rsid w:val="00173BB6"/>
    <w:rsid w:val="00174119"/>
    <w:rsid w:val="00174522"/>
    <w:rsid w:val="001753F1"/>
    <w:rsid w:val="00175EF0"/>
    <w:rsid w:val="00176785"/>
    <w:rsid w:val="00176B3A"/>
    <w:rsid w:val="00176CAE"/>
    <w:rsid w:val="001770A8"/>
    <w:rsid w:val="001772A2"/>
    <w:rsid w:val="00177D7C"/>
    <w:rsid w:val="00180901"/>
    <w:rsid w:val="00180915"/>
    <w:rsid w:val="00180D60"/>
    <w:rsid w:val="0018223C"/>
    <w:rsid w:val="00182ACF"/>
    <w:rsid w:val="0018306F"/>
    <w:rsid w:val="0018330D"/>
    <w:rsid w:val="00183381"/>
    <w:rsid w:val="0018340E"/>
    <w:rsid w:val="00183651"/>
    <w:rsid w:val="001838FA"/>
    <w:rsid w:val="001838FD"/>
    <w:rsid w:val="00183E94"/>
    <w:rsid w:val="00184E0D"/>
    <w:rsid w:val="00186457"/>
    <w:rsid w:val="001868F5"/>
    <w:rsid w:val="00186B8F"/>
    <w:rsid w:val="00186E6F"/>
    <w:rsid w:val="00187968"/>
    <w:rsid w:val="00187BA3"/>
    <w:rsid w:val="001924E1"/>
    <w:rsid w:val="00192895"/>
    <w:rsid w:val="00194018"/>
    <w:rsid w:val="001940E3"/>
    <w:rsid w:val="00194D0C"/>
    <w:rsid w:val="00195BC9"/>
    <w:rsid w:val="00196A13"/>
    <w:rsid w:val="00196A20"/>
    <w:rsid w:val="00197467"/>
    <w:rsid w:val="0019797E"/>
    <w:rsid w:val="00197C78"/>
    <w:rsid w:val="001A0859"/>
    <w:rsid w:val="001A0D9D"/>
    <w:rsid w:val="001A142F"/>
    <w:rsid w:val="001A1A26"/>
    <w:rsid w:val="001A1A5D"/>
    <w:rsid w:val="001A228F"/>
    <w:rsid w:val="001A2E99"/>
    <w:rsid w:val="001A3E5F"/>
    <w:rsid w:val="001A4D83"/>
    <w:rsid w:val="001A527F"/>
    <w:rsid w:val="001A533E"/>
    <w:rsid w:val="001A55B8"/>
    <w:rsid w:val="001A568E"/>
    <w:rsid w:val="001A5CED"/>
    <w:rsid w:val="001A6AD6"/>
    <w:rsid w:val="001A789C"/>
    <w:rsid w:val="001A7BE7"/>
    <w:rsid w:val="001B03F1"/>
    <w:rsid w:val="001B0ECB"/>
    <w:rsid w:val="001B2F44"/>
    <w:rsid w:val="001B2F7D"/>
    <w:rsid w:val="001B35E7"/>
    <w:rsid w:val="001B3BE2"/>
    <w:rsid w:val="001B4181"/>
    <w:rsid w:val="001B4252"/>
    <w:rsid w:val="001B473A"/>
    <w:rsid w:val="001B661B"/>
    <w:rsid w:val="001C0731"/>
    <w:rsid w:val="001C0B6D"/>
    <w:rsid w:val="001C0F7F"/>
    <w:rsid w:val="001C1231"/>
    <w:rsid w:val="001C1797"/>
    <w:rsid w:val="001C1B8C"/>
    <w:rsid w:val="001C244F"/>
    <w:rsid w:val="001C3256"/>
    <w:rsid w:val="001C469D"/>
    <w:rsid w:val="001C49F7"/>
    <w:rsid w:val="001C56BD"/>
    <w:rsid w:val="001C59FE"/>
    <w:rsid w:val="001C701C"/>
    <w:rsid w:val="001D0355"/>
    <w:rsid w:val="001D0932"/>
    <w:rsid w:val="001D0960"/>
    <w:rsid w:val="001D0EDE"/>
    <w:rsid w:val="001D1399"/>
    <w:rsid w:val="001D1A7A"/>
    <w:rsid w:val="001D1DF9"/>
    <w:rsid w:val="001D2446"/>
    <w:rsid w:val="001D2C23"/>
    <w:rsid w:val="001D37B9"/>
    <w:rsid w:val="001D3FA4"/>
    <w:rsid w:val="001D4035"/>
    <w:rsid w:val="001D44D0"/>
    <w:rsid w:val="001D495A"/>
    <w:rsid w:val="001D5267"/>
    <w:rsid w:val="001D5340"/>
    <w:rsid w:val="001D5586"/>
    <w:rsid w:val="001D5A00"/>
    <w:rsid w:val="001D62BB"/>
    <w:rsid w:val="001D6303"/>
    <w:rsid w:val="001D633B"/>
    <w:rsid w:val="001D6468"/>
    <w:rsid w:val="001D6591"/>
    <w:rsid w:val="001D6FFF"/>
    <w:rsid w:val="001D7E9E"/>
    <w:rsid w:val="001E009A"/>
    <w:rsid w:val="001E046F"/>
    <w:rsid w:val="001E0563"/>
    <w:rsid w:val="001E0AD6"/>
    <w:rsid w:val="001E253C"/>
    <w:rsid w:val="001E4497"/>
    <w:rsid w:val="001E471B"/>
    <w:rsid w:val="001E49AB"/>
    <w:rsid w:val="001E64DA"/>
    <w:rsid w:val="001E6D15"/>
    <w:rsid w:val="001F009F"/>
    <w:rsid w:val="001F010A"/>
    <w:rsid w:val="001F0B97"/>
    <w:rsid w:val="001F0C64"/>
    <w:rsid w:val="001F1442"/>
    <w:rsid w:val="001F1E61"/>
    <w:rsid w:val="001F2AA1"/>
    <w:rsid w:val="001F36D3"/>
    <w:rsid w:val="001F38B8"/>
    <w:rsid w:val="001F3D55"/>
    <w:rsid w:val="001F3D6A"/>
    <w:rsid w:val="001F4284"/>
    <w:rsid w:val="001F4BE0"/>
    <w:rsid w:val="001F61A3"/>
    <w:rsid w:val="001F6A34"/>
    <w:rsid w:val="001F6D30"/>
    <w:rsid w:val="001F71FB"/>
    <w:rsid w:val="001F7A8E"/>
    <w:rsid w:val="001F7AC0"/>
    <w:rsid w:val="001F7E6C"/>
    <w:rsid w:val="00200755"/>
    <w:rsid w:val="002011EC"/>
    <w:rsid w:val="0020155E"/>
    <w:rsid w:val="00201E70"/>
    <w:rsid w:val="0020229F"/>
    <w:rsid w:val="0020286C"/>
    <w:rsid w:val="00202B11"/>
    <w:rsid w:val="00203AFC"/>
    <w:rsid w:val="00204F58"/>
    <w:rsid w:val="0020584D"/>
    <w:rsid w:val="002066E8"/>
    <w:rsid w:val="002079D8"/>
    <w:rsid w:val="00207A6B"/>
    <w:rsid w:val="00210912"/>
    <w:rsid w:val="00210C3D"/>
    <w:rsid w:val="00210CAF"/>
    <w:rsid w:val="00211364"/>
    <w:rsid w:val="002119B5"/>
    <w:rsid w:val="002129F4"/>
    <w:rsid w:val="00213901"/>
    <w:rsid w:val="00213A1E"/>
    <w:rsid w:val="002147C5"/>
    <w:rsid w:val="002149D4"/>
    <w:rsid w:val="002149FC"/>
    <w:rsid w:val="00215189"/>
    <w:rsid w:val="00215710"/>
    <w:rsid w:val="00215EC3"/>
    <w:rsid w:val="002169D0"/>
    <w:rsid w:val="0021744C"/>
    <w:rsid w:val="00220ED3"/>
    <w:rsid w:val="0022124C"/>
    <w:rsid w:val="00221421"/>
    <w:rsid w:val="00221CC0"/>
    <w:rsid w:val="00222979"/>
    <w:rsid w:val="00222D4F"/>
    <w:rsid w:val="002236A9"/>
    <w:rsid w:val="00223BF4"/>
    <w:rsid w:val="0022527D"/>
    <w:rsid w:val="002262D9"/>
    <w:rsid w:val="00226831"/>
    <w:rsid w:val="00226B66"/>
    <w:rsid w:val="002272DE"/>
    <w:rsid w:val="00227F7C"/>
    <w:rsid w:val="0023006F"/>
    <w:rsid w:val="002312C2"/>
    <w:rsid w:val="00231857"/>
    <w:rsid w:val="00231BF4"/>
    <w:rsid w:val="00232059"/>
    <w:rsid w:val="00232D33"/>
    <w:rsid w:val="00233732"/>
    <w:rsid w:val="00234245"/>
    <w:rsid w:val="00234A2D"/>
    <w:rsid w:val="00235427"/>
    <w:rsid w:val="002378CA"/>
    <w:rsid w:val="0024052B"/>
    <w:rsid w:val="00240A99"/>
    <w:rsid w:val="00240B01"/>
    <w:rsid w:val="00241BFD"/>
    <w:rsid w:val="00241D8D"/>
    <w:rsid w:val="002424DC"/>
    <w:rsid w:val="002426A0"/>
    <w:rsid w:val="00242B80"/>
    <w:rsid w:val="00242C65"/>
    <w:rsid w:val="00242D5C"/>
    <w:rsid w:val="00243635"/>
    <w:rsid w:val="00244D31"/>
    <w:rsid w:val="00246201"/>
    <w:rsid w:val="00246857"/>
    <w:rsid w:val="00246A18"/>
    <w:rsid w:val="00247232"/>
    <w:rsid w:val="00247D0A"/>
    <w:rsid w:val="00250A48"/>
    <w:rsid w:val="00250A97"/>
    <w:rsid w:val="0025118D"/>
    <w:rsid w:val="0025125E"/>
    <w:rsid w:val="00252584"/>
    <w:rsid w:val="002528F0"/>
    <w:rsid w:val="00253BF9"/>
    <w:rsid w:val="00254AC7"/>
    <w:rsid w:val="00254C2A"/>
    <w:rsid w:val="0025615F"/>
    <w:rsid w:val="0025645C"/>
    <w:rsid w:val="002601FE"/>
    <w:rsid w:val="00260BE0"/>
    <w:rsid w:val="00260C3C"/>
    <w:rsid w:val="00260CDF"/>
    <w:rsid w:val="00260D4D"/>
    <w:rsid w:val="00260E2B"/>
    <w:rsid w:val="00261215"/>
    <w:rsid w:val="0026153D"/>
    <w:rsid w:val="00261C11"/>
    <w:rsid w:val="0026209A"/>
    <w:rsid w:val="002631B0"/>
    <w:rsid w:val="00264A69"/>
    <w:rsid w:val="00264C7B"/>
    <w:rsid w:val="00264CA3"/>
    <w:rsid w:val="0026520B"/>
    <w:rsid w:val="00265B4E"/>
    <w:rsid w:val="00265C89"/>
    <w:rsid w:val="00265D08"/>
    <w:rsid w:val="00265E56"/>
    <w:rsid w:val="0026627F"/>
    <w:rsid w:val="00267027"/>
    <w:rsid w:val="00267244"/>
    <w:rsid w:val="002673C6"/>
    <w:rsid w:val="002676FB"/>
    <w:rsid w:val="00271307"/>
    <w:rsid w:val="002722D1"/>
    <w:rsid w:val="00273ADA"/>
    <w:rsid w:val="00276062"/>
    <w:rsid w:val="00276C1E"/>
    <w:rsid w:val="00277107"/>
    <w:rsid w:val="002775D9"/>
    <w:rsid w:val="00280DF9"/>
    <w:rsid w:val="00281E09"/>
    <w:rsid w:val="002839E7"/>
    <w:rsid w:val="00283A0C"/>
    <w:rsid w:val="00284991"/>
    <w:rsid w:val="00284C5F"/>
    <w:rsid w:val="00284FB3"/>
    <w:rsid w:val="00285171"/>
    <w:rsid w:val="00285203"/>
    <w:rsid w:val="002853D0"/>
    <w:rsid w:val="00285425"/>
    <w:rsid w:val="002858E2"/>
    <w:rsid w:val="00286FB4"/>
    <w:rsid w:val="002873CF"/>
    <w:rsid w:val="00287CC7"/>
    <w:rsid w:val="002900E7"/>
    <w:rsid w:val="00290AC4"/>
    <w:rsid w:val="002910AF"/>
    <w:rsid w:val="0029147A"/>
    <w:rsid w:val="00291ACD"/>
    <w:rsid w:val="00291DA0"/>
    <w:rsid w:val="00292873"/>
    <w:rsid w:val="0029319A"/>
    <w:rsid w:val="002936AD"/>
    <w:rsid w:val="00294F18"/>
    <w:rsid w:val="00295741"/>
    <w:rsid w:val="00296A01"/>
    <w:rsid w:val="00296D42"/>
    <w:rsid w:val="0029706A"/>
    <w:rsid w:val="00297235"/>
    <w:rsid w:val="002972B4"/>
    <w:rsid w:val="00297566"/>
    <w:rsid w:val="002976A7"/>
    <w:rsid w:val="00297804"/>
    <w:rsid w:val="002A0FA6"/>
    <w:rsid w:val="002A163C"/>
    <w:rsid w:val="002A1726"/>
    <w:rsid w:val="002A1B59"/>
    <w:rsid w:val="002A1E34"/>
    <w:rsid w:val="002A2043"/>
    <w:rsid w:val="002A2B73"/>
    <w:rsid w:val="002A376F"/>
    <w:rsid w:val="002A3968"/>
    <w:rsid w:val="002A401A"/>
    <w:rsid w:val="002A4397"/>
    <w:rsid w:val="002A513C"/>
    <w:rsid w:val="002A520B"/>
    <w:rsid w:val="002A5374"/>
    <w:rsid w:val="002A53B6"/>
    <w:rsid w:val="002A540E"/>
    <w:rsid w:val="002A5ADD"/>
    <w:rsid w:val="002A6280"/>
    <w:rsid w:val="002A6E22"/>
    <w:rsid w:val="002A7AA4"/>
    <w:rsid w:val="002B055A"/>
    <w:rsid w:val="002B08ED"/>
    <w:rsid w:val="002B13B3"/>
    <w:rsid w:val="002B1793"/>
    <w:rsid w:val="002B3378"/>
    <w:rsid w:val="002B33B5"/>
    <w:rsid w:val="002B34DC"/>
    <w:rsid w:val="002B3F5F"/>
    <w:rsid w:val="002B4BD1"/>
    <w:rsid w:val="002B51EA"/>
    <w:rsid w:val="002B781E"/>
    <w:rsid w:val="002B78A3"/>
    <w:rsid w:val="002B7AE6"/>
    <w:rsid w:val="002B7E84"/>
    <w:rsid w:val="002C0C9B"/>
    <w:rsid w:val="002C0FFF"/>
    <w:rsid w:val="002C181B"/>
    <w:rsid w:val="002C18EF"/>
    <w:rsid w:val="002C2254"/>
    <w:rsid w:val="002C23AB"/>
    <w:rsid w:val="002C2A65"/>
    <w:rsid w:val="002C4D7F"/>
    <w:rsid w:val="002C4ECA"/>
    <w:rsid w:val="002C5038"/>
    <w:rsid w:val="002C5B4A"/>
    <w:rsid w:val="002C5C3B"/>
    <w:rsid w:val="002C6750"/>
    <w:rsid w:val="002C6A9E"/>
    <w:rsid w:val="002C760A"/>
    <w:rsid w:val="002C7818"/>
    <w:rsid w:val="002C7837"/>
    <w:rsid w:val="002C7B2C"/>
    <w:rsid w:val="002D008B"/>
    <w:rsid w:val="002D07EE"/>
    <w:rsid w:val="002D0C0E"/>
    <w:rsid w:val="002D0D20"/>
    <w:rsid w:val="002D1BE1"/>
    <w:rsid w:val="002D1E5D"/>
    <w:rsid w:val="002D3219"/>
    <w:rsid w:val="002D3E81"/>
    <w:rsid w:val="002D4A39"/>
    <w:rsid w:val="002D4A57"/>
    <w:rsid w:val="002D5242"/>
    <w:rsid w:val="002D590F"/>
    <w:rsid w:val="002D5AF0"/>
    <w:rsid w:val="002D5C09"/>
    <w:rsid w:val="002D60EF"/>
    <w:rsid w:val="002D76A3"/>
    <w:rsid w:val="002D7815"/>
    <w:rsid w:val="002E038E"/>
    <w:rsid w:val="002E06AD"/>
    <w:rsid w:val="002E0FCD"/>
    <w:rsid w:val="002E1CEB"/>
    <w:rsid w:val="002E206A"/>
    <w:rsid w:val="002E2F75"/>
    <w:rsid w:val="002E3035"/>
    <w:rsid w:val="002E33EC"/>
    <w:rsid w:val="002E4231"/>
    <w:rsid w:val="002E4484"/>
    <w:rsid w:val="002E4981"/>
    <w:rsid w:val="002E4CB4"/>
    <w:rsid w:val="002E4D25"/>
    <w:rsid w:val="002E4E2F"/>
    <w:rsid w:val="002E500D"/>
    <w:rsid w:val="002E5660"/>
    <w:rsid w:val="002E72B6"/>
    <w:rsid w:val="002E78BE"/>
    <w:rsid w:val="002E7E4E"/>
    <w:rsid w:val="002F02EA"/>
    <w:rsid w:val="002F1253"/>
    <w:rsid w:val="002F31E4"/>
    <w:rsid w:val="002F3BD8"/>
    <w:rsid w:val="002F452C"/>
    <w:rsid w:val="002F471A"/>
    <w:rsid w:val="002F4976"/>
    <w:rsid w:val="002F4ABF"/>
    <w:rsid w:val="002F573D"/>
    <w:rsid w:val="002F5A81"/>
    <w:rsid w:val="002F5D0E"/>
    <w:rsid w:val="002F623D"/>
    <w:rsid w:val="002F64F4"/>
    <w:rsid w:val="002F6985"/>
    <w:rsid w:val="002F7E5B"/>
    <w:rsid w:val="00301218"/>
    <w:rsid w:val="003015E7"/>
    <w:rsid w:val="00301D82"/>
    <w:rsid w:val="00302393"/>
    <w:rsid w:val="003025F6"/>
    <w:rsid w:val="0030324D"/>
    <w:rsid w:val="00304BF7"/>
    <w:rsid w:val="003051D6"/>
    <w:rsid w:val="0030576D"/>
    <w:rsid w:val="00305812"/>
    <w:rsid w:val="00305C4C"/>
    <w:rsid w:val="0030653F"/>
    <w:rsid w:val="00307001"/>
    <w:rsid w:val="00307640"/>
    <w:rsid w:val="00307778"/>
    <w:rsid w:val="00307935"/>
    <w:rsid w:val="00307F65"/>
    <w:rsid w:val="00310185"/>
    <w:rsid w:val="00311F7D"/>
    <w:rsid w:val="00312447"/>
    <w:rsid w:val="0031249F"/>
    <w:rsid w:val="0031254A"/>
    <w:rsid w:val="00312578"/>
    <w:rsid w:val="00312BAD"/>
    <w:rsid w:val="003130AC"/>
    <w:rsid w:val="0031323E"/>
    <w:rsid w:val="00313B5C"/>
    <w:rsid w:val="003144D2"/>
    <w:rsid w:val="003150E5"/>
    <w:rsid w:val="003152A9"/>
    <w:rsid w:val="00316F3D"/>
    <w:rsid w:val="003178E8"/>
    <w:rsid w:val="00322C97"/>
    <w:rsid w:val="00322CAB"/>
    <w:rsid w:val="00324302"/>
    <w:rsid w:val="00324799"/>
    <w:rsid w:val="003259D1"/>
    <w:rsid w:val="00325C85"/>
    <w:rsid w:val="00326408"/>
    <w:rsid w:val="00326719"/>
    <w:rsid w:val="00326D93"/>
    <w:rsid w:val="00326F3A"/>
    <w:rsid w:val="00326F70"/>
    <w:rsid w:val="003273EC"/>
    <w:rsid w:val="003307B4"/>
    <w:rsid w:val="00330FF0"/>
    <w:rsid w:val="00331448"/>
    <w:rsid w:val="003321AA"/>
    <w:rsid w:val="00334D68"/>
    <w:rsid w:val="00335124"/>
    <w:rsid w:val="003357B9"/>
    <w:rsid w:val="0033600D"/>
    <w:rsid w:val="0033611C"/>
    <w:rsid w:val="00336D2C"/>
    <w:rsid w:val="00336D6C"/>
    <w:rsid w:val="00337077"/>
    <w:rsid w:val="003377F4"/>
    <w:rsid w:val="00337B17"/>
    <w:rsid w:val="00337D87"/>
    <w:rsid w:val="003401A7"/>
    <w:rsid w:val="00340B0B"/>
    <w:rsid w:val="00340B64"/>
    <w:rsid w:val="003418A4"/>
    <w:rsid w:val="00341985"/>
    <w:rsid w:val="00341DC2"/>
    <w:rsid w:val="00342008"/>
    <w:rsid w:val="0034451B"/>
    <w:rsid w:val="0034474F"/>
    <w:rsid w:val="00344F54"/>
    <w:rsid w:val="003455F8"/>
    <w:rsid w:val="003464E4"/>
    <w:rsid w:val="00346975"/>
    <w:rsid w:val="00347FEA"/>
    <w:rsid w:val="00350E48"/>
    <w:rsid w:val="00350F2F"/>
    <w:rsid w:val="00350F3F"/>
    <w:rsid w:val="00352104"/>
    <w:rsid w:val="003528AA"/>
    <w:rsid w:val="00352FEB"/>
    <w:rsid w:val="00354B6D"/>
    <w:rsid w:val="0035554F"/>
    <w:rsid w:val="00355CEB"/>
    <w:rsid w:val="003562FC"/>
    <w:rsid w:val="00356B15"/>
    <w:rsid w:val="00356C6E"/>
    <w:rsid w:val="00357082"/>
    <w:rsid w:val="00357A21"/>
    <w:rsid w:val="0036104C"/>
    <w:rsid w:val="00361FFE"/>
    <w:rsid w:val="0036291D"/>
    <w:rsid w:val="00362921"/>
    <w:rsid w:val="00362A0F"/>
    <w:rsid w:val="00362C4C"/>
    <w:rsid w:val="00362F67"/>
    <w:rsid w:val="00362FDD"/>
    <w:rsid w:val="0036309A"/>
    <w:rsid w:val="0036334B"/>
    <w:rsid w:val="0036345E"/>
    <w:rsid w:val="00363C8C"/>
    <w:rsid w:val="0036440E"/>
    <w:rsid w:val="003645EF"/>
    <w:rsid w:val="00365155"/>
    <w:rsid w:val="00365AD7"/>
    <w:rsid w:val="00366128"/>
    <w:rsid w:val="00366346"/>
    <w:rsid w:val="0036774D"/>
    <w:rsid w:val="00367E26"/>
    <w:rsid w:val="0037000A"/>
    <w:rsid w:val="0037011B"/>
    <w:rsid w:val="00370F82"/>
    <w:rsid w:val="0037170D"/>
    <w:rsid w:val="00371862"/>
    <w:rsid w:val="00371AC2"/>
    <w:rsid w:val="00371C24"/>
    <w:rsid w:val="00372A63"/>
    <w:rsid w:val="00372A69"/>
    <w:rsid w:val="00372B86"/>
    <w:rsid w:val="00374479"/>
    <w:rsid w:val="003745D1"/>
    <w:rsid w:val="0037510F"/>
    <w:rsid w:val="00375193"/>
    <w:rsid w:val="00375224"/>
    <w:rsid w:val="003754E4"/>
    <w:rsid w:val="00375E5D"/>
    <w:rsid w:val="0037646A"/>
    <w:rsid w:val="0037667F"/>
    <w:rsid w:val="00380560"/>
    <w:rsid w:val="00380776"/>
    <w:rsid w:val="0038269A"/>
    <w:rsid w:val="00382C8E"/>
    <w:rsid w:val="003833F6"/>
    <w:rsid w:val="0038480D"/>
    <w:rsid w:val="003848AD"/>
    <w:rsid w:val="00385152"/>
    <w:rsid w:val="00385258"/>
    <w:rsid w:val="00385740"/>
    <w:rsid w:val="003857CB"/>
    <w:rsid w:val="00385CAE"/>
    <w:rsid w:val="00385FF6"/>
    <w:rsid w:val="00386839"/>
    <w:rsid w:val="00386ACE"/>
    <w:rsid w:val="00386C6F"/>
    <w:rsid w:val="003871FF"/>
    <w:rsid w:val="0038776C"/>
    <w:rsid w:val="00387A59"/>
    <w:rsid w:val="003900B6"/>
    <w:rsid w:val="00390497"/>
    <w:rsid w:val="00390C50"/>
    <w:rsid w:val="00390F8F"/>
    <w:rsid w:val="003914A8"/>
    <w:rsid w:val="003920CA"/>
    <w:rsid w:val="003921C7"/>
    <w:rsid w:val="003926A9"/>
    <w:rsid w:val="003928B8"/>
    <w:rsid w:val="003935B5"/>
    <w:rsid w:val="00393A4E"/>
    <w:rsid w:val="00395121"/>
    <w:rsid w:val="0039579C"/>
    <w:rsid w:val="00395BC7"/>
    <w:rsid w:val="00396118"/>
    <w:rsid w:val="0039657E"/>
    <w:rsid w:val="00396957"/>
    <w:rsid w:val="00396F02"/>
    <w:rsid w:val="0039793D"/>
    <w:rsid w:val="003A00C9"/>
    <w:rsid w:val="003A1139"/>
    <w:rsid w:val="003A149C"/>
    <w:rsid w:val="003A16B7"/>
    <w:rsid w:val="003A178D"/>
    <w:rsid w:val="003A180A"/>
    <w:rsid w:val="003A3162"/>
    <w:rsid w:val="003A3D4E"/>
    <w:rsid w:val="003A450A"/>
    <w:rsid w:val="003A4DD3"/>
    <w:rsid w:val="003A5541"/>
    <w:rsid w:val="003A79F4"/>
    <w:rsid w:val="003B09C6"/>
    <w:rsid w:val="003B0FFE"/>
    <w:rsid w:val="003B17E7"/>
    <w:rsid w:val="003B1F48"/>
    <w:rsid w:val="003B2595"/>
    <w:rsid w:val="003B3C82"/>
    <w:rsid w:val="003B418B"/>
    <w:rsid w:val="003B4313"/>
    <w:rsid w:val="003B500E"/>
    <w:rsid w:val="003B5762"/>
    <w:rsid w:val="003B67D9"/>
    <w:rsid w:val="003B6EC8"/>
    <w:rsid w:val="003B754A"/>
    <w:rsid w:val="003B7915"/>
    <w:rsid w:val="003B7D52"/>
    <w:rsid w:val="003B7DE2"/>
    <w:rsid w:val="003C10A5"/>
    <w:rsid w:val="003C110B"/>
    <w:rsid w:val="003C2535"/>
    <w:rsid w:val="003C362C"/>
    <w:rsid w:val="003C38A1"/>
    <w:rsid w:val="003C4500"/>
    <w:rsid w:val="003C4FD4"/>
    <w:rsid w:val="003C505F"/>
    <w:rsid w:val="003C5BC1"/>
    <w:rsid w:val="003C5E04"/>
    <w:rsid w:val="003C6411"/>
    <w:rsid w:val="003C6AEB"/>
    <w:rsid w:val="003C71F3"/>
    <w:rsid w:val="003C75BF"/>
    <w:rsid w:val="003C77CA"/>
    <w:rsid w:val="003C7BA1"/>
    <w:rsid w:val="003D0570"/>
    <w:rsid w:val="003D0AC4"/>
    <w:rsid w:val="003D0BF0"/>
    <w:rsid w:val="003D1034"/>
    <w:rsid w:val="003D3C52"/>
    <w:rsid w:val="003D49CE"/>
    <w:rsid w:val="003D4AE0"/>
    <w:rsid w:val="003D4B2E"/>
    <w:rsid w:val="003D54EB"/>
    <w:rsid w:val="003D5A61"/>
    <w:rsid w:val="003D6BB8"/>
    <w:rsid w:val="003D6D6C"/>
    <w:rsid w:val="003D73C7"/>
    <w:rsid w:val="003D74E0"/>
    <w:rsid w:val="003E0433"/>
    <w:rsid w:val="003E0763"/>
    <w:rsid w:val="003E077A"/>
    <w:rsid w:val="003E0DFF"/>
    <w:rsid w:val="003E10DF"/>
    <w:rsid w:val="003E2040"/>
    <w:rsid w:val="003E20BD"/>
    <w:rsid w:val="003E286D"/>
    <w:rsid w:val="003E2D39"/>
    <w:rsid w:val="003E30D2"/>
    <w:rsid w:val="003E446B"/>
    <w:rsid w:val="003E571A"/>
    <w:rsid w:val="003E5853"/>
    <w:rsid w:val="003E6198"/>
    <w:rsid w:val="003E6730"/>
    <w:rsid w:val="003E68B3"/>
    <w:rsid w:val="003E6B21"/>
    <w:rsid w:val="003F02CD"/>
    <w:rsid w:val="003F16FB"/>
    <w:rsid w:val="003F1FAE"/>
    <w:rsid w:val="003F423F"/>
    <w:rsid w:val="003F443C"/>
    <w:rsid w:val="003F4902"/>
    <w:rsid w:val="003F651F"/>
    <w:rsid w:val="003F6627"/>
    <w:rsid w:val="003F6C0A"/>
    <w:rsid w:val="003F6E19"/>
    <w:rsid w:val="003F6E95"/>
    <w:rsid w:val="003F7608"/>
    <w:rsid w:val="003F7ECA"/>
    <w:rsid w:val="003F7F62"/>
    <w:rsid w:val="003F7F7B"/>
    <w:rsid w:val="004001B7"/>
    <w:rsid w:val="00400ED1"/>
    <w:rsid w:val="00400F0F"/>
    <w:rsid w:val="00401484"/>
    <w:rsid w:val="00401B41"/>
    <w:rsid w:val="00402B8D"/>
    <w:rsid w:val="004031ED"/>
    <w:rsid w:val="00403315"/>
    <w:rsid w:val="00403748"/>
    <w:rsid w:val="00403FE4"/>
    <w:rsid w:val="0040428A"/>
    <w:rsid w:val="004049F8"/>
    <w:rsid w:val="00404F0C"/>
    <w:rsid w:val="004054AF"/>
    <w:rsid w:val="004064AE"/>
    <w:rsid w:val="0040707D"/>
    <w:rsid w:val="004075CE"/>
    <w:rsid w:val="004076E2"/>
    <w:rsid w:val="004108EE"/>
    <w:rsid w:val="00410AD9"/>
    <w:rsid w:val="00410C7F"/>
    <w:rsid w:val="00410D59"/>
    <w:rsid w:val="00411602"/>
    <w:rsid w:val="004118B3"/>
    <w:rsid w:val="00411971"/>
    <w:rsid w:val="00411E7A"/>
    <w:rsid w:val="004128A9"/>
    <w:rsid w:val="004128ED"/>
    <w:rsid w:val="00412DE1"/>
    <w:rsid w:val="0041394E"/>
    <w:rsid w:val="00413E8A"/>
    <w:rsid w:val="0041499C"/>
    <w:rsid w:val="00414C43"/>
    <w:rsid w:val="00415ED2"/>
    <w:rsid w:val="00415FA5"/>
    <w:rsid w:val="00416086"/>
    <w:rsid w:val="004166B1"/>
    <w:rsid w:val="004168CC"/>
    <w:rsid w:val="00416AED"/>
    <w:rsid w:val="00416C1D"/>
    <w:rsid w:val="00417B82"/>
    <w:rsid w:val="00417BB4"/>
    <w:rsid w:val="004211D2"/>
    <w:rsid w:val="004214E0"/>
    <w:rsid w:val="00421686"/>
    <w:rsid w:val="00421B86"/>
    <w:rsid w:val="0042215F"/>
    <w:rsid w:val="00422367"/>
    <w:rsid w:val="004223BC"/>
    <w:rsid w:val="00422553"/>
    <w:rsid w:val="00423929"/>
    <w:rsid w:val="004255E9"/>
    <w:rsid w:val="00425DC9"/>
    <w:rsid w:val="00426219"/>
    <w:rsid w:val="00426660"/>
    <w:rsid w:val="004268B1"/>
    <w:rsid w:val="00426B20"/>
    <w:rsid w:val="00427E3F"/>
    <w:rsid w:val="004300CE"/>
    <w:rsid w:val="00430239"/>
    <w:rsid w:val="00430B7D"/>
    <w:rsid w:val="0043127C"/>
    <w:rsid w:val="0043198D"/>
    <w:rsid w:val="00431FB6"/>
    <w:rsid w:val="00432185"/>
    <w:rsid w:val="00432B67"/>
    <w:rsid w:val="00432DAF"/>
    <w:rsid w:val="00432F75"/>
    <w:rsid w:val="00434AA4"/>
    <w:rsid w:val="00435150"/>
    <w:rsid w:val="0043520D"/>
    <w:rsid w:val="00435B71"/>
    <w:rsid w:val="0043771F"/>
    <w:rsid w:val="00437ACF"/>
    <w:rsid w:val="00440668"/>
    <w:rsid w:val="00440FBC"/>
    <w:rsid w:val="00441E0B"/>
    <w:rsid w:val="00442728"/>
    <w:rsid w:val="00442CB9"/>
    <w:rsid w:val="00442D39"/>
    <w:rsid w:val="004431B9"/>
    <w:rsid w:val="00443522"/>
    <w:rsid w:val="00443744"/>
    <w:rsid w:val="00443CA8"/>
    <w:rsid w:val="00444017"/>
    <w:rsid w:val="004447C1"/>
    <w:rsid w:val="0044492A"/>
    <w:rsid w:val="00445148"/>
    <w:rsid w:val="004452A3"/>
    <w:rsid w:val="0044655A"/>
    <w:rsid w:val="004472BE"/>
    <w:rsid w:val="00447478"/>
    <w:rsid w:val="0045009C"/>
    <w:rsid w:val="0045120C"/>
    <w:rsid w:val="00451217"/>
    <w:rsid w:val="0045182F"/>
    <w:rsid w:val="00452057"/>
    <w:rsid w:val="004530D5"/>
    <w:rsid w:val="004532D5"/>
    <w:rsid w:val="00453394"/>
    <w:rsid w:val="004547A7"/>
    <w:rsid w:val="00455B81"/>
    <w:rsid w:val="00457759"/>
    <w:rsid w:val="004578C5"/>
    <w:rsid w:val="00457A17"/>
    <w:rsid w:val="00460174"/>
    <w:rsid w:val="0046054F"/>
    <w:rsid w:val="00460A4B"/>
    <w:rsid w:val="00461422"/>
    <w:rsid w:val="00461D54"/>
    <w:rsid w:val="00461F84"/>
    <w:rsid w:val="00463390"/>
    <w:rsid w:val="004634F9"/>
    <w:rsid w:val="004637AC"/>
    <w:rsid w:val="0046448A"/>
    <w:rsid w:val="00464FEA"/>
    <w:rsid w:val="00465D2B"/>
    <w:rsid w:val="00465DAF"/>
    <w:rsid w:val="00466B7A"/>
    <w:rsid w:val="00470521"/>
    <w:rsid w:val="00471787"/>
    <w:rsid w:val="004723FF"/>
    <w:rsid w:val="00472633"/>
    <w:rsid w:val="004730C1"/>
    <w:rsid w:val="004737C3"/>
    <w:rsid w:val="004739C6"/>
    <w:rsid w:val="004746FE"/>
    <w:rsid w:val="004751AD"/>
    <w:rsid w:val="00476993"/>
    <w:rsid w:val="00476D26"/>
    <w:rsid w:val="00477AD1"/>
    <w:rsid w:val="0048011E"/>
    <w:rsid w:val="004801F9"/>
    <w:rsid w:val="0048031F"/>
    <w:rsid w:val="00480BCC"/>
    <w:rsid w:val="0048120C"/>
    <w:rsid w:val="00482091"/>
    <w:rsid w:val="00482234"/>
    <w:rsid w:val="00482293"/>
    <w:rsid w:val="004822D6"/>
    <w:rsid w:val="0048230C"/>
    <w:rsid w:val="00483014"/>
    <w:rsid w:val="004835A7"/>
    <w:rsid w:val="00483718"/>
    <w:rsid w:val="004838D8"/>
    <w:rsid w:val="00483BAF"/>
    <w:rsid w:val="00483E9E"/>
    <w:rsid w:val="00484E6F"/>
    <w:rsid w:val="00486150"/>
    <w:rsid w:val="004868C4"/>
    <w:rsid w:val="00487723"/>
    <w:rsid w:val="00487FCB"/>
    <w:rsid w:val="00490AE3"/>
    <w:rsid w:val="00490F36"/>
    <w:rsid w:val="00491378"/>
    <w:rsid w:val="0049158B"/>
    <w:rsid w:val="004923BC"/>
    <w:rsid w:val="004925EA"/>
    <w:rsid w:val="004937C2"/>
    <w:rsid w:val="00493B5A"/>
    <w:rsid w:val="00494702"/>
    <w:rsid w:val="00494C41"/>
    <w:rsid w:val="00494F16"/>
    <w:rsid w:val="00495330"/>
    <w:rsid w:val="00496399"/>
    <w:rsid w:val="00496CFB"/>
    <w:rsid w:val="00496D8D"/>
    <w:rsid w:val="00497040"/>
    <w:rsid w:val="0049706C"/>
    <w:rsid w:val="0049724D"/>
    <w:rsid w:val="004A0399"/>
    <w:rsid w:val="004A0716"/>
    <w:rsid w:val="004A0F3F"/>
    <w:rsid w:val="004A124F"/>
    <w:rsid w:val="004A1A6F"/>
    <w:rsid w:val="004A1D43"/>
    <w:rsid w:val="004A1E01"/>
    <w:rsid w:val="004A23FD"/>
    <w:rsid w:val="004A256B"/>
    <w:rsid w:val="004A25A8"/>
    <w:rsid w:val="004A2F62"/>
    <w:rsid w:val="004A31CD"/>
    <w:rsid w:val="004A3873"/>
    <w:rsid w:val="004A38EC"/>
    <w:rsid w:val="004A3904"/>
    <w:rsid w:val="004A41A4"/>
    <w:rsid w:val="004A4997"/>
    <w:rsid w:val="004A50B0"/>
    <w:rsid w:val="004A5422"/>
    <w:rsid w:val="004A5563"/>
    <w:rsid w:val="004A56C1"/>
    <w:rsid w:val="004A5F8C"/>
    <w:rsid w:val="004A6155"/>
    <w:rsid w:val="004A6E6E"/>
    <w:rsid w:val="004A7656"/>
    <w:rsid w:val="004A7EDB"/>
    <w:rsid w:val="004B0A96"/>
    <w:rsid w:val="004B0E0C"/>
    <w:rsid w:val="004B0F98"/>
    <w:rsid w:val="004B1175"/>
    <w:rsid w:val="004B14A2"/>
    <w:rsid w:val="004B1704"/>
    <w:rsid w:val="004B1B7A"/>
    <w:rsid w:val="004B1C6D"/>
    <w:rsid w:val="004B2AAA"/>
    <w:rsid w:val="004B2F20"/>
    <w:rsid w:val="004B47B1"/>
    <w:rsid w:val="004B585B"/>
    <w:rsid w:val="004B5D97"/>
    <w:rsid w:val="004B7F95"/>
    <w:rsid w:val="004C038B"/>
    <w:rsid w:val="004C0B92"/>
    <w:rsid w:val="004C11BA"/>
    <w:rsid w:val="004C15B2"/>
    <w:rsid w:val="004C1F52"/>
    <w:rsid w:val="004C2045"/>
    <w:rsid w:val="004C2235"/>
    <w:rsid w:val="004C28D3"/>
    <w:rsid w:val="004C29BC"/>
    <w:rsid w:val="004C2B5F"/>
    <w:rsid w:val="004C2D92"/>
    <w:rsid w:val="004C31C3"/>
    <w:rsid w:val="004C3E82"/>
    <w:rsid w:val="004C3F22"/>
    <w:rsid w:val="004C4631"/>
    <w:rsid w:val="004C51A8"/>
    <w:rsid w:val="004C54B2"/>
    <w:rsid w:val="004C5A4E"/>
    <w:rsid w:val="004C6325"/>
    <w:rsid w:val="004C7917"/>
    <w:rsid w:val="004C7FAB"/>
    <w:rsid w:val="004D0A40"/>
    <w:rsid w:val="004D1690"/>
    <w:rsid w:val="004D2229"/>
    <w:rsid w:val="004D2265"/>
    <w:rsid w:val="004D3256"/>
    <w:rsid w:val="004D32F2"/>
    <w:rsid w:val="004D34AB"/>
    <w:rsid w:val="004D34E8"/>
    <w:rsid w:val="004D4B2C"/>
    <w:rsid w:val="004D606F"/>
    <w:rsid w:val="004D612F"/>
    <w:rsid w:val="004D68F7"/>
    <w:rsid w:val="004D7B84"/>
    <w:rsid w:val="004E00BE"/>
    <w:rsid w:val="004E0F47"/>
    <w:rsid w:val="004E10C4"/>
    <w:rsid w:val="004E14F7"/>
    <w:rsid w:val="004E155E"/>
    <w:rsid w:val="004E27DF"/>
    <w:rsid w:val="004E403D"/>
    <w:rsid w:val="004E454E"/>
    <w:rsid w:val="004E4661"/>
    <w:rsid w:val="004E4FF5"/>
    <w:rsid w:val="004E5002"/>
    <w:rsid w:val="004E5E3A"/>
    <w:rsid w:val="004E663D"/>
    <w:rsid w:val="004E6D80"/>
    <w:rsid w:val="004E7BA5"/>
    <w:rsid w:val="004F0B3D"/>
    <w:rsid w:val="004F0D26"/>
    <w:rsid w:val="004F1642"/>
    <w:rsid w:val="004F41EB"/>
    <w:rsid w:val="004F4696"/>
    <w:rsid w:val="004F473F"/>
    <w:rsid w:val="004F6399"/>
    <w:rsid w:val="004F7805"/>
    <w:rsid w:val="004F7F7F"/>
    <w:rsid w:val="00500AE5"/>
    <w:rsid w:val="00501B3A"/>
    <w:rsid w:val="00502434"/>
    <w:rsid w:val="005025E6"/>
    <w:rsid w:val="005029C8"/>
    <w:rsid w:val="00502E1A"/>
    <w:rsid w:val="00503186"/>
    <w:rsid w:val="005033EC"/>
    <w:rsid w:val="00503BB2"/>
    <w:rsid w:val="00504264"/>
    <w:rsid w:val="00504C46"/>
    <w:rsid w:val="005055D8"/>
    <w:rsid w:val="00505F64"/>
    <w:rsid w:val="0050682C"/>
    <w:rsid w:val="00510470"/>
    <w:rsid w:val="0051173B"/>
    <w:rsid w:val="005120D0"/>
    <w:rsid w:val="005133D6"/>
    <w:rsid w:val="0051342E"/>
    <w:rsid w:val="0051418E"/>
    <w:rsid w:val="005141E3"/>
    <w:rsid w:val="00514234"/>
    <w:rsid w:val="00514425"/>
    <w:rsid w:val="00514E75"/>
    <w:rsid w:val="00515AC3"/>
    <w:rsid w:val="00515C89"/>
    <w:rsid w:val="00517043"/>
    <w:rsid w:val="0051704A"/>
    <w:rsid w:val="00517279"/>
    <w:rsid w:val="00520165"/>
    <w:rsid w:val="00520487"/>
    <w:rsid w:val="0052114A"/>
    <w:rsid w:val="0052173B"/>
    <w:rsid w:val="005224C8"/>
    <w:rsid w:val="005226E8"/>
    <w:rsid w:val="00523DFE"/>
    <w:rsid w:val="00524AB9"/>
    <w:rsid w:val="005250D2"/>
    <w:rsid w:val="0052513E"/>
    <w:rsid w:val="00525C78"/>
    <w:rsid w:val="00525E89"/>
    <w:rsid w:val="005260AF"/>
    <w:rsid w:val="00526143"/>
    <w:rsid w:val="0052622D"/>
    <w:rsid w:val="00526300"/>
    <w:rsid w:val="00527383"/>
    <w:rsid w:val="00530062"/>
    <w:rsid w:val="005318FB"/>
    <w:rsid w:val="00531FB9"/>
    <w:rsid w:val="00532D7D"/>
    <w:rsid w:val="00533259"/>
    <w:rsid w:val="00533416"/>
    <w:rsid w:val="0053347D"/>
    <w:rsid w:val="0053410B"/>
    <w:rsid w:val="005343AA"/>
    <w:rsid w:val="00535927"/>
    <w:rsid w:val="00536992"/>
    <w:rsid w:val="005371E7"/>
    <w:rsid w:val="00540A61"/>
    <w:rsid w:val="00541126"/>
    <w:rsid w:val="00541818"/>
    <w:rsid w:val="005420B9"/>
    <w:rsid w:val="00542509"/>
    <w:rsid w:val="00542976"/>
    <w:rsid w:val="00542C53"/>
    <w:rsid w:val="00542CA3"/>
    <w:rsid w:val="00543831"/>
    <w:rsid w:val="00543DC6"/>
    <w:rsid w:val="00544929"/>
    <w:rsid w:val="00544960"/>
    <w:rsid w:val="005455FF"/>
    <w:rsid w:val="00545E4A"/>
    <w:rsid w:val="005462F4"/>
    <w:rsid w:val="00546C29"/>
    <w:rsid w:val="00546D1B"/>
    <w:rsid w:val="005507EA"/>
    <w:rsid w:val="0055085C"/>
    <w:rsid w:val="0055114C"/>
    <w:rsid w:val="00551A87"/>
    <w:rsid w:val="00551CF1"/>
    <w:rsid w:val="00551FA3"/>
    <w:rsid w:val="00552E3E"/>
    <w:rsid w:val="00553594"/>
    <w:rsid w:val="0055387D"/>
    <w:rsid w:val="00553E78"/>
    <w:rsid w:val="005541F7"/>
    <w:rsid w:val="00554F3C"/>
    <w:rsid w:val="0055538D"/>
    <w:rsid w:val="00555619"/>
    <w:rsid w:val="00555643"/>
    <w:rsid w:val="00555D21"/>
    <w:rsid w:val="00556925"/>
    <w:rsid w:val="005569A0"/>
    <w:rsid w:val="00557DA3"/>
    <w:rsid w:val="0056078F"/>
    <w:rsid w:val="0056119F"/>
    <w:rsid w:val="005611AC"/>
    <w:rsid w:val="0056150E"/>
    <w:rsid w:val="00561D36"/>
    <w:rsid w:val="00561E94"/>
    <w:rsid w:val="00562139"/>
    <w:rsid w:val="005628D1"/>
    <w:rsid w:val="00564D54"/>
    <w:rsid w:val="005660F8"/>
    <w:rsid w:val="00566DBD"/>
    <w:rsid w:val="005673EB"/>
    <w:rsid w:val="005677EA"/>
    <w:rsid w:val="00567A84"/>
    <w:rsid w:val="00567C30"/>
    <w:rsid w:val="00567DE5"/>
    <w:rsid w:val="005705DA"/>
    <w:rsid w:val="005706B1"/>
    <w:rsid w:val="00570886"/>
    <w:rsid w:val="0057190B"/>
    <w:rsid w:val="00572214"/>
    <w:rsid w:val="00572EA6"/>
    <w:rsid w:val="005740B2"/>
    <w:rsid w:val="005746B2"/>
    <w:rsid w:val="00575124"/>
    <w:rsid w:val="0057555E"/>
    <w:rsid w:val="00575DDB"/>
    <w:rsid w:val="005766ED"/>
    <w:rsid w:val="00576BAC"/>
    <w:rsid w:val="0057791A"/>
    <w:rsid w:val="00577C33"/>
    <w:rsid w:val="005800AF"/>
    <w:rsid w:val="005800C3"/>
    <w:rsid w:val="0058017C"/>
    <w:rsid w:val="00581DAB"/>
    <w:rsid w:val="005820AC"/>
    <w:rsid w:val="005825CB"/>
    <w:rsid w:val="00582A75"/>
    <w:rsid w:val="00582D11"/>
    <w:rsid w:val="00583DF9"/>
    <w:rsid w:val="00583FF0"/>
    <w:rsid w:val="00584166"/>
    <w:rsid w:val="005847B9"/>
    <w:rsid w:val="00584E04"/>
    <w:rsid w:val="00585D58"/>
    <w:rsid w:val="00585EF9"/>
    <w:rsid w:val="00586224"/>
    <w:rsid w:val="0058668D"/>
    <w:rsid w:val="005867B1"/>
    <w:rsid w:val="005869B5"/>
    <w:rsid w:val="005872E6"/>
    <w:rsid w:val="00587800"/>
    <w:rsid w:val="00587BF5"/>
    <w:rsid w:val="00587CCE"/>
    <w:rsid w:val="00587FEF"/>
    <w:rsid w:val="00590632"/>
    <w:rsid w:val="00590F26"/>
    <w:rsid w:val="005926EF"/>
    <w:rsid w:val="00592CE6"/>
    <w:rsid w:val="00593074"/>
    <w:rsid w:val="005934DE"/>
    <w:rsid w:val="00593BFA"/>
    <w:rsid w:val="00593D8C"/>
    <w:rsid w:val="00594EF2"/>
    <w:rsid w:val="00594EFB"/>
    <w:rsid w:val="00595185"/>
    <w:rsid w:val="00595230"/>
    <w:rsid w:val="00595990"/>
    <w:rsid w:val="005966B9"/>
    <w:rsid w:val="00596A54"/>
    <w:rsid w:val="005971E1"/>
    <w:rsid w:val="00597613"/>
    <w:rsid w:val="0059786D"/>
    <w:rsid w:val="00597EC5"/>
    <w:rsid w:val="005A163B"/>
    <w:rsid w:val="005A21B3"/>
    <w:rsid w:val="005A2E3B"/>
    <w:rsid w:val="005A2EB0"/>
    <w:rsid w:val="005A2ED2"/>
    <w:rsid w:val="005A40B6"/>
    <w:rsid w:val="005A4407"/>
    <w:rsid w:val="005A4ADB"/>
    <w:rsid w:val="005A4F14"/>
    <w:rsid w:val="005A5207"/>
    <w:rsid w:val="005A5240"/>
    <w:rsid w:val="005A5472"/>
    <w:rsid w:val="005A5879"/>
    <w:rsid w:val="005A5AF5"/>
    <w:rsid w:val="005A60AD"/>
    <w:rsid w:val="005A61E1"/>
    <w:rsid w:val="005A6E50"/>
    <w:rsid w:val="005A77B3"/>
    <w:rsid w:val="005A7E3C"/>
    <w:rsid w:val="005A7FD7"/>
    <w:rsid w:val="005B1A85"/>
    <w:rsid w:val="005B1C07"/>
    <w:rsid w:val="005B1E03"/>
    <w:rsid w:val="005B2445"/>
    <w:rsid w:val="005B2808"/>
    <w:rsid w:val="005B294C"/>
    <w:rsid w:val="005B312A"/>
    <w:rsid w:val="005B32CD"/>
    <w:rsid w:val="005B3AAB"/>
    <w:rsid w:val="005B401F"/>
    <w:rsid w:val="005B45FA"/>
    <w:rsid w:val="005B59B2"/>
    <w:rsid w:val="005B6F17"/>
    <w:rsid w:val="005B6F46"/>
    <w:rsid w:val="005B6F6B"/>
    <w:rsid w:val="005C1C79"/>
    <w:rsid w:val="005C2D43"/>
    <w:rsid w:val="005C2EBE"/>
    <w:rsid w:val="005C45EE"/>
    <w:rsid w:val="005C4971"/>
    <w:rsid w:val="005C4B67"/>
    <w:rsid w:val="005C4EC4"/>
    <w:rsid w:val="005C627A"/>
    <w:rsid w:val="005D0B26"/>
    <w:rsid w:val="005D1821"/>
    <w:rsid w:val="005D1945"/>
    <w:rsid w:val="005D1F6D"/>
    <w:rsid w:val="005D200F"/>
    <w:rsid w:val="005D2033"/>
    <w:rsid w:val="005D28A0"/>
    <w:rsid w:val="005D2BE1"/>
    <w:rsid w:val="005D4620"/>
    <w:rsid w:val="005D5FC7"/>
    <w:rsid w:val="005D6969"/>
    <w:rsid w:val="005D762B"/>
    <w:rsid w:val="005D7A80"/>
    <w:rsid w:val="005D7D7E"/>
    <w:rsid w:val="005E00FE"/>
    <w:rsid w:val="005E1102"/>
    <w:rsid w:val="005E1C7A"/>
    <w:rsid w:val="005E1FB2"/>
    <w:rsid w:val="005E2031"/>
    <w:rsid w:val="005E212D"/>
    <w:rsid w:val="005E2454"/>
    <w:rsid w:val="005E293A"/>
    <w:rsid w:val="005E34A7"/>
    <w:rsid w:val="005E3AB9"/>
    <w:rsid w:val="005E3B92"/>
    <w:rsid w:val="005E3E24"/>
    <w:rsid w:val="005E3EAB"/>
    <w:rsid w:val="005E4CA9"/>
    <w:rsid w:val="005E596F"/>
    <w:rsid w:val="005E6765"/>
    <w:rsid w:val="005F017C"/>
    <w:rsid w:val="005F03BB"/>
    <w:rsid w:val="005F06A9"/>
    <w:rsid w:val="005F14A2"/>
    <w:rsid w:val="005F175D"/>
    <w:rsid w:val="005F2349"/>
    <w:rsid w:val="005F3331"/>
    <w:rsid w:val="005F350D"/>
    <w:rsid w:val="005F38A2"/>
    <w:rsid w:val="005F4013"/>
    <w:rsid w:val="005F487E"/>
    <w:rsid w:val="005F4C7A"/>
    <w:rsid w:val="005F58F0"/>
    <w:rsid w:val="005F5E00"/>
    <w:rsid w:val="005F677E"/>
    <w:rsid w:val="005F7037"/>
    <w:rsid w:val="005F7322"/>
    <w:rsid w:val="00600476"/>
    <w:rsid w:val="006006D7"/>
    <w:rsid w:val="006031E0"/>
    <w:rsid w:val="00604054"/>
    <w:rsid w:val="0060491D"/>
    <w:rsid w:val="0060501D"/>
    <w:rsid w:val="006054BB"/>
    <w:rsid w:val="0060643A"/>
    <w:rsid w:val="00606C48"/>
    <w:rsid w:val="00607109"/>
    <w:rsid w:val="006073B8"/>
    <w:rsid w:val="006076E3"/>
    <w:rsid w:val="0060782E"/>
    <w:rsid w:val="006103FC"/>
    <w:rsid w:val="0061053B"/>
    <w:rsid w:val="0061163E"/>
    <w:rsid w:val="00612134"/>
    <w:rsid w:val="0061278A"/>
    <w:rsid w:val="00613169"/>
    <w:rsid w:val="00613904"/>
    <w:rsid w:val="006147C0"/>
    <w:rsid w:val="00614FD9"/>
    <w:rsid w:val="006153AD"/>
    <w:rsid w:val="00615981"/>
    <w:rsid w:val="00616E89"/>
    <w:rsid w:val="00617103"/>
    <w:rsid w:val="00617E43"/>
    <w:rsid w:val="00620075"/>
    <w:rsid w:val="00620422"/>
    <w:rsid w:val="006204A9"/>
    <w:rsid w:val="0062083D"/>
    <w:rsid w:val="006228AA"/>
    <w:rsid w:val="006228C7"/>
    <w:rsid w:val="00623C58"/>
    <w:rsid w:val="00623FF9"/>
    <w:rsid w:val="00624010"/>
    <w:rsid w:val="006243BD"/>
    <w:rsid w:val="0062577C"/>
    <w:rsid w:val="00625B6D"/>
    <w:rsid w:val="0062638E"/>
    <w:rsid w:val="006264DD"/>
    <w:rsid w:val="0062656F"/>
    <w:rsid w:val="00626B29"/>
    <w:rsid w:val="0062726D"/>
    <w:rsid w:val="00630B53"/>
    <w:rsid w:val="006313CF"/>
    <w:rsid w:val="0063222A"/>
    <w:rsid w:val="006325A2"/>
    <w:rsid w:val="00632C02"/>
    <w:rsid w:val="00632C91"/>
    <w:rsid w:val="00632D10"/>
    <w:rsid w:val="00634131"/>
    <w:rsid w:val="00634388"/>
    <w:rsid w:val="006349D0"/>
    <w:rsid w:val="00634F87"/>
    <w:rsid w:val="006351F2"/>
    <w:rsid w:val="006366C6"/>
    <w:rsid w:val="00637185"/>
    <w:rsid w:val="00640B2D"/>
    <w:rsid w:val="00643849"/>
    <w:rsid w:val="00644B87"/>
    <w:rsid w:val="00644C87"/>
    <w:rsid w:val="0064604C"/>
    <w:rsid w:val="006478FC"/>
    <w:rsid w:val="00647DDF"/>
    <w:rsid w:val="006510CF"/>
    <w:rsid w:val="0065385B"/>
    <w:rsid w:val="0065419D"/>
    <w:rsid w:val="0065543B"/>
    <w:rsid w:val="00655776"/>
    <w:rsid w:val="00655E0C"/>
    <w:rsid w:val="00655F07"/>
    <w:rsid w:val="00655FD3"/>
    <w:rsid w:val="00656596"/>
    <w:rsid w:val="00657813"/>
    <w:rsid w:val="00657A83"/>
    <w:rsid w:val="0066049B"/>
    <w:rsid w:val="0066072C"/>
    <w:rsid w:val="0066100E"/>
    <w:rsid w:val="0066170D"/>
    <w:rsid w:val="006625D6"/>
    <w:rsid w:val="0066288A"/>
    <w:rsid w:val="006628F1"/>
    <w:rsid w:val="006639E3"/>
    <w:rsid w:val="00663AF1"/>
    <w:rsid w:val="00664E44"/>
    <w:rsid w:val="00665D80"/>
    <w:rsid w:val="00665FB6"/>
    <w:rsid w:val="00666273"/>
    <w:rsid w:val="006662D1"/>
    <w:rsid w:val="00666504"/>
    <w:rsid w:val="006706C4"/>
    <w:rsid w:val="00670DC2"/>
    <w:rsid w:val="00671494"/>
    <w:rsid w:val="00671B69"/>
    <w:rsid w:val="00671BE9"/>
    <w:rsid w:val="006723B8"/>
    <w:rsid w:val="00672899"/>
    <w:rsid w:val="00672A13"/>
    <w:rsid w:val="00673122"/>
    <w:rsid w:val="00673A77"/>
    <w:rsid w:val="00674151"/>
    <w:rsid w:val="00674511"/>
    <w:rsid w:val="006748B3"/>
    <w:rsid w:val="00674DD5"/>
    <w:rsid w:val="00675C7A"/>
    <w:rsid w:val="00675FF4"/>
    <w:rsid w:val="0067601B"/>
    <w:rsid w:val="00676C0B"/>
    <w:rsid w:val="00676D43"/>
    <w:rsid w:val="00677746"/>
    <w:rsid w:val="00681479"/>
    <w:rsid w:val="0068150A"/>
    <w:rsid w:val="0068182E"/>
    <w:rsid w:val="00683B04"/>
    <w:rsid w:val="00683C89"/>
    <w:rsid w:val="00684DF2"/>
    <w:rsid w:val="00684EBC"/>
    <w:rsid w:val="00684FE3"/>
    <w:rsid w:val="00685844"/>
    <w:rsid w:val="0068630E"/>
    <w:rsid w:val="00686D92"/>
    <w:rsid w:val="00687709"/>
    <w:rsid w:val="00690281"/>
    <w:rsid w:val="006905D9"/>
    <w:rsid w:val="00690FF1"/>
    <w:rsid w:val="0069208B"/>
    <w:rsid w:val="006922B4"/>
    <w:rsid w:val="00692382"/>
    <w:rsid w:val="006930D7"/>
    <w:rsid w:val="0069320E"/>
    <w:rsid w:val="006933D0"/>
    <w:rsid w:val="006936A7"/>
    <w:rsid w:val="00695B42"/>
    <w:rsid w:val="00695FA8"/>
    <w:rsid w:val="0069628E"/>
    <w:rsid w:val="006970E6"/>
    <w:rsid w:val="006A0F3A"/>
    <w:rsid w:val="006A1902"/>
    <w:rsid w:val="006A1950"/>
    <w:rsid w:val="006A1CBE"/>
    <w:rsid w:val="006A27F6"/>
    <w:rsid w:val="006A2A50"/>
    <w:rsid w:val="006A2A78"/>
    <w:rsid w:val="006A3146"/>
    <w:rsid w:val="006A3624"/>
    <w:rsid w:val="006A3CAA"/>
    <w:rsid w:val="006A40C9"/>
    <w:rsid w:val="006A4203"/>
    <w:rsid w:val="006A4467"/>
    <w:rsid w:val="006A5209"/>
    <w:rsid w:val="006A531A"/>
    <w:rsid w:val="006A5C97"/>
    <w:rsid w:val="006A6718"/>
    <w:rsid w:val="006A6C93"/>
    <w:rsid w:val="006A7568"/>
    <w:rsid w:val="006B0021"/>
    <w:rsid w:val="006B01E4"/>
    <w:rsid w:val="006B0D35"/>
    <w:rsid w:val="006B0F3C"/>
    <w:rsid w:val="006B107F"/>
    <w:rsid w:val="006B1949"/>
    <w:rsid w:val="006B1962"/>
    <w:rsid w:val="006B247F"/>
    <w:rsid w:val="006B2763"/>
    <w:rsid w:val="006B3330"/>
    <w:rsid w:val="006B39F3"/>
    <w:rsid w:val="006B56ED"/>
    <w:rsid w:val="006B5FEB"/>
    <w:rsid w:val="006B64E8"/>
    <w:rsid w:val="006B66E1"/>
    <w:rsid w:val="006B6837"/>
    <w:rsid w:val="006B6B22"/>
    <w:rsid w:val="006B751F"/>
    <w:rsid w:val="006B78A6"/>
    <w:rsid w:val="006B7CFB"/>
    <w:rsid w:val="006C040F"/>
    <w:rsid w:val="006C0E55"/>
    <w:rsid w:val="006C2313"/>
    <w:rsid w:val="006C442E"/>
    <w:rsid w:val="006C5205"/>
    <w:rsid w:val="006C565D"/>
    <w:rsid w:val="006C65E2"/>
    <w:rsid w:val="006C6987"/>
    <w:rsid w:val="006C6B55"/>
    <w:rsid w:val="006C74F7"/>
    <w:rsid w:val="006C7664"/>
    <w:rsid w:val="006D1757"/>
    <w:rsid w:val="006D1DDA"/>
    <w:rsid w:val="006D2260"/>
    <w:rsid w:val="006D385A"/>
    <w:rsid w:val="006D50C2"/>
    <w:rsid w:val="006D50F2"/>
    <w:rsid w:val="006D5AD3"/>
    <w:rsid w:val="006D62FD"/>
    <w:rsid w:val="006D6AE7"/>
    <w:rsid w:val="006E02B6"/>
    <w:rsid w:val="006E0896"/>
    <w:rsid w:val="006E1372"/>
    <w:rsid w:val="006E1805"/>
    <w:rsid w:val="006E1C54"/>
    <w:rsid w:val="006E1DC7"/>
    <w:rsid w:val="006E25CC"/>
    <w:rsid w:val="006E25EF"/>
    <w:rsid w:val="006E33FB"/>
    <w:rsid w:val="006E3DE3"/>
    <w:rsid w:val="006E3EED"/>
    <w:rsid w:val="006E40F9"/>
    <w:rsid w:val="006E46C7"/>
    <w:rsid w:val="006E4F48"/>
    <w:rsid w:val="006E6487"/>
    <w:rsid w:val="006E6AC5"/>
    <w:rsid w:val="006E6F22"/>
    <w:rsid w:val="006E6FF5"/>
    <w:rsid w:val="006E70F8"/>
    <w:rsid w:val="006E74AD"/>
    <w:rsid w:val="006E7706"/>
    <w:rsid w:val="006E78B9"/>
    <w:rsid w:val="006E7F70"/>
    <w:rsid w:val="006F0903"/>
    <w:rsid w:val="006F0CC4"/>
    <w:rsid w:val="006F100B"/>
    <w:rsid w:val="006F11A2"/>
    <w:rsid w:val="006F31DD"/>
    <w:rsid w:val="006F35D3"/>
    <w:rsid w:val="006F3A3E"/>
    <w:rsid w:val="006F3BDE"/>
    <w:rsid w:val="006F41BF"/>
    <w:rsid w:val="006F5B6C"/>
    <w:rsid w:val="006F6BA4"/>
    <w:rsid w:val="006F7FB6"/>
    <w:rsid w:val="0070014C"/>
    <w:rsid w:val="00700A00"/>
    <w:rsid w:val="00700C06"/>
    <w:rsid w:val="00700C1B"/>
    <w:rsid w:val="00701156"/>
    <w:rsid w:val="0070124D"/>
    <w:rsid w:val="0070127B"/>
    <w:rsid w:val="00701449"/>
    <w:rsid w:val="007018DD"/>
    <w:rsid w:val="0070281B"/>
    <w:rsid w:val="00702955"/>
    <w:rsid w:val="00702EC3"/>
    <w:rsid w:val="00703391"/>
    <w:rsid w:val="00703ED3"/>
    <w:rsid w:val="0070472D"/>
    <w:rsid w:val="00704B14"/>
    <w:rsid w:val="00704C03"/>
    <w:rsid w:val="00704DDB"/>
    <w:rsid w:val="00705800"/>
    <w:rsid w:val="00705ED7"/>
    <w:rsid w:val="00705F01"/>
    <w:rsid w:val="00705FD7"/>
    <w:rsid w:val="007072AA"/>
    <w:rsid w:val="007072B3"/>
    <w:rsid w:val="007076E5"/>
    <w:rsid w:val="00707ADF"/>
    <w:rsid w:val="0071127C"/>
    <w:rsid w:val="007113F5"/>
    <w:rsid w:val="007139C7"/>
    <w:rsid w:val="00713EB2"/>
    <w:rsid w:val="0071448F"/>
    <w:rsid w:val="00716187"/>
    <w:rsid w:val="00716625"/>
    <w:rsid w:val="007177C0"/>
    <w:rsid w:val="00717D1B"/>
    <w:rsid w:val="0072047E"/>
    <w:rsid w:val="00720A9E"/>
    <w:rsid w:val="00720FF5"/>
    <w:rsid w:val="00721327"/>
    <w:rsid w:val="0072203E"/>
    <w:rsid w:val="00722532"/>
    <w:rsid w:val="00725D55"/>
    <w:rsid w:val="00726381"/>
    <w:rsid w:val="007268E0"/>
    <w:rsid w:val="0072692A"/>
    <w:rsid w:val="007269D0"/>
    <w:rsid w:val="007270D5"/>
    <w:rsid w:val="00727813"/>
    <w:rsid w:val="00727924"/>
    <w:rsid w:val="00727AC7"/>
    <w:rsid w:val="00730137"/>
    <w:rsid w:val="0073020D"/>
    <w:rsid w:val="00730677"/>
    <w:rsid w:val="007315BF"/>
    <w:rsid w:val="00731D6B"/>
    <w:rsid w:val="00731F8D"/>
    <w:rsid w:val="0073264C"/>
    <w:rsid w:val="007332BC"/>
    <w:rsid w:val="0073395C"/>
    <w:rsid w:val="007339CB"/>
    <w:rsid w:val="00733E95"/>
    <w:rsid w:val="00733E9D"/>
    <w:rsid w:val="00733F55"/>
    <w:rsid w:val="00733F6E"/>
    <w:rsid w:val="00734099"/>
    <w:rsid w:val="00734332"/>
    <w:rsid w:val="00734AB3"/>
    <w:rsid w:val="00734BEC"/>
    <w:rsid w:val="007358D2"/>
    <w:rsid w:val="007359EB"/>
    <w:rsid w:val="00735DD0"/>
    <w:rsid w:val="0073631C"/>
    <w:rsid w:val="00736791"/>
    <w:rsid w:val="00736B26"/>
    <w:rsid w:val="00736FB4"/>
    <w:rsid w:val="00740E20"/>
    <w:rsid w:val="00741458"/>
    <w:rsid w:val="0074145A"/>
    <w:rsid w:val="00741F1E"/>
    <w:rsid w:val="00742F37"/>
    <w:rsid w:val="00744692"/>
    <w:rsid w:val="00744AC2"/>
    <w:rsid w:val="007450E5"/>
    <w:rsid w:val="0074626E"/>
    <w:rsid w:val="007462B1"/>
    <w:rsid w:val="00746A64"/>
    <w:rsid w:val="007477D3"/>
    <w:rsid w:val="00750243"/>
    <w:rsid w:val="007504D7"/>
    <w:rsid w:val="0075147D"/>
    <w:rsid w:val="007515B9"/>
    <w:rsid w:val="00752431"/>
    <w:rsid w:val="0075262F"/>
    <w:rsid w:val="007528B5"/>
    <w:rsid w:val="00752A38"/>
    <w:rsid w:val="0075379E"/>
    <w:rsid w:val="00753E3E"/>
    <w:rsid w:val="00754838"/>
    <w:rsid w:val="0075539B"/>
    <w:rsid w:val="00755B81"/>
    <w:rsid w:val="00756DE1"/>
    <w:rsid w:val="007607B2"/>
    <w:rsid w:val="007612BF"/>
    <w:rsid w:val="00761311"/>
    <w:rsid w:val="00761A34"/>
    <w:rsid w:val="00761FBC"/>
    <w:rsid w:val="00763138"/>
    <w:rsid w:val="00763360"/>
    <w:rsid w:val="0076375D"/>
    <w:rsid w:val="00763E53"/>
    <w:rsid w:val="007646DC"/>
    <w:rsid w:val="007647E0"/>
    <w:rsid w:val="00765517"/>
    <w:rsid w:val="0076692E"/>
    <w:rsid w:val="00766C2B"/>
    <w:rsid w:val="007671B5"/>
    <w:rsid w:val="00770A77"/>
    <w:rsid w:val="00770B88"/>
    <w:rsid w:val="00770C7A"/>
    <w:rsid w:val="00770C95"/>
    <w:rsid w:val="00770DDE"/>
    <w:rsid w:val="007710F7"/>
    <w:rsid w:val="007711F4"/>
    <w:rsid w:val="00771241"/>
    <w:rsid w:val="007714F3"/>
    <w:rsid w:val="00771C87"/>
    <w:rsid w:val="0077298A"/>
    <w:rsid w:val="00772A5F"/>
    <w:rsid w:val="007730A5"/>
    <w:rsid w:val="00773140"/>
    <w:rsid w:val="00774063"/>
    <w:rsid w:val="00774207"/>
    <w:rsid w:val="00774421"/>
    <w:rsid w:val="007759F6"/>
    <w:rsid w:val="00776B8D"/>
    <w:rsid w:val="00777604"/>
    <w:rsid w:val="0077765F"/>
    <w:rsid w:val="00780CEE"/>
    <w:rsid w:val="00781B35"/>
    <w:rsid w:val="00783069"/>
    <w:rsid w:val="00783AAC"/>
    <w:rsid w:val="007840A2"/>
    <w:rsid w:val="0078415E"/>
    <w:rsid w:val="007844C9"/>
    <w:rsid w:val="0078588F"/>
    <w:rsid w:val="00785E52"/>
    <w:rsid w:val="00786449"/>
    <w:rsid w:val="007875AB"/>
    <w:rsid w:val="00790048"/>
    <w:rsid w:val="0079081C"/>
    <w:rsid w:val="007920EE"/>
    <w:rsid w:val="0079230D"/>
    <w:rsid w:val="007923D5"/>
    <w:rsid w:val="0079251A"/>
    <w:rsid w:val="007929FE"/>
    <w:rsid w:val="00793BCE"/>
    <w:rsid w:val="00793E50"/>
    <w:rsid w:val="007945FA"/>
    <w:rsid w:val="00794615"/>
    <w:rsid w:val="00795519"/>
    <w:rsid w:val="007965B0"/>
    <w:rsid w:val="00796D33"/>
    <w:rsid w:val="00796F5B"/>
    <w:rsid w:val="00797169"/>
    <w:rsid w:val="00797352"/>
    <w:rsid w:val="00797508"/>
    <w:rsid w:val="00797972"/>
    <w:rsid w:val="007A042C"/>
    <w:rsid w:val="007A0641"/>
    <w:rsid w:val="007A09A0"/>
    <w:rsid w:val="007A0F54"/>
    <w:rsid w:val="007A2B9D"/>
    <w:rsid w:val="007A3509"/>
    <w:rsid w:val="007A378A"/>
    <w:rsid w:val="007A465F"/>
    <w:rsid w:val="007A53E7"/>
    <w:rsid w:val="007A5879"/>
    <w:rsid w:val="007A59CB"/>
    <w:rsid w:val="007A5AC3"/>
    <w:rsid w:val="007A5BF3"/>
    <w:rsid w:val="007B201E"/>
    <w:rsid w:val="007B27F2"/>
    <w:rsid w:val="007B38CA"/>
    <w:rsid w:val="007B3EE0"/>
    <w:rsid w:val="007B4DE4"/>
    <w:rsid w:val="007B6855"/>
    <w:rsid w:val="007B6C9C"/>
    <w:rsid w:val="007B701A"/>
    <w:rsid w:val="007C0A0A"/>
    <w:rsid w:val="007C0AD1"/>
    <w:rsid w:val="007C0E23"/>
    <w:rsid w:val="007C1583"/>
    <w:rsid w:val="007C2D49"/>
    <w:rsid w:val="007C3046"/>
    <w:rsid w:val="007C40A9"/>
    <w:rsid w:val="007C40B2"/>
    <w:rsid w:val="007C41EA"/>
    <w:rsid w:val="007C46B9"/>
    <w:rsid w:val="007C4C30"/>
    <w:rsid w:val="007C4FEB"/>
    <w:rsid w:val="007C55E7"/>
    <w:rsid w:val="007C5F97"/>
    <w:rsid w:val="007C7D82"/>
    <w:rsid w:val="007D0240"/>
    <w:rsid w:val="007D0254"/>
    <w:rsid w:val="007D0281"/>
    <w:rsid w:val="007D0BF4"/>
    <w:rsid w:val="007D1994"/>
    <w:rsid w:val="007D438E"/>
    <w:rsid w:val="007D44BE"/>
    <w:rsid w:val="007D4EEA"/>
    <w:rsid w:val="007D587E"/>
    <w:rsid w:val="007D5AAE"/>
    <w:rsid w:val="007D5FED"/>
    <w:rsid w:val="007D7347"/>
    <w:rsid w:val="007D7447"/>
    <w:rsid w:val="007D75F7"/>
    <w:rsid w:val="007E01D2"/>
    <w:rsid w:val="007E0BCB"/>
    <w:rsid w:val="007E1420"/>
    <w:rsid w:val="007E324D"/>
    <w:rsid w:val="007E38F4"/>
    <w:rsid w:val="007E4B30"/>
    <w:rsid w:val="007E4D24"/>
    <w:rsid w:val="007E4D3E"/>
    <w:rsid w:val="007E554D"/>
    <w:rsid w:val="007E5C5D"/>
    <w:rsid w:val="007E6242"/>
    <w:rsid w:val="007E689F"/>
    <w:rsid w:val="007E75B8"/>
    <w:rsid w:val="007E78AA"/>
    <w:rsid w:val="007E7DB1"/>
    <w:rsid w:val="007E7E91"/>
    <w:rsid w:val="007F06B8"/>
    <w:rsid w:val="007F101D"/>
    <w:rsid w:val="007F1FED"/>
    <w:rsid w:val="007F28E7"/>
    <w:rsid w:val="007F2A36"/>
    <w:rsid w:val="007F33CC"/>
    <w:rsid w:val="007F3860"/>
    <w:rsid w:val="007F3DA0"/>
    <w:rsid w:val="007F5561"/>
    <w:rsid w:val="007F5B62"/>
    <w:rsid w:val="007F645E"/>
    <w:rsid w:val="007F6643"/>
    <w:rsid w:val="007F67EC"/>
    <w:rsid w:val="007F701A"/>
    <w:rsid w:val="007F7573"/>
    <w:rsid w:val="007F7A0C"/>
    <w:rsid w:val="0080030F"/>
    <w:rsid w:val="008007CD"/>
    <w:rsid w:val="00801061"/>
    <w:rsid w:val="00801362"/>
    <w:rsid w:val="008016BC"/>
    <w:rsid w:val="00801B9F"/>
    <w:rsid w:val="00801BB5"/>
    <w:rsid w:val="0080284E"/>
    <w:rsid w:val="008028DF"/>
    <w:rsid w:val="008037B6"/>
    <w:rsid w:val="0080433F"/>
    <w:rsid w:val="0080577B"/>
    <w:rsid w:val="00805D98"/>
    <w:rsid w:val="00806329"/>
    <w:rsid w:val="008066FC"/>
    <w:rsid w:val="00806AFD"/>
    <w:rsid w:val="0080718E"/>
    <w:rsid w:val="008076E0"/>
    <w:rsid w:val="00810CF5"/>
    <w:rsid w:val="00810EBA"/>
    <w:rsid w:val="00811DF0"/>
    <w:rsid w:val="00812086"/>
    <w:rsid w:val="008126EA"/>
    <w:rsid w:val="008126F2"/>
    <w:rsid w:val="0081549A"/>
    <w:rsid w:val="0081567D"/>
    <w:rsid w:val="008157E9"/>
    <w:rsid w:val="00815EA7"/>
    <w:rsid w:val="008166A0"/>
    <w:rsid w:val="0081698B"/>
    <w:rsid w:val="00816A1F"/>
    <w:rsid w:val="0081778E"/>
    <w:rsid w:val="00817FB4"/>
    <w:rsid w:val="00820879"/>
    <w:rsid w:val="00820D9D"/>
    <w:rsid w:val="00821182"/>
    <w:rsid w:val="00821F1A"/>
    <w:rsid w:val="0082218A"/>
    <w:rsid w:val="008221C8"/>
    <w:rsid w:val="0082318C"/>
    <w:rsid w:val="00823BE7"/>
    <w:rsid w:val="00823CB4"/>
    <w:rsid w:val="00824204"/>
    <w:rsid w:val="00824623"/>
    <w:rsid w:val="00825612"/>
    <w:rsid w:val="00825E9C"/>
    <w:rsid w:val="008265EF"/>
    <w:rsid w:val="00826D99"/>
    <w:rsid w:val="00827020"/>
    <w:rsid w:val="00827720"/>
    <w:rsid w:val="00827945"/>
    <w:rsid w:val="00827D88"/>
    <w:rsid w:val="00830772"/>
    <w:rsid w:val="00830ABC"/>
    <w:rsid w:val="00831B56"/>
    <w:rsid w:val="00831CDB"/>
    <w:rsid w:val="00831F39"/>
    <w:rsid w:val="00831F62"/>
    <w:rsid w:val="00832DBE"/>
    <w:rsid w:val="00833114"/>
    <w:rsid w:val="00833C7F"/>
    <w:rsid w:val="00833DCE"/>
    <w:rsid w:val="00834FAD"/>
    <w:rsid w:val="008359B3"/>
    <w:rsid w:val="008363F6"/>
    <w:rsid w:val="0083642C"/>
    <w:rsid w:val="00836966"/>
    <w:rsid w:val="00837849"/>
    <w:rsid w:val="00837E8B"/>
    <w:rsid w:val="00840863"/>
    <w:rsid w:val="00840998"/>
    <w:rsid w:val="00841383"/>
    <w:rsid w:val="0084151D"/>
    <w:rsid w:val="008440E8"/>
    <w:rsid w:val="008453A1"/>
    <w:rsid w:val="00845B78"/>
    <w:rsid w:val="008467EF"/>
    <w:rsid w:val="00846D4D"/>
    <w:rsid w:val="00850DC8"/>
    <w:rsid w:val="008511D5"/>
    <w:rsid w:val="00851796"/>
    <w:rsid w:val="008518C6"/>
    <w:rsid w:val="00851963"/>
    <w:rsid w:val="008525E0"/>
    <w:rsid w:val="0085283B"/>
    <w:rsid w:val="0085294E"/>
    <w:rsid w:val="00852F58"/>
    <w:rsid w:val="0085332E"/>
    <w:rsid w:val="00853432"/>
    <w:rsid w:val="008536A2"/>
    <w:rsid w:val="008543F1"/>
    <w:rsid w:val="008545EC"/>
    <w:rsid w:val="0085461A"/>
    <w:rsid w:val="00854AE7"/>
    <w:rsid w:val="008568A2"/>
    <w:rsid w:val="0085693A"/>
    <w:rsid w:val="00857219"/>
    <w:rsid w:val="00857A99"/>
    <w:rsid w:val="008606F1"/>
    <w:rsid w:val="0086098F"/>
    <w:rsid w:val="00860C9B"/>
    <w:rsid w:val="0086101B"/>
    <w:rsid w:val="00862ED3"/>
    <w:rsid w:val="00863598"/>
    <w:rsid w:val="0086359E"/>
    <w:rsid w:val="008636BE"/>
    <w:rsid w:val="00863791"/>
    <w:rsid w:val="008641BD"/>
    <w:rsid w:val="00864739"/>
    <w:rsid w:val="00864A34"/>
    <w:rsid w:val="008655E6"/>
    <w:rsid w:val="00865782"/>
    <w:rsid w:val="00865AEB"/>
    <w:rsid w:val="00865D5D"/>
    <w:rsid w:val="0086626F"/>
    <w:rsid w:val="008668D8"/>
    <w:rsid w:val="008672FB"/>
    <w:rsid w:val="00867926"/>
    <w:rsid w:val="0087021D"/>
    <w:rsid w:val="00870264"/>
    <w:rsid w:val="00870816"/>
    <w:rsid w:val="008709F2"/>
    <w:rsid w:val="00870B93"/>
    <w:rsid w:val="00870CDA"/>
    <w:rsid w:val="00871884"/>
    <w:rsid w:val="008726DE"/>
    <w:rsid w:val="00872928"/>
    <w:rsid w:val="00873214"/>
    <w:rsid w:val="00873317"/>
    <w:rsid w:val="008735BC"/>
    <w:rsid w:val="00873BCC"/>
    <w:rsid w:val="00874246"/>
    <w:rsid w:val="008745C1"/>
    <w:rsid w:val="00874FF5"/>
    <w:rsid w:val="0087573F"/>
    <w:rsid w:val="0087576B"/>
    <w:rsid w:val="00876C2F"/>
    <w:rsid w:val="00876C52"/>
    <w:rsid w:val="00877492"/>
    <w:rsid w:val="00877D15"/>
    <w:rsid w:val="00877F6E"/>
    <w:rsid w:val="00880154"/>
    <w:rsid w:val="0088053A"/>
    <w:rsid w:val="0088062D"/>
    <w:rsid w:val="00882038"/>
    <w:rsid w:val="008825E1"/>
    <w:rsid w:val="00883286"/>
    <w:rsid w:val="008834B9"/>
    <w:rsid w:val="0088376A"/>
    <w:rsid w:val="008839AB"/>
    <w:rsid w:val="008839CC"/>
    <w:rsid w:val="00883BCC"/>
    <w:rsid w:val="0088717F"/>
    <w:rsid w:val="00887906"/>
    <w:rsid w:val="008879CC"/>
    <w:rsid w:val="0089147D"/>
    <w:rsid w:val="00892BD7"/>
    <w:rsid w:val="008935C4"/>
    <w:rsid w:val="00893894"/>
    <w:rsid w:val="0089464B"/>
    <w:rsid w:val="008946A7"/>
    <w:rsid w:val="008949A5"/>
    <w:rsid w:val="008959CD"/>
    <w:rsid w:val="00897327"/>
    <w:rsid w:val="0089743D"/>
    <w:rsid w:val="008A1335"/>
    <w:rsid w:val="008A1592"/>
    <w:rsid w:val="008A2DE1"/>
    <w:rsid w:val="008A2DF9"/>
    <w:rsid w:val="008A2E28"/>
    <w:rsid w:val="008A40B3"/>
    <w:rsid w:val="008A443F"/>
    <w:rsid w:val="008A473A"/>
    <w:rsid w:val="008A4C9B"/>
    <w:rsid w:val="008A5008"/>
    <w:rsid w:val="008A6683"/>
    <w:rsid w:val="008A7566"/>
    <w:rsid w:val="008B0255"/>
    <w:rsid w:val="008B0D47"/>
    <w:rsid w:val="008B1777"/>
    <w:rsid w:val="008B1AC4"/>
    <w:rsid w:val="008B2819"/>
    <w:rsid w:val="008B2924"/>
    <w:rsid w:val="008B29AA"/>
    <w:rsid w:val="008B31DE"/>
    <w:rsid w:val="008B3767"/>
    <w:rsid w:val="008B3B7A"/>
    <w:rsid w:val="008B4167"/>
    <w:rsid w:val="008B4741"/>
    <w:rsid w:val="008B48CD"/>
    <w:rsid w:val="008B4A34"/>
    <w:rsid w:val="008B54F3"/>
    <w:rsid w:val="008B55D6"/>
    <w:rsid w:val="008B587C"/>
    <w:rsid w:val="008B7FBD"/>
    <w:rsid w:val="008C089A"/>
    <w:rsid w:val="008C1A45"/>
    <w:rsid w:val="008C2014"/>
    <w:rsid w:val="008C243A"/>
    <w:rsid w:val="008C2511"/>
    <w:rsid w:val="008C4A16"/>
    <w:rsid w:val="008C50D8"/>
    <w:rsid w:val="008C5738"/>
    <w:rsid w:val="008C6D71"/>
    <w:rsid w:val="008C7536"/>
    <w:rsid w:val="008C76A9"/>
    <w:rsid w:val="008C7E53"/>
    <w:rsid w:val="008D13D5"/>
    <w:rsid w:val="008D13E1"/>
    <w:rsid w:val="008D2258"/>
    <w:rsid w:val="008D22F6"/>
    <w:rsid w:val="008D2332"/>
    <w:rsid w:val="008D24D5"/>
    <w:rsid w:val="008D29CC"/>
    <w:rsid w:val="008D2AE5"/>
    <w:rsid w:val="008D324C"/>
    <w:rsid w:val="008D344B"/>
    <w:rsid w:val="008D3BEA"/>
    <w:rsid w:val="008D4262"/>
    <w:rsid w:val="008D468E"/>
    <w:rsid w:val="008D51F3"/>
    <w:rsid w:val="008D5DCC"/>
    <w:rsid w:val="008D6208"/>
    <w:rsid w:val="008D6CA7"/>
    <w:rsid w:val="008D7315"/>
    <w:rsid w:val="008D7F0E"/>
    <w:rsid w:val="008E00DD"/>
    <w:rsid w:val="008E01B2"/>
    <w:rsid w:val="008E021E"/>
    <w:rsid w:val="008E06CE"/>
    <w:rsid w:val="008E1C19"/>
    <w:rsid w:val="008E1D60"/>
    <w:rsid w:val="008E2D5D"/>
    <w:rsid w:val="008E41E3"/>
    <w:rsid w:val="008E5102"/>
    <w:rsid w:val="008E537F"/>
    <w:rsid w:val="008E59EC"/>
    <w:rsid w:val="008E6D87"/>
    <w:rsid w:val="008E72CA"/>
    <w:rsid w:val="008E7521"/>
    <w:rsid w:val="008E7970"/>
    <w:rsid w:val="008E7B82"/>
    <w:rsid w:val="008E7E1A"/>
    <w:rsid w:val="008F03B9"/>
    <w:rsid w:val="008F14E4"/>
    <w:rsid w:val="008F2308"/>
    <w:rsid w:val="008F259F"/>
    <w:rsid w:val="008F26F6"/>
    <w:rsid w:val="008F2D8D"/>
    <w:rsid w:val="008F2E30"/>
    <w:rsid w:val="008F3652"/>
    <w:rsid w:val="008F3D24"/>
    <w:rsid w:val="008F42D5"/>
    <w:rsid w:val="008F4732"/>
    <w:rsid w:val="008F5439"/>
    <w:rsid w:val="008F55B7"/>
    <w:rsid w:val="008F5EE3"/>
    <w:rsid w:val="008F6752"/>
    <w:rsid w:val="008F67AB"/>
    <w:rsid w:val="008F7040"/>
    <w:rsid w:val="008F715D"/>
    <w:rsid w:val="008F7227"/>
    <w:rsid w:val="008F7AE3"/>
    <w:rsid w:val="00900153"/>
    <w:rsid w:val="009004DB"/>
    <w:rsid w:val="00900848"/>
    <w:rsid w:val="00900F86"/>
    <w:rsid w:val="00901498"/>
    <w:rsid w:val="0090229C"/>
    <w:rsid w:val="009025C9"/>
    <w:rsid w:val="00903E1B"/>
    <w:rsid w:val="00904338"/>
    <w:rsid w:val="0090494B"/>
    <w:rsid w:val="009053DA"/>
    <w:rsid w:val="009054CF"/>
    <w:rsid w:val="009054D0"/>
    <w:rsid w:val="009068A6"/>
    <w:rsid w:val="009068AD"/>
    <w:rsid w:val="00906AD7"/>
    <w:rsid w:val="00907C0F"/>
    <w:rsid w:val="00907EE6"/>
    <w:rsid w:val="0091008C"/>
    <w:rsid w:val="0091024F"/>
    <w:rsid w:val="009109BD"/>
    <w:rsid w:val="00910B95"/>
    <w:rsid w:val="00910FC0"/>
    <w:rsid w:val="009127CE"/>
    <w:rsid w:val="00913321"/>
    <w:rsid w:val="00913688"/>
    <w:rsid w:val="0091424D"/>
    <w:rsid w:val="00914971"/>
    <w:rsid w:val="00914C42"/>
    <w:rsid w:val="009155F2"/>
    <w:rsid w:val="00915615"/>
    <w:rsid w:val="00915980"/>
    <w:rsid w:val="00915CF6"/>
    <w:rsid w:val="009165F2"/>
    <w:rsid w:val="00916E9F"/>
    <w:rsid w:val="00917BF9"/>
    <w:rsid w:val="00917E39"/>
    <w:rsid w:val="00920095"/>
    <w:rsid w:val="009205FF"/>
    <w:rsid w:val="00920930"/>
    <w:rsid w:val="00920B1F"/>
    <w:rsid w:val="00920C9E"/>
    <w:rsid w:val="009210ED"/>
    <w:rsid w:val="00921A40"/>
    <w:rsid w:val="00921EEB"/>
    <w:rsid w:val="00922430"/>
    <w:rsid w:val="00922805"/>
    <w:rsid w:val="0092316D"/>
    <w:rsid w:val="00923232"/>
    <w:rsid w:val="009236DF"/>
    <w:rsid w:val="00923983"/>
    <w:rsid w:val="00924623"/>
    <w:rsid w:val="00925659"/>
    <w:rsid w:val="00925A2B"/>
    <w:rsid w:val="00925F89"/>
    <w:rsid w:val="0092611C"/>
    <w:rsid w:val="00926546"/>
    <w:rsid w:val="00926891"/>
    <w:rsid w:val="00926ABC"/>
    <w:rsid w:val="00926C6F"/>
    <w:rsid w:val="00927871"/>
    <w:rsid w:val="00930B2F"/>
    <w:rsid w:val="00930BCA"/>
    <w:rsid w:val="00931A9D"/>
    <w:rsid w:val="00931E78"/>
    <w:rsid w:val="00931EA5"/>
    <w:rsid w:val="00931EE8"/>
    <w:rsid w:val="009324CA"/>
    <w:rsid w:val="00933126"/>
    <w:rsid w:val="009338E9"/>
    <w:rsid w:val="00933BEA"/>
    <w:rsid w:val="009352BA"/>
    <w:rsid w:val="00935343"/>
    <w:rsid w:val="00935742"/>
    <w:rsid w:val="00935D2C"/>
    <w:rsid w:val="00935D93"/>
    <w:rsid w:val="009371DC"/>
    <w:rsid w:val="00937564"/>
    <w:rsid w:val="00937E25"/>
    <w:rsid w:val="00940048"/>
    <w:rsid w:val="00943140"/>
    <w:rsid w:val="00943BAF"/>
    <w:rsid w:val="00944DAF"/>
    <w:rsid w:val="009450BF"/>
    <w:rsid w:val="009453AE"/>
    <w:rsid w:val="00945994"/>
    <w:rsid w:val="00945FAD"/>
    <w:rsid w:val="00946E89"/>
    <w:rsid w:val="0095059E"/>
    <w:rsid w:val="009506C1"/>
    <w:rsid w:val="009508A1"/>
    <w:rsid w:val="00950A45"/>
    <w:rsid w:val="00951947"/>
    <w:rsid w:val="00952878"/>
    <w:rsid w:val="009528EA"/>
    <w:rsid w:val="009533BE"/>
    <w:rsid w:val="009534FD"/>
    <w:rsid w:val="00953689"/>
    <w:rsid w:val="009536C3"/>
    <w:rsid w:val="00953CAF"/>
    <w:rsid w:val="00953CC1"/>
    <w:rsid w:val="00954713"/>
    <w:rsid w:val="009549C6"/>
    <w:rsid w:val="0095518C"/>
    <w:rsid w:val="00955431"/>
    <w:rsid w:val="00955C09"/>
    <w:rsid w:val="00956534"/>
    <w:rsid w:val="009566D2"/>
    <w:rsid w:val="00956879"/>
    <w:rsid w:val="00956BE7"/>
    <w:rsid w:val="00956C69"/>
    <w:rsid w:val="009575AC"/>
    <w:rsid w:val="00957E24"/>
    <w:rsid w:val="0096087A"/>
    <w:rsid w:val="0096237B"/>
    <w:rsid w:val="00962448"/>
    <w:rsid w:val="00962919"/>
    <w:rsid w:val="00964B97"/>
    <w:rsid w:val="00965279"/>
    <w:rsid w:val="0096570D"/>
    <w:rsid w:val="0096622E"/>
    <w:rsid w:val="00966DF8"/>
    <w:rsid w:val="00966ECA"/>
    <w:rsid w:val="00967732"/>
    <w:rsid w:val="009677FA"/>
    <w:rsid w:val="00967D9E"/>
    <w:rsid w:val="00967F55"/>
    <w:rsid w:val="00967F8D"/>
    <w:rsid w:val="00970444"/>
    <w:rsid w:val="0097046D"/>
    <w:rsid w:val="00970CCD"/>
    <w:rsid w:val="0097101A"/>
    <w:rsid w:val="00974228"/>
    <w:rsid w:val="009748D8"/>
    <w:rsid w:val="00974B56"/>
    <w:rsid w:val="00974C09"/>
    <w:rsid w:val="0097548E"/>
    <w:rsid w:val="00975E32"/>
    <w:rsid w:val="00976136"/>
    <w:rsid w:val="009766BE"/>
    <w:rsid w:val="0097684A"/>
    <w:rsid w:val="0097719A"/>
    <w:rsid w:val="009800AB"/>
    <w:rsid w:val="0098065F"/>
    <w:rsid w:val="00980AE6"/>
    <w:rsid w:val="00980D8D"/>
    <w:rsid w:val="00981107"/>
    <w:rsid w:val="00981552"/>
    <w:rsid w:val="009822FE"/>
    <w:rsid w:val="00982599"/>
    <w:rsid w:val="00984481"/>
    <w:rsid w:val="00986295"/>
    <w:rsid w:val="009869AD"/>
    <w:rsid w:val="00986CAF"/>
    <w:rsid w:val="009870B8"/>
    <w:rsid w:val="0098766D"/>
    <w:rsid w:val="00987FF3"/>
    <w:rsid w:val="00990DD0"/>
    <w:rsid w:val="00990F83"/>
    <w:rsid w:val="0099283E"/>
    <w:rsid w:val="009948AB"/>
    <w:rsid w:val="00994C21"/>
    <w:rsid w:val="00994D6D"/>
    <w:rsid w:val="00995681"/>
    <w:rsid w:val="00996475"/>
    <w:rsid w:val="00996C33"/>
    <w:rsid w:val="009977DD"/>
    <w:rsid w:val="009A09E7"/>
    <w:rsid w:val="009A0B40"/>
    <w:rsid w:val="009A0C58"/>
    <w:rsid w:val="009A0D58"/>
    <w:rsid w:val="009A1101"/>
    <w:rsid w:val="009A1853"/>
    <w:rsid w:val="009A3894"/>
    <w:rsid w:val="009A4338"/>
    <w:rsid w:val="009A4B8C"/>
    <w:rsid w:val="009A5CE4"/>
    <w:rsid w:val="009A5DA6"/>
    <w:rsid w:val="009A5FB3"/>
    <w:rsid w:val="009A7304"/>
    <w:rsid w:val="009A7A2B"/>
    <w:rsid w:val="009A7B76"/>
    <w:rsid w:val="009A7E3B"/>
    <w:rsid w:val="009B1616"/>
    <w:rsid w:val="009B21A7"/>
    <w:rsid w:val="009B2521"/>
    <w:rsid w:val="009B3443"/>
    <w:rsid w:val="009B381E"/>
    <w:rsid w:val="009B3F56"/>
    <w:rsid w:val="009B41CA"/>
    <w:rsid w:val="009B444F"/>
    <w:rsid w:val="009B4907"/>
    <w:rsid w:val="009B5210"/>
    <w:rsid w:val="009B54BC"/>
    <w:rsid w:val="009B58E9"/>
    <w:rsid w:val="009B5934"/>
    <w:rsid w:val="009B59DC"/>
    <w:rsid w:val="009B5EEE"/>
    <w:rsid w:val="009B65E6"/>
    <w:rsid w:val="009B6B4D"/>
    <w:rsid w:val="009B7010"/>
    <w:rsid w:val="009B7762"/>
    <w:rsid w:val="009C00F6"/>
    <w:rsid w:val="009C0DD5"/>
    <w:rsid w:val="009C0DEC"/>
    <w:rsid w:val="009C12CD"/>
    <w:rsid w:val="009C14A0"/>
    <w:rsid w:val="009C17B5"/>
    <w:rsid w:val="009C1F0C"/>
    <w:rsid w:val="009C1F33"/>
    <w:rsid w:val="009C279C"/>
    <w:rsid w:val="009C27B4"/>
    <w:rsid w:val="009C2878"/>
    <w:rsid w:val="009C425B"/>
    <w:rsid w:val="009C4776"/>
    <w:rsid w:val="009C5074"/>
    <w:rsid w:val="009C5382"/>
    <w:rsid w:val="009C6051"/>
    <w:rsid w:val="009C6917"/>
    <w:rsid w:val="009C6C64"/>
    <w:rsid w:val="009C700E"/>
    <w:rsid w:val="009C717F"/>
    <w:rsid w:val="009C76BA"/>
    <w:rsid w:val="009D017B"/>
    <w:rsid w:val="009D0251"/>
    <w:rsid w:val="009D0290"/>
    <w:rsid w:val="009D047C"/>
    <w:rsid w:val="009D0EB3"/>
    <w:rsid w:val="009D14CB"/>
    <w:rsid w:val="009D25C5"/>
    <w:rsid w:val="009D3568"/>
    <w:rsid w:val="009D37C9"/>
    <w:rsid w:val="009D39E9"/>
    <w:rsid w:val="009D3D95"/>
    <w:rsid w:val="009D4A9A"/>
    <w:rsid w:val="009D5E71"/>
    <w:rsid w:val="009D6D17"/>
    <w:rsid w:val="009D7ACF"/>
    <w:rsid w:val="009D7FA6"/>
    <w:rsid w:val="009E006E"/>
    <w:rsid w:val="009E02EC"/>
    <w:rsid w:val="009E0584"/>
    <w:rsid w:val="009E0665"/>
    <w:rsid w:val="009E06AB"/>
    <w:rsid w:val="009E0FD5"/>
    <w:rsid w:val="009E11C7"/>
    <w:rsid w:val="009E155A"/>
    <w:rsid w:val="009E1C42"/>
    <w:rsid w:val="009E2723"/>
    <w:rsid w:val="009E28B7"/>
    <w:rsid w:val="009E29A0"/>
    <w:rsid w:val="009E2EB5"/>
    <w:rsid w:val="009E30EC"/>
    <w:rsid w:val="009E32A3"/>
    <w:rsid w:val="009E3D09"/>
    <w:rsid w:val="009E4155"/>
    <w:rsid w:val="009E45EA"/>
    <w:rsid w:val="009E49C6"/>
    <w:rsid w:val="009E4D23"/>
    <w:rsid w:val="009E4FC2"/>
    <w:rsid w:val="009E56C1"/>
    <w:rsid w:val="009E5A72"/>
    <w:rsid w:val="009E5E9B"/>
    <w:rsid w:val="009E633E"/>
    <w:rsid w:val="009E63AA"/>
    <w:rsid w:val="009E644A"/>
    <w:rsid w:val="009E6B6B"/>
    <w:rsid w:val="009E78AD"/>
    <w:rsid w:val="009E7E59"/>
    <w:rsid w:val="009F0ED5"/>
    <w:rsid w:val="009F15EE"/>
    <w:rsid w:val="009F162F"/>
    <w:rsid w:val="009F165E"/>
    <w:rsid w:val="009F1721"/>
    <w:rsid w:val="009F2FFB"/>
    <w:rsid w:val="009F36E3"/>
    <w:rsid w:val="009F3BA7"/>
    <w:rsid w:val="009F4D64"/>
    <w:rsid w:val="009F7CCE"/>
    <w:rsid w:val="009F7FD3"/>
    <w:rsid w:val="00A00351"/>
    <w:rsid w:val="00A00B8A"/>
    <w:rsid w:val="00A00D07"/>
    <w:rsid w:val="00A0188C"/>
    <w:rsid w:val="00A01AB0"/>
    <w:rsid w:val="00A02012"/>
    <w:rsid w:val="00A02D46"/>
    <w:rsid w:val="00A042BB"/>
    <w:rsid w:val="00A04A48"/>
    <w:rsid w:val="00A04C8D"/>
    <w:rsid w:val="00A058A7"/>
    <w:rsid w:val="00A05A71"/>
    <w:rsid w:val="00A05B07"/>
    <w:rsid w:val="00A05B8B"/>
    <w:rsid w:val="00A0620E"/>
    <w:rsid w:val="00A067EA"/>
    <w:rsid w:val="00A07041"/>
    <w:rsid w:val="00A07F46"/>
    <w:rsid w:val="00A1058B"/>
    <w:rsid w:val="00A105B7"/>
    <w:rsid w:val="00A12279"/>
    <w:rsid w:val="00A12875"/>
    <w:rsid w:val="00A128BF"/>
    <w:rsid w:val="00A14372"/>
    <w:rsid w:val="00A15A97"/>
    <w:rsid w:val="00A16086"/>
    <w:rsid w:val="00A160A5"/>
    <w:rsid w:val="00A1735E"/>
    <w:rsid w:val="00A1796E"/>
    <w:rsid w:val="00A206EA"/>
    <w:rsid w:val="00A20B44"/>
    <w:rsid w:val="00A20C3F"/>
    <w:rsid w:val="00A20E25"/>
    <w:rsid w:val="00A21F06"/>
    <w:rsid w:val="00A22051"/>
    <w:rsid w:val="00A224E6"/>
    <w:rsid w:val="00A227B6"/>
    <w:rsid w:val="00A23111"/>
    <w:rsid w:val="00A240AD"/>
    <w:rsid w:val="00A24114"/>
    <w:rsid w:val="00A24BD2"/>
    <w:rsid w:val="00A24EC9"/>
    <w:rsid w:val="00A259BB"/>
    <w:rsid w:val="00A25D72"/>
    <w:rsid w:val="00A26319"/>
    <w:rsid w:val="00A2641F"/>
    <w:rsid w:val="00A26525"/>
    <w:rsid w:val="00A26BDE"/>
    <w:rsid w:val="00A30BF6"/>
    <w:rsid w:val="00A31208"/>
    <w:rsid w:val="00A330A5"/>
    <w:rsid w:val="00A338A8"/>
    <w:rsid w:val="00A343F7"/>
    <w:rsid w:val="00A345CD"/>
    <w:rsid w:val="00A3597C"/>
    <w:rsid w:val="00A36D91"/>
    <w:rsid w:val="00A36D9C"/>
    <w:rsid w:val="00A372F1"/>
    <w:rsid w:val="00A37625"/>
    <w:rsid w:val="00A40BD1"/>
    <w:rsid w:val="00A40CE3"/>
    <w:rsid w:val="00A41336"/>
    <w:rsid w:val="00A41C3A"/>
    <w:rsid w:val="00A42DCE"/>
    <w:rsid w:val="00A42F57"/>
    <w:rsid w:val="00A43381"/>
    <w:rsid w:val="00A43A35"/>
    <w:rsid w:val="00A43EBA"/>
    <w:rsid w:val="00A4427C"/>
    <w:rsid w:val="00A453EB"/>
    <w:rsid w:val="00A45E27"/>
    <w:rsid w:val="00A46891"/>
    <w:rsid w:val="00A46EF5"/>
    <w:rsid w:val="00A50070"/>
    <w:rsid w:val="00A50975"/>
    <w:rsid w:val="00A50A93"/>
    <w:rsid w:val="00A50DAD"/>
    <w:rsid w:val="00A51285"/>
    <w:rsid w:val="00A512B4"/>
    <w:rsid w:val="00A51733"/>
    <w:rsid w:val="00A518F8"/>
    <w:rsid w:val="00A525CF"/>
    <w:rsid w:val="00A525D1"/>
    <w:rsid w:val="00A52E85"/>
    <w:rsid w:val="00A53CF0"/>
    <w:rsid w:val="00A53EC1"/>
    <w:rsid w:val="00A5404E"/>
    <w:rsid w:val="00A54649"/>
    <w:rsid w:val="00A548E6"/>
    <w:rsid w:val="00A548F4"/>
    <w:rsid w:val="00A559D9"/>
    <w:rsid w:val="00A55C84"/>
    <w:rsid w:val="00A55D3B"/>
    <w:rsid w:val="00A56ACA"/>
    <w:rsid w:val="00A607B7"/>
    <w:rsid w:val="00A60C2C"/>
    <w:rsid w:val="00A60C72"/>
    <w:rsid w:val="00A60CCE"/>
    <w:rsid w:val="00A61001"/>
    <w:rsid w:val="00A618F5"/>
    <w:rsid w:val="00A61A79"/>
    <w:rsid w:val="00A61BE4"/>
    <w:rsid w:val="00A62290"/>
    <w:rsid w:val="00A6238E"/>
    <w:rsid w:val="00A626EB"/>
    <w:rsid w:val="00A62D92"/>
    <w:rsid w:val="00A63CA5"/>
    <w:rsid w:val="00A64559"/>
    <w:rsid w:val="00A649AA"/>
    <w:rsid w:val="00A64C97"/>
    <w:rsid w:val="00A650BF"/>
    <w:rsid w:val="00A65B58"/>
    <w:rsid w:val="00A66223"/>
    <w:rsid w:val="00A66595"/>
    <w:rsid w:val="00A67042"/>
    <w:rsid w:val="00A6781F"/>
    <w:rsid w:val="00A67BA7"/>
    <w:rsid w:val="00A67E4D"/>
    <w:rsid w:val="00A67F82"/>
    <w:rsid w:val="00A7015F"/>
    <w:rsid w:val="00A704A9"/>
    <w:rsid w:val="00A71ED2"/>
    <w:rsid w:val="00A72182"/>
    <w:rsid w:val="00A72222"/>
    <w:rsid w:val="00A725A5"/>
    <w:rsid w:val="00A72D73"/>
    <w:rsid w:val="00A72F1A"/>
    <w:rsid w:val="00A736CD"/>
    <w:rsid w:val="00A7477A"/>
    <w:rsid w:val="00A74BAB"/>
    <w:rsid w:val="00A74CC6"/>
    <w:rsid w:val="00A769B8"/>
    <w:rsid w:val="00A76B65"/>
    <w:rsid w:val="00A77145"/>
    <w:rsid w:val="00A77A2B"/>
    <w:rsid w:val="00A803C4"/>
    <w:rsid w:val="00A81072"/>
    <w:rsid w:val="00A817C6"/>
    <w:rsid w:val="00A81F90"/>
    <w:rsid w:val="00A82976"/>
    <w:rsid w:val="00A82A31"/>
    <w:rsid w:val="00A82F8F"/>
    <w:rsid w:val="00A84983"/>
    <w:rsid w:val="00A84AB8"/>
    <w:rsid w:val="00A84DFC"/>
    <w:rsid w:val="00A85602"/>
    <w:rsid w:val="00A86605"/>
    <w:rsid w:val="00A869EE"/>
    <w:rsid w:val="00A87FCE"/>
    <w:rsid w:val="00A90ADB"/>
    <w:rsid w:val="00A90E8E"/>
    <w:rsid w:val="00A9154D"/>
    <w:rsid w:val="00A916C0"/>
    <w:rsid w:val="00A916C9"/>
    <w:rsid w:val="00A9193F"/>
    <w:rsid w:val="00A92662"/>
    <w:rsid w:val="00A929B2"/>
    <w:rsid w:val="00A93F92"/>
    <w:rsid w:val="00A94D82"/>
    <w:rsid w:val="00A95BE4"/>
    <w:rsid w:val="00A972A3"/>
    <w:rsid w:val="00AA081B"/>
    <w:rsid w:val="00AA1517"/>
    <w:rsid w:val="00AA1B4D"/>
    <w:rsid w:val="00AA1EB3"/>
    <w:rsid w:val="00AA31F8"/>
    <w:rsid w:val="00AA338A"/>
    <w:rsid w:val="00AA366C"/>
    <w:rsid w:val="00AA3B4E"/>
    <w:rsid w:val="00AA3F4F"/>
    <w:rsid w:val="00AA439A"/>
    <w:rsid w:val="00AA5357"/>
    <w:rsid w:val="00AA5633"/>
    <w:rsid w:val="00AA622B"/>
    <w:rsid w:val="00AA670D"/>
    <w:rsid w:val="00AA6B21"/>
    <w:rsid w:val="00AA6F37"/>
    <w:rsid w:val="00AB01DC"/>
    <w:rsid w:val="00AB0427"/>
    <w:rsid w:val="00AB0AC1"/>
    <w:rsid w:val="00AB160B"/>
    <w:rsid w:val="00AB212B"/>
    <w:rsid w:val="00AB2718"/>
    <w:rsid w:val="00AB3D94"/>
    <w:rsid w:val="00AB4102"/>
    <w:rsid w:val="00AB4330"/>
    <w:rsid w:val="00AB5815"/>
    <w:rsid w:val="00AB58D0"/>
    <w:rsid w:val="00AB652F"/>
    <w:rsid w:val="00AB77D1"/>
    <w:rsid w:val="00AC0339"/>
    <w:rsid w:val="00AC10B8"/>
    <w:rsid w:val="00AC3544"/>
    <w:rsid w:val="00AC3DF2"/>
    <w:rsid w:val="00AC4D22"/>
    <w:rsid w:val="00AC6838"/>
    <w:rsid w:val="00AC7C54"/>
    <w:rsid w:val="00AD0E6A"/>
    <w:rsid w:val="00AD0EB9"/>
    <w:rsid w:val="00AD1990"/>
    <w:rsid w:val="00AD1BA5"/>
    <w:rsid w:val="00AD25BD"/>
    <w:rsid w:val="00AD28CB"/>
    <w:rsid w:val="00AD2ED8"/>
    <w:rsid w:val="00AD3325"/>
    <w:rsid w:val="00AD4145"/>
    <w:rsid w:val="00AD4155"/>
    <w:rsid w:val="00AD449C"/>
    <w:rsid w:val="00AD4B70"/>
    <w:rsid w:val="00AD4EC1"/>
    <w:rsid w:val="00AD515D"/>
    <w:rsid w:val="00AD5548"/>
    <w:rsid w:val="00AD5929"/>
    <w:rsid w:val="00AD5E2D"/>
    <w:rsid w:val="00AD6471"/>
    <w:rsid w:val="00AD7B92"/>
    <w:rsid w:val="00AE07FB"/>
    <w:rsid w:val="00AE149E"/>
    <w:rsid w:val="00AE1720"/>
    <w:rsid w:val="00AE182B"/>
    <w:rsid w:val="00AE19F4"/>
    <w:rsid w:val="00AE1B1C"/>
    <w:rsid w:val="00AE1D19"/>
    <w:rsid w:val="00AE2655"/>
    <w:rsid w:val="00AE3043"/>
    <w:rsid w:val="00AE458B"/>
    <w:rsid w:val="00AE4654"/>
    <w:rsid w:val="00AE4E43"/>
    <w:rsid w:val="00AE6452"/>
    <w:rsid w:val="00AE6507"/>
    <w:rsid w:val="00AE66D2"/>
    <w:rsid w:val="00AE69D9"/>
    <w:rsid w:val="00AF073C"/>
    <w:rsid w:val="00AF0B73"/>
    <w:rsid w:val="00AF0D53"/>
    <w:rsid w:val="00AF1252"/>
    <w:rsid w:val="00AF1CDA"/>
    <w:rsid w:val="00AF1EBE"/>
    <w:rsid w:val="00AF3612"/>
    <w:rsid w:val="00AF3A39"/>
    <w:rsid w:val="00AF3D57"/>
    <w:rsid w:val="00AF414F"/>
    <w:rsid w:val="00AF420B"/>
    <w:rsid w:val="00AF522F"/>
    <w:rsid w:val="00AF6C9D"/>
    <w:rsid w:val="00AF70C9"/>
    <w:rsid w:val="00B00507"/>
    <w:rsid w:val="00B0292E"/>
    <w:rsid w:val="00B02A39"/>
    <w:rsid w:val="00B04D4B"/>
    <w:rsid w:val="00B05046"/>
    <w:rsid w:val="00B0584E"/>
    <w:rsid w:val="00B065D7"/>
    <w:rsid w:val="00B067BA"/>
    <w:rsid w:val="00B06A98"/>
    <w:rsid w:val="00B11574"/>
    <w:rsid w:val="00B11658"/>
    <w:rsid w:val="00B118BF"/>
    <w:rsid w:val="00B12373"/>
    <w:rsid w:val="00B13F0B"/>
    <w:rsid w:val="00B14DDE"/>
    <w:rsid w:val="00B14E1B"/>
    <w:rsid w:val="00B15924"/>
    <w:rsid w:val="00B21501"/>
    <w:rsid w:val="00B21871"/>
    <w:rsid w:val="00B23189"/>
    <w:rsid w:val="00B2342D"/>
    <w:rsid w:val="00B23EDF"/>
    <w:rsid w:val="00B24476"/>
    <w:rsid w:val="00B25505"/>
    <w:rsid w:val="00B25581"/>
    <w:rsid w:val="00B255B4"/>
    <w:rsid w:val="00B2641D"/>
    <w:rsid w:val="00B2674A"/>
    <w:rsid w:val="00B27294"/>
    <w:rsid w:val="00B274C4"/>
    <w:rsid w:val="00B27EB5"/>
    <w:rsid w:val="00B30134"/>
    <w:rsid w:val="00B30413"/>
    <w:rsid w:val="00B309C5"/>
    <w:rsid w:val="00B32C43"/>
    <w:rsid w:val="00B3308A"/>
    <w:rsid w:val="00B33099"/>
    <w:rsid w:val="00B337ED"/>
    <w:rsid w:val="00B34466"/>
    <w:rsid w:val="00B35335"/>
    <w:rsid w:val="00B358AD"/>
    <w:rsid w:val="00B35B0E"/>
    <w:rsid w:val="00B35E16"/>
    <w:rsid w:val="00B3627D"/>
    <w:rsid w:val="00B4001E"/>
    <w:rsid w:val="00B4021D"/>
    <w:rsid w:val="00B40B96"/>
    <w:rsid w:val="00B40BEC"/>
    <w:rsid w:val="00B41998"/>
    <w:rsid w:val="00B42648"/>
    <w:rsid w:val="00B43531"/>
    <w:rsid w:val="00B449B5"/>
    <w:rsid w:val="00B45615"/>
    <w:rsid w:val="00B45F84"/>
    <w:rsid w:val="00B460BD"/>
    <w:rsid w:val="00B46A97"/>
    <w:rsid w:val="00B4720C"/>
    <w:rsid w:val="00B47677"/>
    <w:rsid w:val="00B500CC"/>
    <w:rsid w:val="00B501AB"/>
    <w:rsid w:val="00B505BC"/>
    <w:rsid w:val="00B50F55"/>
    <w:rsid w:val="00B51D2D"/>
    <w:rsid w:val="00B52014"/>
    <w:rsid w:val="00B52080"/>
    <w:rsid w:val="00B52193"/>
    <w:rsid w:val="00B52B33"/>
    <w:rsid w:val="00B5311F"/>
    <w:rsid w:val="00B54F3B"/>
    <w:rsid w:val="00B560C3"/>
    <w:rsid w:val="00B5709B"/>
    <w:rsid w:val="00B6039E"/>
    <w:rsid w:val="00B603BD"/>
    <w:rsid w:val="00B603E1"/>
    <w:rsid w:val="00B607A7"/>
    <w:rsid w:val="00B60CD1"/>
    <w:rsid w:val="00B60E90"/>
    <w:rsid w:val="00B61043"/>
    <w:rsid w:val="00B6171F"/>
    <w:rsid w:val="00B61CB5"/>
    <w:rsid w:val="00B61E25"/>
    <w:rsid w:val="00B62C44"/>
    <w:rsid w:val="00B63389"/>
    <w:rsid w:val="00B63F81"/>
    <w:rsid w:val="00B64383"/>
    <w:rsid w:val="00B64F6A"/>
    <w:rsid w:val="00B6508F"/>
    <w:rsid w:val="00B6555E"/>
    <w:rsid w:val="00B65B63"/>
    <w:rsid w:val="00B65FD2"/>
    <w:rsid w:val="00B67035"/>
    <w:rsid w:val="00B67E92"/>
    <w:rsid w:val="00B700FA"/>
    <w:rsid w:val="00B70324"/>
    <w:rsid w:val="00B71A5E"/>
    <w:rsid w:val="00B71A6C"/>
    <w:rsid w:val="00B71E14"/>
    <w:rsid w:val="00B71E8F"/>
    <w:rsid w:val="00B72B53"/>
    <w:rsid w:val="00B7314D"/>
    <w:rsid w:val="00B73566"/>
    <w:rsid w:val="00B73701"/>
    <w:rsid w:val="00B73D30"/>
    <w:rsid w:val="00B74459"/>
    <w:rsid w:val="00B74A4D"/>
    <w:rsid w:val="00B75358"/>
    <w:rsid w:val="00B75AAC"/>
    <w:rsid w:val="00B80DCD"/>
    <w:rsid w:val="00B812E8"/>
    <w:rsid w:val="00B81573"/>
    <w:rsid w:val="00B81FF6"/>
    <w:rsid w:val="00B82415"/>
    <w:rsid w:val="00B83884"/>
    <w:rsid w:val="00B847A6"/>
    <w:rsid w:val="00B8543B"/>
    <w:rsid w:val="00B8565D"/>
    <w:rsid w:val="00B8651E"/>
    <w:rsid w:val="00B90116"/>
    <w:rsid w:val="00B90601"/>
    <w:rsid w:val="00B929F3"/>
    <w:rsid w:val="00B92CEC"/>
    <w:rsid w:val="00B92D0F"/>
    <w:rsid w:val="00B92EB4"/>
    <w:rsid w:val="00B934B0"/>
    <w:rsid w:val="00B94104"/>
    <w:rsid w:val="00B94CBE"/>
    <w:rsid w:val="00B94E60"/>
    <w:rsid w:val="00B95939"/>
    <w:rsid w:val="00B95A5A"/>
    <w:rsid w:val="00B95B94"/>
    <w:rsid w:val="00B96532"/>
    <w:rsid w:val="00BA159A"/>
    <w:rsid w:val="00BA1E02"/>
    <w:rsid w:val="00BA38FA"/>
    <w:rsid w:val="00BA46CF"/>
    <w:rsid w:val="00BA5ECB"/>
    <w:rsid w:val="00BA63A9"/>
    <w:rsid w:val="00BA6C36"/>
    <w:rsid w:val="00BB0545"/>
    <w:rsid w:val="00BB1B4C"/>
    <w:rsid w:val="00BB1DCF"/>
    <w:rsid w:val="00BB2440"/>
    <w:rsid w:val="00BB2F2F"/>
    <w:rsid w:val="00BB2F4E"/>
    <w:rsid w:val="00BB3399"/>
    <w:rsid w:val="00BB35C3"/>
    <w:rsid w:val="00BB371F"/>
    <w:rsid w:val="00BB3C0D"/>
    <w:rsid w:val="00BB4A41"/>
    <w:rsid w:val="00BB4FA3"/>
    <w:rsid w:val="00BB64AE"/>
    <w:rsid w:val="00BB6E69"/>
    <w:rsid w:val="00BB7474"/>
    <w:rsid w:val="00BC04DF"/>
    <w:rsid w:val="00BC0D9F"/>
    <w:rsid w:val="00BC1C3E"/>
    <w:rsid w:val="00BC201F"/>
    <w:rsid w:val="00BC21F5"/>
    <w:rsid w:val="00BC28A7"/>
    <w:rsid w:val="00BC32BF"/>
    <w:rsid w:val="00BC369E"/>
    <w:rsid w:val="00BC3E86"/>
    <w:rsid w:val="00BC452E"/>
    <w:rsid w:val="00BC47FE"/>
    <w:rsid w:val="00BC492B"/>
    <w:rsid w:val="00BC5CEE"/>
    <w:rsid w:val="00BC6200"/>
    <w:rsid w:val="00BC64AD"/>
    <w:rsid w:val="00BC7535"/>
    <w:rsid w:val="00BC778D"/>
    <w:rsid w:val="00BD0501"/>
    <w:rsid w:val="00BD0A4A"/>
    <w:rsid w:val="00BD1946"/>
    <w:rsid w:val="00BD1B24"/>
    <w:rsid w:val="00BD358A"/>
    <w:rsid w:val="00BD38B5"/>
    <w:rsid w:val="00BD43F6"/>
    <w:rsid w:val="00BD5AF1"/>
    <w:rsid w:val="00BD60F4"/>
    <w:rsid w:val="00BD6626"/>
    <w:rsid w:val="00BD679F"/>
    <w:rsid w:val="00BD71C9"/>
    <w:rsid w:val="00BD798E"/>
    <w:rsid w:val="00BE06D6"/>
    <w:rsid w:val="00BE0BA8"/>
    <w:rsid w:val="00BE0E59"/>
    <w:rsid w:val="00BE1805"/>
    <w:rsid w:val="00BE2C24"/>
    <w:rsid w:val="00BE34BD"/>
    <w:rsid w:val="00BE34C5"/>
    <w:rsid w:val="00BE3A93"/>
    <w:rsid w:val="00BE3D56"/>
    <w:rsid w:val="00BE4314"/>
    <w:rsid w:val="00BE5FA7"/>
    <w:rsid w:val="00BE6A5D"/>
    <w:rsid w:val="00BE7F80"/>
    <w:rsid w:val="00BF01EE"/>
    <w:rsid w:val="00BF0C69"/>
    <w:rsid w:val="00BF1584"/>
    <w:rsid w:val="00BF186A"/>
    <w:rsid w:val="00BF2CCA"/>
    <w:rsid w:val="00BF2EAA"/>
    <w:rsid w:val="00BF3990"/>
    <w:rsid w:val="00BF4A3A"/>
    <w:rsid w:val="00BF5BA2"/>
    <w:rsid w:val="00BF621B"/>
    <w:rsid w:val="00BF6BEA"/>
    <w:rsid w:val="00BF7A4C"/>
    <w:rsid w:val="00C00616"/>
    <w:rsid w:val="00C006E0"/>
    <w:rsid w:val="00C00921"/>
    <w:rsid w:val="00C00AA9"/>
    <w:rsid w:val="00C012A7"/>
    <w:rsid w:val="00C019F9"/>
    <w:rsid w:val="00C01CCC"/>
    <w:rsid w:val="00C02C7B"/>
    <w:rsid w:val="00C036A0"/>
    <w:rsid w:val="00C04C4E"/>
    <w:rsid w:val="00C04E41"/>
    <w:rsid w:val="00C0557C"/>
    <w:rsid w:val="00C05CB2"/>
    <w:rsid w:val="00C06400"/>
    <w:rsid w:val="00C0674C"/>
    <w:rsid w:val="00C069AE"/>
    <w:rsid w:val="00C07462"/>
    <w:rsid w:val="00C07997"/>
    <w:rsid w:val="00C079B4"/>
    <w:rsid w:val="00C07D0A"/>
    <w:rsid w:val="00C110BF"/>
    <w:rsid w:val="00C11282"/>
    <w:rsid w:val="00C145FF"/>
    <w:rsid w:val="00C14BC2"/>
    <w:rsid w:val="00C1550C"/>
    <w:rsid w:val="00C15B6E"/>
    <w:rsid w:val="00C15DE9"/>
    <w:rsid w:val="00C16157"/>
    <w:rsid w:val="00C1712F"/>
    <w:rsid w:val="00C1737D"/>
    <w:rsid w:val="00C174F6"/>
    <w:rsid w:val="00C17595"/>
    <w:rsid w:val="00C21F01"/>
    <w:rsid w:val="00C21FCD"/>
    <w:rsid w:val="00C22315"/>
    <w:rsid w:val="00C239D6"/>
    <w:rsid w:val="00C2562F"/>
    <w:rsid w:val="00C26177"/>
    <w:rsid w:val="00C265F4"/>
    <w:rsid w:val="00C26AB3"/>
    <w:rsid w:val="00C26D14"/>
    <w:rsid w:val="00C26DB3"/>
    <w:rsid w:val="00C26EA4"/>
    <w:rsid w:val="00C27949"/>
    <w:rsid w:val="00C27C4B"/>
    <w:rsid w:val="00C309FB"/>
    <w:rsid w:val="00C31AE2"/>
    <w:rsid w:val="00C31C4A"/>
    <w:rsid w:val="00C3227A"/>
    <w:rsid w:val="00C32714"/>
    <w:rsid w:val="00C34492"/>
    <w:rsid w:val="00C3496D"/>
    <w:rsid w:val="00C35230"/>
    <w:rsid w:val="00C37273"/>
    <w:rsid w:val="00C374AE"/>
    <w:rsid w:val="00C37A73"/>
    <w:rsid w:val="00C402A6"/>
    <w:rsid w:val="00C40554"/>
    <w:rsid w:val="00C40891"/>
    <w:rsid w:val="00C40C8D"/>
    <w:rsid w:val="00C425F5"/>
    <w:rsid w:val="00C4346E"/>
    <w:rsid w:val="00C442AC"/>
    <w:rsid w:val="00C44481"/>
    <w:rsid w:val="00C4472A"/>
    <w:rsid w:val="00C4483C"/>
    <w:rsid w:val="00C448EF"/>
    <w:rsid w:val="00C45785"/>
    <w:rsid w:val="00C5023E"/>
    <w:rsid w:val="00C51396"/>
    <w:rsid w:val="00C518C8"/>
    <w:rsid w:val="00C51AAA"/>
    <w:rsid w:val="00C51DF7"/>
    <w:rsid w:val="00C52794"/>
    <w:rsid w:val="00C53C8D"/>
    <w:rsid w:val="00C54D2A"/>
    <w:rsid w:val="00C55764"/>
    <w:rsid w:val="00C5576C"/>
    <w:rsid w:val="00C56390"/>
    <w:rsid w:val="00C56BD8"/>
    <w:rsid w:val="00C570F9"/>
    <w:rsid w:val="00C57AF8"/>
    <w:rsid w:val="00C60835"/>
    <w:rsid w:val="00C60A22"/>
    <w:rsid w:val="00C62A3A"/>
    <w:rsid w:val="00C636A4"/>
    <w:rsid w:val="00C6370D"/>
    <w:rsid w:val="00C63898"/>
    <w:rsid w:val="00C642A8"/>
    <w:rsid w:val="00C64902"/>
    <w:rsid w:val="00C65DDB"/>
    <w:rsid w:val="00C65E12"/>
    <w:rsid w:val="00C6654C"/>
    <w:rsid w:val="00C667ED"/>
    <w:rsid w:val="00C67013"/>
    <w:rsid w:val="00C676D7"/>
    <w:rsid w:val="00C676F6"/>
    <w:rsid w:val="00C700E8"/>
    <w:rsid w:val="00C7019B"/>
    <w:rsid w:val="00C7062D"/>
    <w:rsid w:val="00C70B38"/>
    <w:rsid w:val="00C71730"/>
    <w:rsid w:val="00C71741"/>
    <w:rsid w:val="00C72441"/>
    <w:rsid w:val="00C7302B"/>
    <w:rsid w:val="00C73217"/>
    <w:rsid w:val="00C73425"/>
    <w:rsid w:val="00C734E5"/>
    <w:rsid w:val="00C73672"/>
    <w:rsid w:val="00C73DCB"/>
    <w:rsid w:val="00C7527A"/>
    <w:rsid w:val="00C75803"/>
    <w:rsid w:val="00C76316"/>
    <w:rsid w:val="00C76391"/>
    <w:rsid w:val="00C77976"/>
    <w:rsid w:val="00C77AE9"/>
    <w:rsid w:val="00C80182"/>
    <w:rsid w:val="00C80803"/>
    <w:rsid w:val="00C808E2"/>
    <w:rsid w:val="00C814C1"/>
    <w:rsid w:val="00C818AD"/>
    <w:rsid w:val="00C821F2"/>
    <w:rsid w:val="00C82E7E"/>
    <w:rsid w:val="00C82F57"/>
    <w:rsid w:val="00C83C45"/>
    <w:rsid w:val="00C84F4C"/>
    <w:rsid w:val="00C85242"/>
    <w:rsid w:val="00C85C8A"/>
    <w:rsid w:val="00C86786"/>
    <w:rsid w:val="00C87857"/>
    <w:rsid w:val="00C90136"/>
    <w:rsid w:val="00C919EE"/>
    <w:rsid w:val="00C9255C"/>
    <w:rsid w:val="00C937AD"/>
    <w:rsid w:val="00C93A42"/>
    <w:rsid w:val="00C93E8E"/>
    <w:rsid w:val="00C97E51"/>
    <w:rsid w:val="00CA183E"/>
    <w:rsid w:val="00CA1D04"/>
    <w:rsid w:val="00CA21E0"/>
    <w:rsid w:val="00CA3023"/>
    <w:rsid w:val="00CA324C"/>
    <w:rsid w:val="00CA397A"/>
    <w:rsid w:val="00CA3F6C"/>
    <w:rsid w:val="00CA5ED1"/>
    <w:rsid w:val="00CA6219"/>
    <w:rsid w:val="00CA6522"/>
    <w:rsid w:val="00CA6C7A"/>
    <w:rsid w:val="00CB1267"/>
    <w:rsid w:val="00CB2007"/>
    <w:rsid w:val="00CB276D"/>
    <w:rsid w:val="00CB2DB3"/>
    <w:rsid w:val="00CB2DF7"/>
    <w:rsid w:val="00CB4B4B"/>
    <w:rsid w:val="00CB529A"/>
    <w:rsid w:val="00CB52B9"/>
    <w:rsid w:val="00CB5E0E"/>
    <w:rsid w:val="00CB6EBF"/>
    <w:rsid w:val="00CB7429"/>
    <w:rsid w:val="00CB75B5"/>
    <w:rsid w:val="00CB7AF4"/>
    <w:rsid w:val="00CB7D9F"/>
    <w:rsid w:val="00CC0BCB"/>
    <w:rsid w:val="00CC0EDB"/>
    <w:rsid w:val="00CC1502"/>
    <w:rsid w:val="00CC18CA"/>
    <w:rsid w:val="00CC2169"/>
    <w:rsid w:val="00CC24C5"/>
    <w:rsid w:val="00CC28F5"/>
    <w:rsid w:val="00CC38BE"/>
    <w:rsid w:val="00CC3A50"/>
    <w:rsid w:val="00CC3C31"/>
    <w:rsid w:val="00CC3EC0"/>
    <w:rsid w:val="00CC4DF1"/>
    <w:rsid w:val="00CC6D25"/>
    <w:rsid w:val="00CC6DA1"/>
    <w:rsid w:val="00CC7D07"/>
    <w:rsid w:val="00CD043C"/>
    <w:rsid w:val="00CD154C"/>
    <w:rsid w:val="00CD2308"/>
    <w:rsid w:val="00CD37A1"/>
    <w:rsid w:val="00CD3A33"/>
    <w:rsid w:val="00CD3B00"/>
    <w:rsid w:val="00CD40D5"/>
    <w:rsid w:val="00CD57E8"/>
    <w:rsid w:val="00CD5D8C"/>
    <w:rsid w:val="00CD661A"/>
    <w:rsid w:val="00CD6929"/>
    <w:rsid w:val="00CD737A"/>
    <w:rsid w:val="00CD73A4"/>
    <w:rsid w:val="00CD7A5E"/>
    <w:rsid w:val="00CD7D51"/>
    <w:rsid w:val="00CD7F53"/>
    <w:rsid w:val="00CE059E"/>
    <w:rsid w:val="00CE06AD"/>
    <w:rsid w:val="00CE06EA"/>
    <w:rsid w:val="00CE084D"/>
    <w:rsid w:val="00CE1532"/>
    <w:rsid w:val="00CE1CEA"/>
    <w:rsid w:val="00CE280E"/>
    <w:rsid w:val="00CE2A28"/>
    <w:rsid w:val="00CE3D0D"/>
    <w:rsid w:val="00CE40D2"/>
    <w:rsid w:val="00CE4191"/>
    <w:rsid w:val="00CE554D"/>
    <w:rsid w:val="00CE62AD"/>
    <w:rsid w:val="00CE64FA"/>
    <w:rsid w:val="00CE68CF"/>
    <w:rsid w:val="00CE7228"/>
    <w:rsid w:val="00CE7677"/>
    <w:rsid w:val="00CE7938"/>
    <w:rsid w:val="00CF128D"/>
    <w:rsid w:val="00CF12DD"/>
    <w:rsid w:val="00CF1338"/>
    <w:rsid w:val="00CF16BD"/>
    <w:rsid w:val="00CF178F"/>
    <w:rsid w:val="00CF1B8E"/>
    <w:rsid w:val="00CF24B4"/>
    <w:rsid w:val="00CF29BD"/>
    <w:rsid w:val="00CF3187"/>
    <w:rsid w:val="00CF3A2E"/>
    <w:rsid w:val="00CF3C6B"/>
    <w:rsid w:val="00CF733B"/>
    <w:rsid w:val="00D00897"/>
    <w:rsid w:val="00D00CF1"/>
    <w:rsid w:val="00D01F94"/>
    <w:rsid w:val="00D021CB"/>
    <w:rsid w:val="00D021E7"/>
    <w:rsid w:val="00D0231D"/>
    <w:rsid w:val="00D026E6"/>
    <w:rsid w:val="00D03B47"/>
    <w:rsid w:val="00D0433D"/>
    <w:rsid w:val="00D05874"/>
    <w:rsid w:val="00D0784B"/>
    <w:rsid w:val="00D10A5C"/>
    <w:rsid w:val="00D10EA4"/>
    <w:rsid w:val="00D10F77"/>
    <w:rsid w:val="00D1146C"/>
    <w:rsid w:val="00D1188A"/>
    <w:rsid w:val="00D140B6"/>
    <w:rsid w:val="00D14585"/>
    <w:rsid w:val="00D14B9A"/>
    <w:rsid w:val="00D15631"/>
    <w:rsid w:val="00D15ED7"/>
    <w:rsid w:val="00D1683A"/>
    <w:rsid w:val="00D17570"/>
    <w:rsid w:val="00D1762C"/>
    <w:rsid w:val="00D205F1"/>
    <w:rsid w:val="00D21488"/>
    <w:rsid w:val="00D219B6"/>
    <w:rsid w:val="00D236F7"/>
    <w:rsid w:val="00D240BC"/>
    <w:rsid w:val="00D24ED5"/>
    <w:rsid w:val="00D2509F"/>
    <w:rsid w:val="00D2528D"/>
    <w:rsid w:val="00D25B31"/>
    <w:rsid w:val="00D26030"/>
    <w:rsid w:val="00D26356"/>
    <w:rsid w:val="00D26A04"/>
    <w:rsid w:val="00D277AF"/>
    <w:rsid w:val="00D3079C"/>
    <w:rsid w:val="00D30E96"/>
    <w:rsid w:val="00D32E79"/>
    <w:rsid w:val="00D33004"/>
    <w:rsid w:val="00D33661"/>
    <w:rsid w:val="00D339DA"/>
    <w:rsid w:val="00D33AED"/>
    <w:rsid w:val="00D34B91"/>
    <w:rsid w:val="00D35087"/>
    <w:rsid w:val="00D35FAB"/>
    <w:rsid w:val="00D35FDE"/>
    <w:rsid w:val="00D36E48"/>
    <w:rsid w:val="00D37330"/>
    <w:rsid w:val="00D37366"/>
    <w:rsid w:val="00D401DD"/>
    <w:rsid w:val="00D4020B"/>
    <w:rsid w:val="00D421D9"/>
    <w:rsid w:val="00D42463"/>
    <w:rsid w:val="00D43E33"/>
    <w:rsid w:val="00D43F34"/>
    <w:rsid w:val="00D440EF"/>
    <w:rsid w:val="00D44307"/>
    <w:rsid w:val="00D4458B"/>
    <w:rsid w:val="00D44689"/>
    <w:rsid w:val="00D457DD"/>
    <w:rsid w:val="00D4617F"/>
    <w:rsid w:val="00D464D3"/>
    <w:rsid w:val="00D47582"/>
    <w:rsid w:val="00D47A98"/>
    <w:rsid w:val="00D47AFB"/>
    <w:rsid w:val="00D47BF0"/>
    <w:rsid w:val="00D5039E"/>
    <w:rsid w:val="00D50C79"/>
    <w:rsid w:val="00D51674"/>
    <w:rsid w:val="00D51745"/>
    <w:rsid w:val="00D51FB2"/>
    <w:rsid w:val="00D54882"/>
    <w:rsid w:val="00D54CEC"/>
    <w:rsid w:val="00D55555"/>
    <w:rsid w:val="00D5573E"/>
    <w:rsid w:val="00D56D1B"/>
    <w:rsid w:val="00D579BF"/>
    <w:rsid w:val="00D57D56"/>
    <w:rsid w:val="00D6002B"/>
    <w:rsid w:val="00D60323"/>
    <w:rsid w:val="00D60847"/>
    <w:rsid w:val="00D60888"/>
    <w:rsid w:val="00D62AC1"/>
    <w:rsid w:val="00D63D68"/>
    <w:rsid w:val="00D649C2"/>
    <w:rsid w:val="00D6500B"/>
    <w:rsid w:val="00D65DCF"/>
    <w:rsid w:val="00D666CD"/>
    <w:rsid w:val="00D70FE7"/>
    <w:rsid w:val="00D719FA"/>
    <w:rsid w:val="00D72EBC"/>
    <w:rsid w:val="00D74439"/>
    <w:rsid w:val="00D7445E"/>
    <w:rsid w:val="00D744C9"/>
    <w:rsid w:val="00D74E65"/>
    <w:rsid w:val="00D75955"/>
    <w:rsid w:val="00D75A23"/>
    <w:rsid w:val="00D75D32"/>
    <w:rsid w:val="00D75E2A"/>
    <w:rsid w:val="00D767D7"/>
    <w:rsid w:val="00D776AF"/>
    <w:rsid w:val="00D77725"/>
    <w:rsid w:val="00D8015C"/>
    <w:rsid w:val="00D8017F"/>
    <w:rsid w:val="00D80353"/>
    <w:rsid w:val="00D80907"/>
    <w:rsid w:val="00D80E56"/>
    <w:rsid w:val="00D814CE"/>
    <w:rsid w:val="00D833FF"/>
    <w:rsid w:val="00D838AE"/>
    <w:rsid w:val="00D83AB2"/>
    <w:rsid w:val="00D84268"/>
    <w:rsid w:val="00D845F5"/>
    <w:rsid w:val="00D84EB7"/>
    <w:rsid w:val="00D85A26"/>
    <w:rsid w:val="00D85AF3"/>
    <w:rsid w:val="00D87B86"/>
    <w:rsid w:val="00D90847"/>
    <w:rsid w:val="00D90D2D"/>
    <w:rsid w:val="00D9215C"/>
    <w:rsid w:val="00D9264C"/>
    <w:rsid w:val="00D94C69"/>
    <w:rsid w:val="00D96703"/>
    <w:rsid w:val="00D967DF"/>
    <w:rsid w:val="00D97093"/>
    <w:rsid w:val="00D97110"/>
    <w:rsid w:val="00DA0B27"/>
    <w:rsid w:val="00DA0BA7"/>
    <w:rsid w:val="00DA17E3"/>
    <w:rsid w:val="00DA1CA5"/>
    <w:rsid w:val="00DA231F"/>
    <w:rsid w:val="00DA2880"/>
    <w:rsid w:val="00DA317C"/>
    <w:rsid w:val="00DA3668"/>
    <w:rsid w:val="00DA3D60"/>
    <w:rsid w:val="00DA4191"/>
    <w:rsid w:val="00DA6C7D"/>
    <w:rsid w:val="00DA72FB"/>
    <w:rsid w:val="00DA7318"/>
    <w:rsid w:val="00DA74A9"/>
    <w:rsid w:val="00DA7BDE"/>
    <w:rsid w:val="00DA7ED8"/>
    <w:rsid w:val="00DB0240"/>
    <w:rsid w:val="00DB0A36"/>
    <w:rsid w:val="00DB0A72"/>
    <w:rsid w:val="00DB3572"/>
    <w:rsid w:val="00DB3C99"/>
    <w:rsid w:val="00DB451C"/>
    <w:rsid w:val="00DB54A1"/>
    <w:rsid w:val="00DB5C59"/>
    <w:rsid w:val="00DB6247"/>
    <w:rsid w:val="00DB6FB5"/>
    <w:rsid w:val="00DB7239"/>
    <w:rsid w:val="00DB7535"/>
    <w:rsid w:val="00DB757B"/>
    <w:rsid w:val="00DB75DE"/>
    <w:rsid w:val="00DB7A1A"/>
    <w:rsid w:val="00DC06B2"/>
    <w:rsid w:val="00DC0924"/>
    <w:rsid w:val="00DC16A3"/>
    <w:rsid w:val="00DC173B"/>
    <w:rsid w:val="00DC22F0"/>
    <w:rsid w:val="00DC2FAB"/>
    <w:rsid w:val="00DC34D6"/>
    <w:rsid w:val="00DC3B23"/>
    <w:rsid w:val="00DC41C9"/>
    <w:rsid w:val="00DC4F5E"/>
    <w:rsid w:val="00DC5A5B"/>
    <w:rsid w:val="00DC7958"/>
    <w:rsid w:val="00DD01F8"/>
    <w:rsid w:val="00DD0701"/>
    <w:rsid w:val="00DD1620"/>
    <w:rsid w:val="00DD1804"/>
    <w:rsid w:val="00DD1812"/>
    <w:rsid w:val="00DD18BE"/>
    <w:rsid w:val="00DD2272"/>
    <w:rsid w:val="00DD2394"/>
    <w:rsid w:val="00DD25BC"/>
    <w:rsid w:val="00DD2D6A"/>
    <w:rsid w:val="00DD2F63"/>
    <w:rsid w:val="00DD3BC7"/>
    <w:rsid w:val="00DD6E01"/>
    <w:rsid w:val="00DD7CF5"/>
    <w:rsid w:val="00DD7F82"/>
    <w:rsid w:val="00DE0B2A"/>
    <w:rsid w:val="00DE0FDC"/>
    <w:rsid w:val="00DE125B"/>
    <w:rsid w:val="00DE28BF"/>
    <w:rsid w:val="00DE2967"/>
    <w:rsid w:val="00DE2C87"/>
    <w:rsid w:val="00DE33E7"/>
    <w:rsid w:val="00DE41EE"/>
    <w:rsid w:val="00DE4A2F"/>
    <w:rsid w:val="00DE507F"/>
    <w:rsid w:val="00DE57C5"/>
    <w:rsid w:val="00DE5865"/>
    <w:rsid w:val="00DE5B19"/>
    <w:rsid w:val="00DE5DDD"/>
    <w:rsid w:val="00DE5FF7"/>
    <w:rsid w:val="00DE602F"/>
    <w:rsid w:val="00DE67C4"/>
    <w:rsid w:val="00DE7106"/>
    <w:rsid w:val="00DE7166"/>
    <w:rsid w:val="00DE7D9A"/>
    <w:rsid w:val="00DF0E54"/>
    <w:rsid w:val="00DF1A50"/>
    <w:rsid w:val="00DF1B80"/>
    <w:rsid w:val="00DF1C90"/>
    <w:rsid w:val="00DF1CE9"/>
    <w:rsid w:val="00DF233F"/>
    <w:rsid w:val="00DF2939"/>
    <w:rsid w:val="00DF2B0F"/>
    <w:rsid w:val="00DF3C5D"/>
    <w:rsid w:val="00DF4208"/>
    <w:rsid w:val="00DF57C8"/>
    <w:rsid w:val="00E00128"/>
    <w:rsid w:val="00E004CB"/>
    <w:rsid w:val="00E010E2"/>
    <w:rsid w:val="00E0129F"/>
    <w:rsid w:val="00E01BC1"/>
    <w:rsid w:val="00E02210"/>
    <w:rsid w:val="00E032DE"/>
    <w:rsid w:val="00E0344B"/>
    <w:rsid w:val="00E03C82"/>
    <w:rsid w:val="00E05494"/>
    <w:rsid w:val="00E062F6"/>
    <w:rsid w:val="00E063A1"/>
    <w:rsid w:val="00E06739"/>
    <w:rsid w:val="00E06AC5"/>
    <w:rsid w:val="00E07051"/>
    <w:rsid w:val="00E073D5"/>
    <w:rsid w:val="00E07602"/>
    <w:rsid w:val="00E1038F"/>
    <w:rsid w:val="00E109DA"/>
    <w:rsid w:val="00E10CDE"/>
    <w:rsid w:val="00E11046"/>
    <w:rsid w:val="00E115E6"/>
    <w:rsid w:val="00E11963"/>
    <w:rsid w:val="00E127F5"/>
    <w:rsid w:val="00E12E30"/>
    <w:rsid w:val="00E1371B"/>
    <w:rsid w:val="00E14CE8"/>
    <w:rsid w:val="00E152EA"/>
    <w:rsid w:val="00E15361"/>
    <w:rsid w:val="00E154A3"/>
    <w:rsid w:val="00E157ED"/>
    <w:rsid w:val="00E1661E"/>
    <w:rsid w:val="00E16B83"/>
    <w:rsid w:val="00E172DD"/>
    <w:rsid w:val="00E1747C"/>
    <w:rsid w:val="00E17656"/>
    <w:rsid w:val="00E179BC"/>
    <w:rsid w:val="00E17B9A"/>
    <w:rsid w:val="00E20DF5"/>
    <w:rsid w:val="00E20F48"/>
    <w:rsid w:val="00E22B01"/>
    <w:rsid w:val="00E22EA9"/>
    <w:rsid w:val="00E2329A"/>
    <w:rsid w:val="00E235D7"/>
    <w:rsid w:val="00E252EC"/>
    <w:rsid w:val="00E266F4"/>
    <w:rsid w:val="00E271C9"/>
    <w:rsid w:val="00E273EE"/>
    <w:rsid w:val="00E27567"/>
    <w:rsid w:val="00E275FC"/>
    <w:rsid w:val="00E278C7"/>
    <w:rsid w:val="00E27DFA"/>
    <w:rsid w:val="00E27F49"/>
    <w:rsid w:val="00E30C6F"/>
    <w:rsid w:val="00E30C7A"/>
    <w:rsid w:val="00E31472"/>
    <w:rsid w:val="00E31539"/>
    <w:rsid w:val="00E32217"/>
    <w:rsid w:val="00E327FA"/>
    <w:rsid w:val="00E3311D"/>
    <w:rsid w:val="00E33223"/>
    <w:rsid w:val="00E332D0"/>
    <w:rsid w:val="00E33548"/>
    <w:rsid w:val="00E34904"/>
    <w:rsid w:val="00E35567"/>
    <w:rsid w:val="00E35720"/>
    <w:rsid w:val="00E35ADC"/>
    <w:rsid w:val="00E36CF2"/>
    <w:rsid w:val="00E374EB"/>
    <w:rsid w:val="00E4094D"/>
    <w:rsid w:val="00E4096F"/>
    <w:rsid w:val="00E41E3E"/>
    <w:rsid w:val="00E41E70"/>
    <w:rsid w:val="00E43FD3"/>
    <w:rsid w:val="00E44344"/>
    <w:rsid w:val="00E449D8"/>
    <w:rsid w:val="00E44B74"/>
    <w:rsid w:val="00E44D4E"/>
    <w:rsid w:val="00E44DCA"/>
    <w:rsid w:val="00E460B6"/>
    <w:rsid w:val="00E47840"/>
    <w:rsid w:val="00E47CDE"/>
    <w:rsid w:val="00E500BB"/>
    <w:rsid w:val="00E50826"/>
    <w:rsid w:val="00E50EF8"/>
    <w:rsid w:val="00E5190A"/>
    <w:rsid w:val="00E5299F"/>
    <w:rsid w:val="00E52EEA"/>
    <w:rsid w:val="00E538F2"/>
    <w:rsid w:val="00E53A2C"/>
    <w:rsid w:val="00E547EF"/>
    <w:rsid w:val="00E54CF6"/>
    <w:rsid w:val="00E54EB6"/>
    <w:rsid w:val="00E563EF"/>
    <w:rsid w:val="00E60588"/>
    <w:rsid w:val="00E60915"/>
    <w:rsid w:val="00E60AA7"/>
    <w:rsid w:val="00E60F75"/>
    <w:rsid w:val="00E61249"/>
    <w:rsid w:val="00E617BA"/>
    <w:rsid w:val="00E61A57"/>
    <w:rsid w:val="00E61BC6"/>
    <w:rsid w:val="00E61F36"/>
    <w:rsid w:val="00E61FAB"/>
    <w:rsid w:val="00E62235"/>
    <w:rsid w:val="00E63C05"/>
    <w:rsid w:val="00E63D36"/>
    <w:rsid w:val="00E643D1"/>
    <w:rsid w:val="00E644FE"/>
    <w:rsid w:val="00E64C73"/>
    <w:rsid w:val="00E64CAF"/>
    <w:rsid w:val="00E6543C"/>
    <w:rsid w:val="00E6586A"/>
    <w:rsid w:val="00E65873"/>
    <w:rsid w:val="00E66307"/>
    <w:rsid w:val="00E66F90"/>
    <w:rsid w:val="00E6719A"/>
    <w:rsid w:val="00E6745E"/>
    <w:rsid w:val="00E67CA3"/>
    <w:rsid w:val="00E70180"/>
    <w:rsid w:val="00E70CE6"/>
    <w:rsid w:val="00E717C8"/>
    <w:rsid w:val="00E71855"/>
    <w:rsid w:val="00E74CA5"/>
    <w:rsid w:val="00E75286"/>
    <w:rsid w:val="00E753BF"/>
    <w:rsid w:val="00E75593"/>
    <w:rsid w:val="00E75F79"/>
    <w:rsid w:val="00E76D01"/>
    <w:rsid w:val="00E77AB8"/>
    <w:rsid w:val="00E806C0"/>
    <w:rsid w:val="00E807E7"/>
    <w:rsid w:val="00E80EF9"/>
    <w:rsid w:val="00E81210"/>
    <w:rsid w:val="00E81965"/>
    <w:rsid w:val="00E8291C"/>
    <w:rsid w:val="00E829E5"/>
    <w:rsid w:val="00E83AE8"/>
    <w:rsid w:val="00E8492A"/>
    <w:rsid w:val="00E849B3"/>
    <w:rsid w:val="00E8613A"/>
    <w:rsid w:val="00E86C19"/>
    <w:rsid w:val="00E870AE"/>
    <w:rsid w:val="00E87984"/>
    <w:rsid w:val="00E902CE"/>
    <w:rsid w:val="00E908C0"/>
    <w:rsid w:val="00E90E6D"/>
    <w:rsid w:val="00E90FC5"/>
    <w:rsid w:val="00E9177A"/>
    <w:rsid w:val="00E91D8F"/>
    <w:rsid w:val="00E91F6D"/>
    <w:rsid w:val="00E92286"/>
    <w:rsid w:val="00E92FFD"/>
    <w:rsid w:val="00E93394"/>
    <w:rsid w:val="00E933A7"/>
    <w:rsid w:val="00E933EF"/>
    <w:rsid w:val="00E93661"/>
    <w:rsid w:val="00E93E16"/>
    <w:rsid w:val="00E93E61"/>
    <w:rsid w:val="00E941F6"/>
    <w:rsid w:val="00E952F3"/>
    <w:rsid w:val="00E95679"/>
    <w:rsid w:val="00E956F2"/>
    <w:rsid w:val="00E95FFD"/>
    <w:rsid w:val="00E9680E"/>
    <w:rsid w:val="00E96F9C"/>
    <w:rsid w:val="00EA0900"/>
    <w:rsid w:val="00EA2DC2"/>
    <w:rsid w:val="00EA2EB9"/>
    <w:rsid w:val="00EA3EA2"/>
    <w:rsid w:val="00EA4014"/>
    <w:rsid w:val="00EA4949"/>
    <w:rsid w:val="00EA4993"/>
    <w:rsid w:val="00EA4DD5"/>
    <w:rsid w:val="00EA5114"/>
    <w:rsid w:val="00EA5829"/>
    <w:rsid w:val="00EA5FBC"/>
    <w:rsid w:val="00EA68C0"/>
    <w:rsid w:val="00EA7878"/>
    <w:rsid w:val="00EA7CEA"/>
    <w:rsid w:val="00EB037F"/>
    <w:rsid w:val="00EB12E2"/>
    <w:rsid w:val="00EB1D9B"/>
    <w:rsid w:val="00EB235B"/>
    <w:rsid w:val="00EB2587"/>
    <w:rsid w:val="00EB25ED"/>
    <w:rsid w:val="00EB3504"/>
    <w:rsid w:val="00EB3A37"/>
    <w:rsid w:val="00EB3D10"/>
    <w:rsid w:val="00EB3D61"/>
    <w:rsid w:val="00EB4038"/>
    <w:rsid w:val="00EB4DB0"/>
    <w:rsid w:val="00EB776D"/>
    <w:rsid w:val="00EB7946"/>
    <w:rsid w:val="00EB79CC"/>
    <w:rsid w:val="00EB7E4B"/>
    <w:rsid w:val="00EB7F78"/>
    <w:rsid w:val="00EB7F79"/>
    <w:rsid w:val="00EC04B1"/>
    <w:rsid w:val="00EC11E9"/>
    <w:rsid w:val="00EC14A6"/>
    <w:rsid w:val="00EC1600"/>
    <w:rsid w:val="00EC170A"/>
    <w:rsid w:val="00EC451E"/>
    <w:rsid w:val="00EC46EC"/>
    <w:rsid w:val="00EC591B"/>
    <w:rsid w:val="00EC6AC8"/>
    <w:rsid w:val="00EC6C5B"/>
    <w:rsid w:val="00EC788F"/>
    <w:rsid w:val="00EC7A92"/>
    <w:rsid w:val="00ED04AB"/>
    <w:rsid w:val="00ED0715"/>
    <w:rsid w:val="00ED0990"/>
    <w:rsid w:val="00ED09C9"/>
    <w:rsid w:val="00ED1A53"/>
    <w:rsid w:val="00ED2589"/>
    <w:rsid w:val="00ED2A0D"/>
    <w:rsid w:val="00ED2CA4"/>
    <w:rsid w:val="00ED3380"/>
    <w:rsid w:val="00ED3804"/>
    <w:rsid w:val="00ED5A06"/>
    <w:rsid w:val="00ED5ED0"/>
    <w:rsid w:val="00ED7E94"/>
    <w:rsid w:val="00EE0AA2"/>
    <w:rsid w:val="00EE1E1F"/>
    <w:rsid w:val="00EE3392"/>
    <w:rsid w:val="00EE33AE"/>
    <w:rsid w:val="00EE3517"/>
    <w:rsid w:val="00EE3B91"/>
    <w:rsid w:val="00EE4A10"/>
    <w:rsid w:val="00EE4A3F"/>
    <w:rsid w:val="00EE5657"/>
    <w:rsid w:val="00EE56D9"/>
    <w:rsid w:val="00EE5AC1"/>
    <w:rsid w:val="00EE7129"/>
    <w:rsid w:val="00EE7214"/>
    <w:rsid w:val="00EE74BE"/>
    <w:rsid w:val="00EE770E"/>
    <w:rsid w:val="00EE7C71"/>
    <w:rsid w:val="00EF03FE"/>
    <w:rsid w:val="00EF0867"/>
    <w:rsid w:val="00EF19D2"/>
    <w:rsid w:val="00EF1F73"/>
    <w:rsid w:val="00EF1F80"/>
    <w:rsid w:val="00EF3D06"/>
    <w:rsid w:val="00EF4B81"/>
    <w:rsid w:val="00EF5126"/>
    <w:rsid w:val="00EF6608"/>
    <w:rsid w:val="00EF6853"/>
    <w:rsid w:val="00EF716C"/>
    <w:rsid w:val="00EF758C"/>
    <w:rsid w:val="00EF7B20"/>
    <w:rsid w:val="00F00F8B"/>
    <w:rsid w:val="00F01262"/>
    <w:rsid w:val="00F02ADE"/>
    <w:rsid w:val="00F02D1C"/>
    <w:rsid w:val="00F02DD2"/>
    <w:rsid w:val="00F02FC3"/>
    <w:rsid w:val="00F034AC"/>
    <w:rsid w:val="00F044B6"/>
    <w:rsid w:val="00F04788"/>
    <w:rsid w:val="00F058E5"/>
    <w:rsid w:val="00F05F08"/>
    <w:rsid w:val="00F05F35"/>
    <w:rsid w:val="00F0668E"/>
    <w:rsid w:val="00F07162"/>
    <w:rsid w:val="00F10592"/>
    <w:rsid w:val="00F10E44"/>
    <w:rsid w:val="00F125A1"/>
    <w:rsid w:val="00F12C53"/>
    <w:rsid w:val="00F1343C"/>
    <w:rsid w:val="00F1364D"/>
    <w:rsid w:val="00F13C8D"/>
    <w:rsid w:val="00F14D4B"/>
    <w:rsid w:val="00F153C2"/>
    <w:rsid w:val="00F15683"/>
    <w:rsid w:val="00F16867"/>
    <w:rsid w:val="00F16E50"/>
    <w:rsid w:val="00F174CE"/>
    <w:rsid w:val="00F175AC"/>
    <w:rsid w:val="00F17932"/>
    <w:rsid w:val="00F17EF3"/>
    <w:rsid w:val="00F2072A"/>
    <w:rsid w:val="00F2079F"/>
    <w:rsid w:val="00F213FB"/>
    <w:rsid w:val="00F21403"/>
    <w:rsid w:val="00F22843"/>
    <w:rsid w:val="00F234E1"/>
    <w:rsid w:val="00F23590"/>
    <w:rsid w:val="00F235A0"/>
    <w:rsid w:val="00F2365B"/>
    <w:rsid w:val="00F23AF3"/>
    <w:rsid w:val="00F23F93"/>
    <w:rsid w:val="00F243BE"/>
    <w:rsid w:val="00F246DC"/>
    <w:rsid w:val="00F2487B"/>
    <w:rsid w:val="00F252F6"/>
    <w:rsid w:val="00F2589E"/>
    <w:rsid w:val="00F264CE"/>
    <w:rsid w:val="00F266DC"/>
    <w:rsid w:val="00F26C15"/>
    <w:rsid w:val="00F27091"/>
    <w:rsid w:val="00F276DA"/>
    <w:rsid w:val="00F300AC"/>
    <w:rsid w:val="00F30756"/>
    <w:rsid w:val="00F307B8"/>
    <w:rsid w:val="00F30BE7"/>
    <w:rsid w:val="00F31907"/>
    <w:rsid w:val="00F32474"/>
    <w:rsid w:val="00F327DF"/>
    <w:rsid w:val="00F332C0"/>
    <w:rsid w:val="00F33615"/>
    <w:rsid w:val="00F33ECE"/>
    <w:rsid w:val="00F341AD"/>
    <w:rsid w:val="00F352E3"/>
    <w:rsid w:val="00F35524"/>
    <w:rsid w:val="00F355FB"/>
    <w:rsid w:val="00F3599F"/>
    <w:rsid w:val="00F36346"/>
    <w:rsid w:val="00F3658E"/>
    <w:rsid w:val="00F37BE3"/>
    <w:rsid w:val="00F40296"/>
    <w:rsid w:val="00F404AF"/>
    <w:rsid w:val="00F406DA"/>
    <w:rsid w:val="00F409D7"/>
    <w:rsid w:val="00F416E2"/>
    <w:rsid w:val="00F42AE0"/>
    <w:rsid w:val="00F431E5"/>
    <w:rsid w:val="00F4364B"/>
    <w:rsid w:val="00F436A8"/>
    <w:rsid w:val="00F440A5"/>
    <w:rsid w:val="00F4420C"/>
    <w:rsid w:val="00F4522C"/>
    <w:rsid w:val="00F4538F"/>
    <w:rsid w:val="00F45431"/>
    <w:rsid w:val="00F458B5"/>
    <w:rsid w:val="00F45B0F"/>
    <w:rsid w:val="00F45E8E"/>
    <w:rsid w:val="00F47227"/>
    <w:rsid w:val="00F478C8"/>
    <w:rsid w:val="00F5036A"/>
    <w:rsid w:val="00F51CCF"/>
    <w:rsid w:val="00F527EC"/>
    <w:rsid w:val="00F536B6"/>
    <w:rsid w:val="00F54654"/>
    <w:rsid w:val="00F546EA"/>
    <w:rsid w:val="00F568E9"/>
    <w:rsid w:val="00F5709E"/>
    <w:rsid w:val="00F57C7F"/>
    <w:rsid w:val="00F57ED1"/>
    <w:rsid w:val="00F600F2"/>
    <w:rsid w:val="00F60DBD"/>
    <w:rsid w:val="00F61763"/>
    <w:rsid w:val="00F61EA3"/>
    <w:rsid w:val="00F6212E"/>
    <w:rsid w:val="00F621C1"/>
    <w:rsid w:val="00F62672"/>
    <w:rsid w:val="00F62709"/>
    <w:rsid w:val="00F62D65"/>
    <w:rsid w:val="00F63593"/>
    <w:rsid w:val="00F64022"/>
    <w:rsid w:val="00F643A4"/>
    <w:rsid w:val="00F64B41"/>
    <w:rsid w:val="00F65961"/>
    <w:rsid w:val="00F65B56"/>
    <w:rsid w:val="00F66163"/>
    <w:rsid w:val="00F663E3"/>
    <w:rsid w:val="00F66B20"/>
    <w:rsid w:val="00F6704A"/>
    <w:rsid w:val="00F7111C"/>
    <w:rsid w:val="00F719ED"/>
    <w:rsid w:val="00F720BE"/>
    <w:rsid w:val="00F721FA"/>
    <w:rsid w:val="00F727AA"/>
    <w:rsid w:val="00F7340E"/>
    <w:rsid w:val="00F73D6F"/>
    <w:rsid w:val="00F74AB7"/>
    <w:rsid w:val="00F76405"/>
    <w:rsid w:val="00F76AAF"/>
    <w:rsid w:val="00F76CC4"/>
    <w:rsid w:val="00F7720E"/>
    <w:rsid w:val="00F77714"/>
    <w:rsid w:val="00F77786"/>
    <w:rsid w:val="00F77B26"/>
    <w:rsid w:val="00F80877"/>
    <w:rsid w:val="00F80A0F"/>
    <w:rsid w:val="00F80AFD"/>
    <w:rsid w:val="00F80DB4"/>
    <w:rsid w:val="00F8237F"/>
    <w:rsid w:val="00F82D38"/>
    <w:rsid w:val="00F844AC"/>
    <w:rsid w:val="00F84527"/>
    <w:rsid w:val="00F84F00"/>
    <w:rsid w:val="00F8512D"/>
    <w:rsid w:val="00F85157"/>
    <w:rsid w:val="00F852EA"/>
    <w:rsid w:val="00F8640A"/>
    <w:rsid w:val="00F867DB"/>
    <w:rsid w:val="00F8721F"/>
    <w:rsid w:val="00F8790B"/>
    <w:rsid w:val="00F90402"/>
    <w:rsid w:val="00F90CFA"/>
    <w:rsid w:val="00F90D5A"/>
    <w:rsid w:val="00F912D6"/>
    <w:rsid w:val="00F91F51"/>
    <w:rsid w:val="00F926FF"/>
    <w:rsid w:val="00F92AB2"/>
    <w:rsid w:val="00F93811"/>
    <w:rsid w:val="00F93899"/>
    <w:rsid w:val="00F95948"/>
    <w:rsid w:val="00F95FBC"/>
    <w:rsid w:val="00F96308"/>
    <w:rsid w:val="00F9649A"/>
    <w:rsid w:val="00F96578"/>
    <w:rsid w:val="00F96F9F"/>
    <w:rsid w:val="00F97121"/>
    <w:rsid w:val="00F975A6"/>
    <w:rsid w:val="00F9787B"/>
    <w:rsid w:val="00F97E6F"/>
    <w:rsid w:val="00FA00E2"/>
    <w:rsid w:val="00FA0BEE"/>
    <w:rsid w:val="00FA0D43"/>
    <w:rsid w:val="00FA11ED"/>
    <w:rsid w:val="00FA1A39"/>
    <w:rsid w:val="00FA1AFC"/>
    <w:rsid w:val="00FA1B14"/>
    <w:rsid w:val="00FA2021"/>
    <w:rsid w:val="00FA22C0"/>
    <w:rsid w:val="00FA22F5"/>
    <w:rsid w:val="00FA2F10"/>
    <w:rsid w:val="00FA3362"/>
    <w:rsid w:val="00FA4E9F"/>
    <w:rsid w:val="00FA516D"/>
    <w:rsid w:val="00FA56C3"/>
    <w:rsid w:val="00FA62D6"/>
    <w:rsid w:val="00FA65C5"/>
    <w:rsid w:val="00FA7115"/>
    <w:rsid w:val="00FA718E"/>
    <w:rsid w:val="00FA7245"/>
    <w:rsid w:val="00FB096A"/>
    <w:rsid w:val="00FB0A8E"/>
    <w:rsid w:val="00FB137C"/>
    <w:rsid w:val="00FB327E"/>
    <w:rsid w:val="00FB3513"/>
    <w:rsid w:val="00FB429D"/>
    <w:rsid w:val="00FB4312"/>
    <w:rsid w:val="00FB5072"/>
    <w:rsid w:val="00FB52CF"/>
    <w:rsid w:val="00FB54BD"/>
    <w:rsid w:val="00FB5582"/>
    <w:rsid w:val="00FB5B9F"/>
    <w:rsid w:val="00FB5E28"/>
    <w:rsid w:val="00FB65CD"/>
    <w:rsid w:val="00FB6858"/>
    <w:rsid w:val="00FB7518"/>
    <w:rsid w:val="00FB7A42"/>
    <w:rsid w:val="00FC0A1C"/>
    <w:rsid w:val="00FC154F"/>
    <w:rsid w:val="00FC155E"/>
    <w:rsid w:val="00FC1A7B"/>
    <w:rsid w:val="00FC3B50"/>
    <w:rsid w:val="00FC4DD2"/>
    <w:rsid w:val="00FC5301"/>
    <w:rsid w:val="00FC6404"/>
    <w:rsid w:val="00FC65F5"/>
    <w:rsid w:val="00FC6BF1"/>
    <w:rsid w:val="00FC6F2C"/>
    <w:rsid w:val="00FC7375"/>
    <w:rsid w:val="00FC7E90"/>
    <w:rsid w:val="00FD0F5F"/>
    <w:rsid w:val="00FD1603"/>
    <w:rsid w:val="00FD1F62"/>
    <w:rsid w:val="00FD28C4"/>
    <w:rsid w:val="00FD2E67"/>
    <w:rsid w:val="00FD40E5"/>
    <w:rsid w:val="00FD4289"/>
    <w:rsid w:val="00FD47DA"/>
    <w:rsid w:val="00FD5393"/>
    <w:rsid w:val="00FD53F1"/>
    <w:rsid w:val="00FD55C9"/>
    <w:rsid w:val="00FD55E1"/>
    <w:rsid w:val="00FD6327"/>
    <w:rsid w:val="00FD666C"/>
    <w:rsid w:val="00FD68D5"/>
    <w:rsid w:val="00FD702A"/>
    <w:rsid w:val="00FD7210"/>
    <w:rsid w:val="00FD7B61"/>
    <w:rsid w:val="00FE0AC7"/>
    <w:rsid w:val="00FE18F9"/>
    <w:rsid w:val="00FE2C70"/>
    <w:rsid w:val="00FE2D86"/>
    <w:rsid w:val="00FE30C7"/>
    <w:rsid w:val="00FE31DD"/>
    <w:rsid w:val="00FE354C"/>
    <w:rsid w:val="00FE3FB4"/>
    <w:rsid w:val="00FE647F"/>
    <w:rsid w:val="00FE6CD8"/>
    <w:rsid w:val="00FE78B1"/>
    <w:rsid w:val="00FF0467"/>
    <w:rsid w:val="00FF050B"/>
    <w:rsid w:val="00FF1075"/>
    <w:rsid w:val="00FF141D"/>
    <w:rsid w:val="00FF15CF"/>
    <w:rsid w:val="00FF3B7A"/>
    <w:rsid w:val="00FF3BFF"/>
    <w:rsid w:val="00FF4358"/>
    <w:rsid w:val="00FF4846"/>
    <w:rsid w:val="00FF48A9"/>
    <w:rsid w:val="00FF49D2"/>
    <w:rsid w:val="00FF57CD"/>
    <w:rsid w:val="00FF66B4"/>
    <w:rsid w:val="00FF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0D"/>
    <w:pPr>
      <w:spacing w:after="0" w:line="240" w:lineRule="auto"/>
    </w:pPr>
    <w:rPr>
      <w:rFonts w:ascii="Times New Roman" w:hAnsi="Times New Roman" w:cs="Times New Roman"/>
      <w:sz w:val="24"/>
      <w:szCs w:val="24"/>
    </w:rPr>
  </w:style>
  <w:style w:type="paragraph" w:styleId="Rubrik1">
    <w:name w:val="heading 1"/>
    <w:basedOn w:val="Normal"/>
    <w:next w:val="Normal"/>
    <w:link w:val="Rubrik1Char"/>
    <w:uiPriority w:val="9"/>
    <w:qFormat/>
    <w:rsid w:val="00F51CCF"/>
    <w:pPr>
      <w:outlineLvl w:val="0"/>
    </w:pPr>
    <w:rPr>
      <w:b/>
      <w:sz w:val="28"/>
      <w:szCs w:val="28"/>
    </w:rPr>
  </w:style>
  <w:style w:type="paragraph" w:styleId="Rubrik2">
    <w:name w:val="heading 2"/>
    <w:basedOn w:val="Rubrik3"/>
    <w:next w:val="Normal"/>
    <w:link w:val="Rubrik2Char"/>
    <w:uiPriority w:val="9"/>
    <w:unhideWhenUsed/>
    <w:qFormat/>
    <w:rsid w:val="00D277AF"/>
    <w:pPr>
      <w:outlineLvl w:val="1"/>
    </w:pPr>
    <w:rPr>
      <w:sz w:val="28"/>
      <w:szCs w:val="28"/>
    </w:rPr>
  </w:style>
  <w:style w:type="paragraph" w:styleId="Rubrik3">
    <w:name w:val="heading 3"/>
    <w:basedOn w:val="Rubrik4"/>
    <w:next w:val="Normal"/>
    <w:link w:val="Rubrik3Char"/>
    <w:uiPriority w:val="9"/>
    <w:unhideWhenUsed/>
    <w:qFormat/>
    <w:rsid w:val="00D277AF"/>
    <w:pPr>
      <w:outlineLvl w:val="2"/>
    </w:pPr>
    <w:rPr>
      <w:b/>
      <w:i w:val="0"/>
    </w:rPr>
  </w:style>
  <w:style w:type="paragraph" w:styleId="Rubrik4">
    <w:name w:val="heading 4"/>
    <w:basedOn w:val="Normal"/>
    <w:next w:val="Normal"/>
    <w:link w:val="Rubrik4Char"/>
    <w:uiPriority w:val="9"/>
    <w:unhideWhenUsed/>
    <w:qFormat/>
    <w:rsid w:val="00FC7375"/>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D57E8"/>
    <w:rPr>
      <w:rFonts w:ascii="Tahoma" w:hAnsi="Tahoma" w:cs="Tahoma"/>
      <w:sz w:val="16"/>
      <w:szCs w:val="16"/>
    </w:rPr>
  </w:style>
  <w:style w:type="character" w:customStyle="1" w:styleId="BallongtextChar">
    <w:name w:val="Ballongtext Char"/>
    <w:basedOn w:val="Standardstycketeckensnitt"/>
    <w:link w:val="Ballongtext"/>
    <w:uiPriority w:val="99"/>
    <w:semiHidden/>
    <w:rsid w:val="00CD57E8"/>
    <w:rPr>
      <w:rFonts w:ascii="Tahoma" w:hAnsi="Tahoma" w:cs="Tahoma"/>
      <w:sz w:val="16"/>
      <w:szCs w:val="16"/>
    </w:rPr>
  </w:style>
  <w:style w:type="character" w:customStyle="1" w:styleId="Rubrik3Char">
    <w:name w:val="Rubrik 3 Char"/>
    <w:basedOn w:val="Standardstycketeckensnitt"/>
    <w:link w:val="Rubrik3"/>
    <w:uiPriority w:val="9"/>
    <w:rsid w:val="00D277AF"/>
    <w:rPr>
      <w:rFonts w:ascii="Times New Roman" w:hAnsi="Times New Roman" w:cs="Times New Roman"/>
      <w:b/>
      <w:sz w:val="24"/>
      <w:szCs w:val="24"/>
    </w:rPr>
  </w:style>
  <w:style w:type="character" w:customStyle="1" w:styleId="Rubrik4Char">
    <w:name w:val="Rubrik 4 Char"/>
    <w:basedOn w:val="Standardstycketeckensnitt"/>
    <w:link w:val="Rubrik4"/>
    <w:uiPriority w:val="9"/>
    <w:rsid w:val="00FC7375"/>
    <w:rPr>
      <w:rFonts w:ascii="Times New Roman" w:hAnsi="Times New Roman" w:cs="Times New Roman"/>
      <w:i/>
      <w:sz w:val="24"/>
      <w:szCs w:val="24"/>
    </w:rPr>
  </w:style>
  <w:style w:type="character" w:customStyle="1" w:styleId="slug-doi">
    <w:name w:val="slug-doi"/>
    <w:basedOn w:val="Standardstycketeckensnitt"/>
    <w:rsid w:val="00FC7375"/>
  </w:style>
  <w:style w:type="character" w:styleId="Platshllartext">
    <w:name w:val="Placeholder Text"/>
    <w:basedOn w:val="Standardstycketeckensnitt"/>
    <w:uiPriority w:val="99"/>
    <w:semiHidden/>
    <w:rsid w:val="00402B8D"/>
    <w:rPr>
      <w:color w:val="808080"/>
    </w:rPr>
  </w:style>
  <w:style w:type="character" w:styleId="Kommentarsreferens">
    <w:name w:val="annotation reference"/>
    <w:basedOn w:val="Standardstycketeckensnitt"/>
    <w:uiPriority w:val="99"/>
    <w:semiHidden/>
    <w:unhideWhenUsed/>
    <w:rsid w:val="009B6B4D"/>
    <w:rPr>
      <w:sz w:val="16"/>
      <w:szCs w:val="16"/>
    </w:rPr>
  </w:style>
  <w:style w:type="paragraph" w:styleId="Kommentarer">
    <w:name w:val="annotation text"/>
    <w:basedOn w:val="Normal"/>
    <w:link w:val="KommentarerChar"/>
    <w:uiPriority w:val="99"/>
    <w:semiHidden/>
    <w:unhideWhenUsed/>
    <w:rsid w:val="009B6B4D"/>
    <w:rPr>
      <w:sz w:val="20"/>
      <w:szCs w:val="20"/>
    </w:rPr>
  </w:style>
  <w:style w:type="character" w:customStyle="1" w:styleId="KommentarerChar">
    <w:name w:val="Kommentarer Char"/>
    <w:basedOn w:val="Standardstycketeckensnitt"/>
    <w:link w:val="Kommentarer"/>
    <w:uiPriority w:val="99"/>
    <w:semiHidden/>
    <w:rsid w:val="009B6B4D"/>
    <w:rPr>
      <w:rFonts w:ascii="Times New Roman" w:hAnsi="Times New Roman" w:cs="Times New Roman"/>
      <w:sz w:val="20"/>
      <w:szCs w:val="20"/>
    </w:rPr>
  </w:style>
  <w:style w:type="character" w:customStyle="1" w:styleId="Rubrik1Char">
    <w:name w:val="Rubrik 1 Char"/>
    <w:basedOn w:val="Standardstycketeckensnitt"/>
    <w:link w:val="Rubrik1"/>
    <w:uiPriority w:val="9"/>
    <w:rsid w:val="00F51CCF"/>
    <w:rPr>
      <w:rFonts w:ascii="Times New Roman" w:hAnsi="Times New Roman" w:cs="Times New Roman"/>
      <w:b/>
      <w:sz w:val="28"/>
      <w:szCs w:val="28"/>
    </w:rPr>
  </w:style>
  <w:style w:type="paragraph" w:styleId="Sidhuvud">
    <w:name w:val="header"/>
    <w:basedOn w:val="Normal"/>
    <w:link w:val="SidhuvudChar"/>
    <w:uiPriority w:val="99"/>
    <w:unhideWhenUsed/>
    <w:rsid w:val="002E500D"/>
    <w:pPr>
      <w:tabs>
        <w:tab w:val="center" w:pos="4513"/>
        <w:tab w:val="right" w:pos="9026"/>
      </w:tabs>
    </w:pPr>
  </w:style>
  <w:style w:type="character" w:customStyle="1" w:styleId="SidhuvudChar">
    <w:name w:val="Sidhuvud Char"/>
    <w:basedOn w:val="Standardstycketeckensnitt"/>
    <w:link w:val="Sidhuvud"/>
    <w:uiPriority w:val="99"/>
    <w:rsid w:val="002E500D"/>
    <w:rPr>
      <w:rFonts w:ascii="Times New Roman" w:hAnsi="Times New Roman" w:cs="Times New Roman"/>
      <w:sz w:val="24"/>
      <w:szCs w:val="24"/>
    </w:rPr>
  </w:style>
  <w:style w:type="paragraph" w:styleId="Sidfot">
    <w:name w:val="footer"/>
    <w:basedOn w:val="Normal"/>
    <w:link w:val="SidfotChar"/>
    <w:uiPriority w:val="99"/>
    <w:unhideWhenUsed/>
    <w:rsid w:val="002E500D"/>
    <w:pPr>
      <w:tabs>
        <w:tab w:val="center" w:pos="4513"/>
        <w:tab w:val="right" w:pos="9026"/>
      </w:tabs>
    </w:pPr>
  </w:style>
  <w:style w:type="character" w:customStyle="1" w:styleId="SidfotChar">
    <w:name w:val="Sidfot Char"/>
    <w:basedOn w:val="Standardstycketeckensnitt"/>
    <w:link w:val="Sidfot"/>
    <w:uiPriority w:val="99"/>
    <w:rsid w:val="002E500D"/>
    <w:rPr>
      <w:rFonts w:ascii="Times New Roman" w:hAnsi="Times New Roman" w:cs="Times New Roman"/>
      <w:sz w:val="24"/>
      <w:szCs w:val="24"/>
    </w:rPr>
  </w:style>
  <w:style w:type="paragraph" w:styleId="Kommentarsmne">
    <w:name w:val="annotation subject"/>
    <w:basedOn w:val="Kommentarer"/>
    <w:next w:val="Kommentarer"/>
    <w:link w:val="KommentarsmneChar"/>
    <w:uiPriority w:val="99"/>
    <w:semiHidden/>
    <w:unhideWhenUsed/>
    <w:rsid w:val="00D719FA"/>
    <w:rPr>
      <w:b/>
      <w:bCs/>
    </w:rPr>
  </w:style>
  <w:style w:type="character" w:customStyle="1" w:styleId="KommentarsmneChar">
    <w:name w:val="Kommentarsämne Char"/>
    <w:basedOn w:val="KommentarerChar"/>
    <w:link w:val="Kommentarsmne"/>
    <w:uiPriority w:val="99"/>
    <w:semiHidden/>
    <w:rsid w:val="00D719FA"/>
    <w:rPr>
      <w:rFonts w:ascii="Times New Roman" w:hAnsi="Times New Roman" w:cs="Times New Roman"/>
      <w:b/>
      <w:bCs/>
      <w:sz w:val="20"/>
      <w:szCs w:val="20"/>
    </w:rPr>
  </w:style>
  <w:style w:type="paragraph" w:styleId="Revision">
    <w:name w:val="Revision"/>
    <w:hidden/>
    <w:uiPriority w:val="99"/>
    <w:semiHidden/>
    <w:rsid w:val="00BF621B"/>
    <w:pPr>
      <w:spacing w:after="0" w:line="240" w:lineRule="auto"/>
    </w:pPr>
    <w:rPr>
      <w:rFonts w:ascii="Times New Roman" w:hAnsi="Times New Roman" w:cs="Times New Roman"/>
      <w:sz w:val="24"/>
      <w:szCs w:val="24"/>
    </w:rPr>
  </w:style>
  <w:style w:type="character" w:customStyle="1" w:styleId="Rubrik2Char">
    <w:name w:val="Rubrik 2 Char"/>
    <w:basedOn w:val="Standardstycketeckensnitt"/>
    <w:link w:val="Rubrik2"/>
    <w:uiPriority w:val="9"/>
    <w:rsid w:val="00D277AF"/>
    <w:rPr>
      <w:rFonts w:ascii="Times New Roman" w:hAnsi="Times New Roman" w:cs="Times New Roman"/>
      <w:b/>
      <w:sz w:val="28"/>
      <w:szCs w:val="28"/>
    </w:rPr>
  </w:style>
  <w:style w:type="character" w:styleId="Hyperlnk">
    <w:name w:val="Hyperlink"/>
    <w:basedOn w:val="Standardstycketeckensnitt"/>
    <w:uiPriority w:val="99"/>
    <w:unhideWhenUsed/>
    <w:rsid w:val="009068A6"/>
    <w:rPr>
      <w:color w:val="0000FF" w:themeColor="hyperlink"/>
      <w:u w:val="single"/>
    </w:rPr>
  </w:style>
  <w:style w:type="character" w:styleId="Betoning">
    <w:name w:val="Emphasis"/>
    <w:basedOn w:val="Standardstycketeckensnitt"/>
    <w:uiPriority w:val="20"/>
    <w:qFormat/>
    <w:rsid w:val="00E20F48"/>
    <w:rPr>
      <w:i/>
      <w:iCs/>
    </w:rPr>
  </w:style>
  <w:style w:type="table" w:styleId="Tabellrutnt">
    <w:name w:val="Table Grid"/>
    <w:basedOn w:val="Normaltabell"/>
    <w:uiPriority w:val="59"/>
    <w:rsid w:val="00A66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dnummer">
    <w:name w:val="line number"/>
    <w:basedOn w:val="Standardstycketeckensnitt"/>
    <w:uiPriority w:val="99"/>
    <w:semiHidden/>
    <w:unhideWhenUsed/>
    <w:rsid w:val="00900153"/>
  </w:style>
  <w:style w:type="paragraph" w:styleId="Liststycke">
    <w:name w:val="List Paragraph"/>
    <w:basedOn w:val="Normal"/>
    <w:uiPriority w:val="34"/>
    <w:qFormat/>
    <w:rsid w:val="00B255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0D"/>
    <w:pPr>
      <w:spacing w:after="0" w:line="240" w:lineRule="auto"/>
    </w:pPr>
    <w:rPr>
      <w:rFonts w:ascii="Times New Roman" w:hAnsi="Times New Roman" w:cs="Times New Roman"/>
      <w:sz w:val="24"/>
      <w:szCs w:val="24"/>
    </w:rPr>
  </w:style>
  <w:style w:type="paragraph" w:styleId="Rubrik1">
    <w:name w:val="heading 1"/>
    <w:basedOn w:val="Normal"/>
    <w:next w:val="Normal"/>
    <w:link w:val="Rubrik1Char"/>
    <w:uiPriority w:val="9"/>
    <w:qFormat/>
    <w:rsid w:val="00F51CCF"/>
    <w:pPr>
      <w:outlineLvl w:val="0"/>
    </w:pPr>
    <w:rPr>
      <w:b/>
      <w:sz w:val="28"/>
      <w:szCs w:val="28"/>
    </w:rPr>
  </w:style>
  <w:style w:type="paragraph" w:styleId="Rubrik2">
    <w:name w:val="heading 2"/>
    <w:basedOn w:val="Rubrik3"/>
    <w:next w:val="Normal"/>
    <w:link w:val="Rubrik2Char"/>
    <w:uiPriority w:val="9"/>
    <w:unhideWhenUsed/>
    <w:qFormat/>
    <w:rsid w:val="00D277AF"/>
    <w:pPr>
      <w:outlineLvl w:val="1"/>
    </w:pPr>
    <w:rPr>
      <w:sz w:val="28"/>
      <w:szCs w:val="28"/>
    </w:rPr>
  </w:style>
  <w:style w:type="paragraph" w:styleId="Rubrik3">
    <w:name w:val="heading 3"/>
    <w:basedOn w:val="Rubrik4"/>
    <w:next w:val="Normal"/>
    <w:link w:val="Rubrik3Char"/>
    <w:uiPriority w:val="9"/>
    <w:unhideWhenUsed/>
    <w:qFormat/>
    <w:rsid w:val="00D277AF"/>
    <w:pPr>
      <w:outlineLvl w:val="2"/>
    </w:pPr>
    <w:rPr>
      <w:b/>
      <w:i w:val="0"/>
    </w:rPr>
  </w:style>
  <w:style w:type="paragraph" w:styleId="Rubrik4">
    <w:name w:val="heading 4"/>
    <w:basedOn w:val="Normal"/>
    <w:next w:val="Normal"/>
    <w:link w:val="Rubrik4Char"/>
    <w:uiPriority w:val="9"/>
    <w:unhideWhenUsed/>
    <w:qFormat/>
    <w:rsid w:val="00FC7375"/>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D57E8"/>
    <w:rPr>
      <w:rFonts w:ascii="Tahoma" w:hAnsi="Tahoma" w:cs="Tahoma"/>
      <w:sz w:val="16"/>
      <w:szCs w:val="16"/>
    </w:rPr>
  </w:style>
  <w:style w:type="character" w:customStyle="1" w:styleId="BallongtextChar">
    <w:name w:val="Ballongtext Char"/>
    <w:basedOn w:val="Standardstycketeckensnitt"/>
    <w:link w:val="Ballongtext"/>
    <w:uiPriority w:val="99"/>
    <w:semiHidden/>
    <w:rsid w:val="00CD57E8"/>
    <w:rPr>
      <w:rFonts w:ascii="Tahoma" w:hAnsi="Tahoma" w:cs="Tahoma"/>
      <w:sz w:val="16"/>
      <w:szCs w:val="16"/>
    </w:rPr>
  </w:style>
  <w:style w:type="character" w:customStyle="1" w:styleId="Rubrik3Char">
    <w:name w:val="Rubrik 3 Char"/>
    <w:basedOn w:val="Standardstycketeckensnitt"/>
    <w:link w:val="Rubrik3"/>
    <w:uiPriority w:val="9"/>
    <w:rsid w:val="00D277AF"/>
    <w:rPr>
      <w:rFonts w:ascii="Times New Roman" w:hAnsi="Times New Roman" w:cs="Times New Roman"/>
      <w:b/>
      <w:sz w:val="24"/>
      <w:szCs w:val="24"/>
    </w:rPr>
  </w:style>
  <w:style w:type="character" w:customStyle="1" w:styleId="Rubrik4Char">
    <w:name w:val="Rubrik 4 Char"/>
    <w:basedOn w:val="Standardstycketeckensnitt"/>
    <w:link w:val="Rubrik4"/>
    <w:uiPriority w:val="9"/>
    <w:rsid w:val="00FC7375"/>
    <w:rPr>
      <w:rFonts w:ascii="Times New Roman" w:hAnsi="Times New Roman" w:cs="Times New Roman"/>
      <w:i/>
      <w:sz w:val="24"/>
      <w:szCs w:val="24"/>
    </w:rPr>
  </w:style>
  <w:style w:type="character" w:customStyle="1" w:styleId="slug-doi">
    <w:name w:val="slug-doi"/>
    <w:basedOn w:val="Standardstycketeckensnitt"/>
    <w:rsid w:val="00FC7375"/>
  </w:style>
  <w:style w:type="character" w:styleId="Platshllartext">
    <w:name w:val="Placeholder Text"/>
    <w:basedOn w:val="Standardstycketeckensnitt"/>
    <w:uiPriority w:val="99"/>
    <w:semiHidden/>
    <w:rsid w:val="00402B8D"/>
    <w:rPr>
      <w:color w:val="808080"/>
    </w:rPr>
  </w:style>
  <w:style w:type="character" w:styleId="Kommentarsreferens">
    <w:name w:val="annotation reference"/>
    <w:basedOn w:val="Standardstycketeckensnitt"/>
    <w:uiPriority w:val="99"/>
    <w:semiHidden/>
    <w:unhideWhenUsed/>
    <w:rsid w:val="009B6B4D"/>
    <w:rPr>
      <w:sz w:val="16"/>
      <w:szCs w:val="16"/>
    </w:rPr>
  </w:style>
  <w:style w:type="paragraph" w:styleId="Kommentarer">
    <w:name w:val="annotation text"/>
    <w:basedOn w:val="Normal"/>
    <w:link w:val="KommentarerChar"/>
    <w:uiPriority w:val="99"/>
    <w:semiHidden/>
    <w:unhideWhenUsed/>
    <w:rsid w:val="009B6B4D"/>
    <w:rPr>
      <w:sz w:val="20"/>
      <w:szCs w:val="20"/>
    </w:rPr>
  </w:style>
  <w:style w:type="character" w:customStyle="1" w:styleId="KommentarerChar">
    <w:name w:val="Kommentarer Char"/>
    <w:basedOn w:val="Standardstycketeckensnitt"/>
    <w:link w:val="Kommentarer"/>
    <w:uiPriority w:val="99"/>
    <w:semiHidden/>
    <w:rsid w:val="009B6B4D"/>
    <w:rPr>
      <w:rFonts w:ascii="Times New Roman" w:hAnsi="Times New Roman" w:cs="Times New Roman"/>
      <w:sz w:val="20"/>
      <w:szCs w:val="20"/>
    </w:rPr>
  </w:style>
  <w:style w:type="character" w:customStyle="1" w:styleId="Rubrik1Char">
    <w:name w:val="Rubrik 1 Char"/>
    <w:basedOn w:val="Standardstycketeckensnitt"/>
    <w:link w:val="Rubrik1"/>
    <w:uiPriority w:val="9"/>
    <w:rsid w:val="00F51CCF"/>
    <w:rPr>
      <w:rFonts w:ascii="Times New Roman" w:hAnsi="Times New Roman" w:cs="Times New Roman"/>
      <w:b/>
      <w:sz w:val="28"/>
      <w:szCs w:val="28"/>
    </w:rPr>
  </w:style>
  <w:style w:type="paragraph" w:styleId="Sidhuvud">
    <w:name w:val="header"/>
    <w:basedOn w:val="Normal"/>
    <w:link w:val="SidhuvudChar"/>
    <w:uiPriority w:val="99"/>
    <w:unhideWhenUsed/>
    <w:rsid w:val="002E500D"/>
    <w:pPr>
      <w:tabs>
        <w:tab w:val="center" w:pos="4513"/>
        <w:tab w:val="right" w:pos="9026"/>
      </w:tabs>
    </w:pPr>
  </w:style>
  <w:style w:type="character" w:customStyle="1" w:styleId="SidhuvudChar">
    <w:name w:val="Sidhuvud Char"/>
    <w:basedOn w:val="Standardstycketeckensnitt"/>
    <w:link w:val="Sidhuvud"/>
    <w:uiPriority w:val="99"/>
    <w:rsid w:val="002E500D"/>
    <w:rPr>
      <w:rFonts w:ascii="Times New Roman" w:hAnsi="Times New Roman" w:cs="Times New Roman"/>
      <w:sz w:val="24"/>
      <w:szCs w:val="24"/>
    </w:rPr>
  </w:style>
  <w:style w:type="paragraph" w:styleId="Sidfot">
    <w:name w:val="footer"/>
    <w:basedOn w:val="Normal"/>
    <w:link w:val="SidfotChar"/>
    <w:uiPriority w:val="99"/>
    <w:unhideWhenUsed/>
    <w:rsid w:val="002E500D"/>
    <w:pPr>
      <w:tabs>
        <w:tab w:val="center" w:pos="4513"/>
        <w:tab w:val="right" w:pos="9026"/>
      </w:tabs>
    </w:pPr>
  </w:style>
  <w:style w:type="character" w:customStyle="1" w:styleId="SidfotChar">
    <w:name w:val="Sidfot Char"/>
    <w:basedOn w:val="Standardstycketeckensnitt"/>
    <w:link w:val="Sidfot"/>
    <w:uiPriority w:val="99"/>
    <w:rsid w:val="002E500D"/>
    <w:rPr>
      <w:rFonts w:ascii="Times New Roman" w:hAnsi="Times New Roman" w:cs="Times New Roman"/>
      <w:sz w:val="24"/>
      <w:szCs w:val="24"/>
    </w:rPr>
  </w:style>
  <w:style w:type="paragraph" w:styleId="Kommentarsmne">
    <w:name w:val="annotation subject"/>
    <w:basedOn w:val="Kommentarer"/>
    <w:next w:val="Kommentarer"/>
    <w:link w:val="KommentarsmneChar"/>
    <w:uiPriority w:val="99"/>
    <w:semiHidden/>
    <w:unhideWhenUsed/>
    <w:rsid w:val="00D719FA"/>
    <w:rPr>
      <w:b/>
      <w:bCs/>
    </w:rPr>
  </w:style>
  <w:style w:type="character" w:customStyle="1" w:styleId="KommentarsmneChar">
    <w:name w:val="Kommentarsämne Char"/>
    <w:basedOn w:val="KommentarerChar"/>
    <w:link w:val="Kommentarsmne"/>
    <w:uiPriority w:val="99"/>
    <w:semiHidden/>
    <w:rsid w:val="00D719FA"/>
    <w:rPr>
      <w:rFonts w:ascii="Times New Roman" w:hAnsi="Times New Roman" w:cs="Times New Roman"/>
      <w:b/>
      <w:bCs/>
      <w:sz w:val="20"/>
      <w:szCs w:val="20"/>
    </w:rPr>
  </w:style>
  <w:style w:type="paragraph" w:styleId="Revision">
    <w:name w:val="Revision"/>
    <w:hidden/>
    <w:uiPriority w:val="99"/>
    <w:semiHidden/>
    <w:rsid w:val="00BF621B"/>
    <w:pPr>
      <w:spacing w:after="0" w:line="240" w:lineRule="auto"/>
    </w:pPr>
    <w:rPr>
      <w:rFonts w:ascii="Times New Roman" w:hAnsi="Times New Roman" w:cs="Times New Roman"/>
      <w:sz w:val="24"/>
      <w:szCs w:val="24"/>
    </w:rPr>
  </w:style>
  <w:style w:type="character" w:customStyle="1" w:styleId="Rubrik2Char">
    <w:name w:val="Rubrik 2 Char"/>
    <w:basedOn w:val="Standardstycketeckensnitt"/>
    <w:link w:val="Rubrik2"/>
    <w:uiPriority w:val="9"/>
    <w:rsid w:val="00D277AF"/>
    <w:rPr>
      <w:rFonts w:ascii="Times New Roman" w:hAnsi="Times New Roman" w:cs="Times New Roman"/>
      <w:b/>
      <w:sz w:val="28"/>
      <w:szCs w:val="28"/>
    </w:rPr>
  </w:style>
  <w:style w:type="character" w:styleId="Hyperlnk">
    <w:name w:val="Hyperlink"/>
    <w:basedOn w:val="Standardstycketeckensnitt"/>
    <w:uiPriority w:val="99"/>
    <w:unhideWhenUsed/>
    <w:rsid w:val="009068A6"/>
    <w:rPr>
      <w:color w:val="0000FF" w:themeColor="hyperlink"/>
      <w:u w:val="single"/>
    </w:rPr>
  </w:style>
  <w:style w:type="character" w:styleId="Betoning">
    <w:name w:val="Emphasis"/>
    <w:basedOn w:val="Standardstycketeckensnitt"/>
    <w:uiPriority w:val="20"/>
    <w:qFormat/>
    <w:rsid w:val="00E20F48"/>
    <w:rPr>
      <w:i/>
      <w:iCs/>
    </w:rPr>
  </w:style>
  <w:style w:type="table" w:styleId="Tabellrutnt">
    <w:name w:val="Table Grid"/>
    <w:basedOn w:val="Normaltabell"/>
    <w:uiPriority w:val="59"/>
    <w:rsid w:val="00A66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dnummer">
    <w:name w:val="line number"/>
    <w:basedOn w:val="Standardstycketeckensnitt"/>
    <w:uiPriority w:val="99"/>
    <w:semiHidden/>
    <w:unhideWhenUsed/>
    <w:rsid w:val="00900153"/>
  </w:style>
  <w:style w:type="paragraph" w:styleId="Liststycke">
    <w:name w:val="List Paragraph"/>
    <w:basedOn w:val="Normal"/>
    <w:uiPriority w:val="34"/>
    <w:qFormat/>
    <w:rsid w:val="00B25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518">
      <w:bodyDiv w:val="1"/>
      <w:marLeft w:val="0"/>
      <w:marRight w:val="0"/>
      <w:marTop w:val="0"/>
      <w:marBottom w:val="0"/>
      <w:divBdr>
        <w:top w:val="none" w:sz="0" w:space="0" w:color="auto"/>
        <w:left w:val="none" w:sz="0" w:space="0" w:color="auto"/>
        <w:bottom w:val="none" w:sz="0" w:space="0" w:color="auto"/>
        <w:right w:val="none" w:sz="0" w:space="0" w:color="auto"/>
      </w:divBdr>
    </w:div>
    <w:div w:id="19307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2482-1249-41A4-ADCE-1FA3846D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18</Pages>
  <Words>10591</Words>
  <Characters>60374</Characters>
  <Application>Microsoft Office Word</Application>
  <DocSecurity>0</DocSecurity>
  <Lines>503</Lines>
  <Paragraphs>141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Mote Marine Laboratory</Company>
  <LinksUpToDate>false</LinksUpToDate>
  <CharactersWithSpaces>70824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Christiansen</dc:creator>
  <cp:lastModifiedBy>Fredrik Christiansen</cp:lastModifiedBy>
  <cp:revision>42</cp:revision>
  <dcterms:created xsi:type="dcterms:W3CDTF">2016-05-19T17:41:00Z</dcterms:created>
  <dcterms:modified xsi:type="dcterms:W3CDTF">2016-11-20T04:24:00Z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denupplyste@hotmail.com@www.mendeley.com</vt:lpwstr>
  </property>
  <property fmtid="{D5CDD505-2E9C-101B-9397-08002B2CF9AE}" pid="4" name="Mendeley Citation Style_1">
    <vt:lpwstr>http://www.zotero.org/styles/journal-of-the-royal-society-interface</vt:lpwstr>
  </property>
  <property fmtid="{D5CDD505-2E9C-101B-9397-08002B2CF9AE}" pid="5" name="Mendeley Recent Style Id 0_1">
    <vt:lpwstr>http://www.zotero.org/styles/animal-behaviour</vt:lpwstr>
  </property>
  <property fmtid="{D5CDD505-2E9C-101B-9397-08002B2CF9AE}" pid="6" name="Mendeley Recent Style Name 0_1">
    <vt:lpwstr>Animal Behaviour</vt:lpwstr>
  </property>
  <property fmtid="{D5CDD505-2E9C-101B-9397-08002B2CF9AE}" pid="7" name="Mendeley Recent Style Id 1_1">
    <vt:lpwstr>http://www.zotero.org/styles/behavioral-ecology-and-sociobiology</vt:lpwstr>
  </property>
  <property fmtid="{D5CDD505-2E9C-101B-9397-08002B2CF9AE}" pid="8" name="Mendeley Recent Style Name 1_1">
    <vt:lpwstr>Behavioral Ecology and Sociobiology</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http://www.zotero.org/styles/frontiers-in-marine-science</vt:lpwstr>
  </property>
  <property fmtid="{D5CDD505-2E9C-101B-9397-08002B2CF9AE}" pid="12" name="Mendeley Recent Style Name 3_1">
    <vt:lpwstr>Frontiers in Marine Science</vt:lpwstr>
  </property>
  <property fmtid="{D5CDD505-2E9C-101B-9397-08002B2CF9AE}" pid="13" name="Mendeley Recent Style Id 4_1">
    <vt:lpwstr>http://www.zotero.org/styles/journal-of-the-royal-society-interface</vt:lpwstr>
  </property>
  <property fmtid="{D5CDD505-2E9C-101B-9397-08002B2CF9AE}" pid="14" name="Mendeley Recent Style Name 4_1">
    <vt:lpwstr>Journal of the Royal Society Interface</vt:lpwstr>
  </property>
  <property fmtid="{D5CDD505-2E9C-101B-9397-08002B2CF9AE}" pid="15" name="Mendeley Recent Style Id 5_1">
    <vt:lpwstr>http://www.zotero.org/styles/marine-biology</vt:lpwstr>
  </property>
  <property fmtid="{D5CDD505-2E9C-101B-9397-08002B2CF9AE}" pid="16" name="Mendeley Recent Style Name 5_1">
    <vt:lpwstr>Marine Biology</vt:lpwstr>
  </property>
  <property fmtid="{D5CDD505-2E9C-101B-9397-08002B2CF9AE}" pid="17" name="Mendeley Recent Style Id 6_1">
    <vt:lpwstr>http://www.zotero.org/styles/marine-ecology-progress-series</vt:lpwstr>
  </property>
  <property fmtid="{D5CDD505-2E9C-101B-9397-08002B2CF9AE}" pid="18" name="Mendeley Recent Style Name 6_1">
    <vt:lpwstr>Marine Ecology Progress Series</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http://www.zotero.org/styles/oecologia</vt:lpwstr>
  </property>
  <property fmtid="{D5CDD505-2E9C-101B-9397-08002B2CF9AE}" pid="22" name="Mendeley Recent Style Name 8_1">
    <vt:lpwstr>Oecologia</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