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C" w:rsidRDefault="005C1D5D" w:rsidP="00A56993">
      <w:pPr>
        <w:rPr>
          <w:b/>
          <w:lang w:val="en-CA"/>
        </w:rPr>
      </w:pPr>
      <w:r>
        <w:rPr>
          <w:b/>
          <w:lang w:val="en-CA"/>
        </w:rPr>
        <w:t>Additional file</w:t>
      </w:r>
      <w:r w:rsidR="00F0778E">
        <w:rPr>
          <w:b/>
          <w:lang w:val="en-CA"/>
        </w:rPr>
        <w:t xml:space="preserve"> 1: Full derivation of the likelihood</w:t>
      </w:r>
    </w:p>
    <w:p w:rsidR="00F0778E" w:rsidRDefault="00F0778E" w:rsidP="00F0778E">
      <w:pPr>
        <w:spacing w:line="480" w:lineRule="auto"/>
        <w:ind w:firstLine="720"/>
        <w:rPr>
          <w:lang w:val="en-GB"/>
        </w:rPr>
      </w:pPr>
      <w:r>
        <w:rPr>
          <w:lang w:val="en-GB"/>
        </w:rPr>
        <w:t>W</w:t>
      </w:r>
      <w:r w:rsidRPr="004F2EEB">
        <w:rPr>
          <w:lang w:val="en-GB"/>
        </w:rPr>
        <w:t xml:space="preserve">e added </w:t>
      </w:r>
      <w:r>
        <w:rPr>
          <w:lang w:val="en-GB"/>
        </w:rPr>
        <w:t>parameters to</w:t>
      </w:r>
      <w:r w:rsidRPr="004F2EEB">
        <w:rPr>
          <w:lang w:val="en-GB"/>
        </w:rPr>
        <w:t xml:space="preserve"> describe the probability of switching from one normal distribution to another, to explicitly model the </w:t>
      </w:r>
      <w:r>
        <w:rPr>
          <w:lang w:val="en-GB"/>
        </w:rPr>
        <w:t>switch</w:t>
      </w:r>
      <w:r w:rsidRPr="004F2EEB">
        <w:rPr>
          <w:lang w:val="en-GB"/>
        </w:rPr>
        <w:t xml:space="preserve"> from one </w:t>
      </w:r>
      <w:r>
        <w:rPr>
          <w:lang w:val="en-GB"/>
        </w:rPr>
        <w:t>mode</w:t>
      </w:r>
      <w:r w:rsidRPr="004F2EEB">
        <w:rPr>
          <w:lang w:val="en-GB"/>
        </w:rPr>
        <w:t xml:space="preserve"> to another. At each time ste</w:t>
      </w:r>
      <w:r w:rsidR="00694AFE">
        <w:rPr>
          <w:lang w:val="en-GB"/>
        </w:rPr>
        <w:t xml:space="preserve">p, an individual changes from a </w:t>
      </w:r>
      <w:r w:rsidRPr="004F2EEB">
        <w:rPr>
          <w:lang w:val="en-GB"/>
        </w:rPr>
        <w:t xml:space="preserve">current </w:t>
      </w:r>
      <w:r>
        <w:rPr>
          <w:lang w:val="en-GB"/>
        </w:rPr>
        <w:t>mode</w:t>
      </w:r>
      <w:r w:rsidRPr="004F2EEB">
        <w:rPr>
          <w:lang w:val="en-GB"/>
        </w:rPr>
        <w:t xml:space="preserve"> to another with fixed probability. For a </w:t>
      </w:r>
      <w:r w:rsidR="00AE0262">
        <w:rPr>
          <w:lang w:val="en-GB"/>
        </w:rPr>
        <w:t>bi</w:t>
      </w:r>
      <w:r w:rsidRPr="004F2EEB">
        <w:rPr>
          <w:lang w:val="en-GB"/>
        </w:rPr>
        <w:t>-modal model based on a mixture of</w:t>
      </w:r>
      <w:r w:rsidR="00AE0262">
        <w:rPr>
          <w:lang w:val="en-GB"/>
        </w:rPr>
        <w:t xml:space="preserve"> two</w:t>
      </w:r>
      <w:r w:rsidRPr="004F2EEB">
        <w:rPr>
          <w:lang w:val="en-GB"/>
        </w:rPr>
        <w:t xml:space="preserve"> normal and </w:t>
      </w:r>
      <w:r w:rsidR="00AE0262">
        <w:rPr>
          <w:lang w:val="en-GB"/>
        </w:rPr>
        <w:t xml:space="preserve">a </w:t>
      </w:r>
      <w:r w:rsidRPr="004F2EEB">
        <w:rPr>
          <w:lang w:val="en-GB"/>
        </w:rPr>
        <w:t xml:space="preserve">pseudo-uniform distributions, we used a </w:t>
      </w:r>
      <w:r w:rsidR="00AE0262">
        <w:rPr>
          <w:lang w:val="en-GB"/>
        </w:rPr>
        <w:t>3</w:t>
      </w:r>
      <w:r w:rsidRPr="004F2EEB">
        <w:rPr>
          <w:lang w:val="en-GB"/>
        </w:rPr>
        <w:t xml:space="preserve"> x </w:t>
      </w:r>
      <w:r w:rsidR="00AE0262">
        <w:rPr>
          <w:lang w:val="en-GB"/>
        </w:rPr>
        <w:t>3</w:t>
      </w:r>
      <w:r w:rsidRPr="004F2EEB">
        <w:rPr>
          <w:lang w:val="en-GB"/>
        </w:rPr>
        <w:t xml:space="preserve"> matrix </w:t>
      </w:r>
      <w:r>
        <w:rPr>
          <w:lang w:val="en-GB"/>
        </w:rPr>
        <w:t>Q=(</w:t>
      </w:r>
      <w:proofErr w:type="spellStart"/>
      <w:r>
        <w:rPr>
          <w:lang w:val="en-GB"/>
        </w:rPr>
        <w:t>q</w:t>
      </w:r>
      <w:r w:rsidRPr="005A47DC">
        <w:rPr>
          <w:vertAlign w:val="subscript"/>
          <w:lang w:val="en-GB"/>
        </w:rPr>
        <w:t>ij</w:t>
      </w:r>
      <w:proofErr w:type="spellEnd"/>
      <w:r>
        <w:rPr>
          <w:lang w:val="en-GB"/>
        </w:rPr>
        <w:t xml:space="preserve">) </w:t>
      </w:r>
      <w:r w:rsidRPr="004F2EEB">
        <w:rPr>
          <w:lang w:val="en-GB"/>
        </w:rPr>
        <w:t xml:space="preserve">to define the probability, </w:t>
      </w:r>
      <w:proofErr w:type="spellStart"/>
      <w:r w:rsidRPr="004F2EEB">
        <w:rPr>
          <w:i/>
          <w:lang w:val="en-GB"/>
        </w:rPr>
        <w:t>q</w:t>
      </w:r>
      <w:r w:rsidRPr="004F2EEB">
        <w:rPr>
          <w:i/>
          <w:vertAlign w:val="subscript"/>
          <w:lang w:val="en-GB"/>
        </w:rPr>
        <w:t>ij</w:t>
      </w:r>
      <w:proofErr w:type="spellEnd"/>
      <w:r w:rsidRPr="004F2EEB">
        <w:rPr>
          <w:i/>
          <w:vertAlign w:val="subscript"/>
          <w:lang w:val="en-GB"/>
        </w:rPr>
        <w:t>,</w:t>
      </w:r>
      <w:r w:rsidRPr="004F2EEB">
        <w:rPr>
          <w:lang w:val="en-GB"/>
        </w:rPr>
        <w:t xml:space="preserve"> of being in </w:t>
      </w:r>
      <w:r>
        <w:rPr>
          <w:lang w:val="en-GB"/>
        </w:rPr>
        <w:t>mode</w:t>
      </w:r>
      <w:r w:rsidRPr="004F2EEB">
        <w:rPr>
          <w:lang w:val="en-GB"/>
        </w:rPr>
        <w:t xml:space="preserve"> </w:t>
      </w:r>
      <w:r w:rsidRPr="004F2EEB">
        <w:rPr>
          <w:i/>
          <w:lang w:val="en-GB"/>
        </w:rPr>
        <w:t xml:space="preserve">i </w:t>
      </w:r>
      <w:r w:rsidRPr="004F2EEB">
        <w:rPr>
          <w:lang w:val="en-GB"/>
        </w:rPr>
        <w:t xml:space="preserve">at time </w:t>
      </w:r>
      <w:r w:rsidRPr="004F2EEB">
        <w:rPr>
          <w:i/>
          <w:lang w:val="en-GB"/>
        </w:rPr>
        <w:t xml:space="preserve">t </w:t>
      </w:r>
      <w:r w:rsidRPr="004F2EEB">
        <w:rPr>
          <w:lang w:val="en-GB"/>
        </w:rPr>
        <w:t>+</w:t>
      </w:r>
      <w:r w:rsidRPr="004F2EEB">
        <w:rPr>
          <w:i/>
          <w:lang w:val="en-GB"/>
        </w:rPr>
        <w:t xml:space="preserve"> </w:t>
      </w:r>
      <w:r w:rsidRPr="004F2EEB">
        <w:rPr>
          <w:lang w:val="en-GB"/>
        </w:rPr>
        <w:t xml:space="preserve">1 given that the individual is in </w:t>
      </w:r>
      <w:r>
        <w:rPr>
          <w:lang w:val="en-GB"/>
        </w:rPr>
        <w:t>mode</w:t>
      </w:r>
      <w:r w:rsidRPr="004F2EEB">
        <w:rPr>
          <w:lang w:val="en-GB"/>
        </w:rPr>
        <w:t xml:space="preserve"> </w:t>
      </w:r>
      <w:r w:rsidRPr="004F2EEB">
        <w:rPr>
          <w:i/>
          <w:lang w:val="en-GB"/>
        </w:rPr>
        <w:t xml:space="preserve">j </w:t>
      </w:r>
      <w:r w:rsidRPr="004F2EEB">
        <w:rPr>
          <w:lang w:val="en-GB"/>
        </w:rPr>
        <w:t xml:space="preserve">at time </w:t>
      </w:r>
      <w:r w:rsidRPr="004F2EEB">
        <w:rPr>
          <w:i/>
          <w:lang w:val="en-GB"/>
        </w:rPr>
        <w:t>t.</w:t>
      </w:r>
      <w:r>
        <w:rPr>
          <w:i/>
          <w:lang w:val="en-GB"/>
        </w:rPr>
        <w:t xml:space="preserve"> </w:t>
      </w:r>
      <w:r>
        <w:rPr>
          <w:lang w:val="en-GB"/>
        </w:rPr>
        <w:t>The likelihood expression is then</w:t>
      </w:r>
      <w:r w:rsidR="007E4B1B">
        <w:rPr>
          <w:lang w:val="en-GB"/>
        </w:rPr>
        <w:t>:</w:t>
      </w:r>
      <w:r>
        <w:rPr>
          <w:lang w:val="en-GB"/>
        </w:rPr>
        <w:t xml:space="preserve"> </w:t>
      </w:r>
    </w:p>
    <w:p w:rsidR="00F0778E" w:rsidRDefault="00AE0262" w:rsidP="00F0778E">
      <w:pPr>
        <w:spacing w:line="480" w:lineRule="auto"/>
        <w:ind w:firstLine="720"/>
        <w:rPr>
          <w:lang w:val="en-GB"/>
        </w:rPr>
      </w:pPr>
      <m:oMath>
        <m:r>
          <w:rPr>
            <w:rFonts w:ascii="Cambria Math" w:hAnsi="Cambria Math"/>
            <w:lang w:val="en-GB"/>
          </w:rPr>
          <m:t>L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y</m:t>
            </m:r>
          </m:e>
          <m:e>
            <m:r>
              <w:rPr>
                <w:rFonts w:ascii="Cambria Math" w:hAnsi="Cambria Math" w:hint="eastAsia"/>
                <w:lang w:val="en-GB"/>
              </w:rPr>
              <m:t>µ</m:t>
            </m:r>
            <m:r>
              <w:rPr>
                <w:rFonts w:ascii="Cambria Math" w:hAnsi="Cambria Math"/>
                <w:lang w:val="en-GB"/>
              </w:rPr>
              <m:t>, σ,Q</m:t>
            </m:r>
          </m:e>
        </m:d>
        <m:r>
          <w:rPr>
            <w:rFonts w:ascii="Cambria Math" w:hAns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GB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en-GB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en-GB"/>
          </w:rPr>
          <m:t>M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NSD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d>
        <m:nary>
          <m:naryPr>
            <m:chr m:val="∏"/>
            <m:limLoc m:val="undOvr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t=2</m:t>
            </m:r>
          </m:sub>
          <m:sup>
            <m:r>
              <w:rPr>
                <w:rFonts w:ascii="Cambria Math" w:hAnsi="Cambria Math"/>
                <w:lang w:val="en-GB"/>
              </w:rPr>
              <m:t>T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QM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NSD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t</m:t>
                        </m:r>
                      </m:sub>
                    </m:sSub>
                  </m:e>
                </m:d>
              </m:e>
            </m:d>
          </m:e>
        </m:nary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n-GB"/>
          </w:rPr>
          <m:t xml:space="preserve">, </m:t>
        </m:r>
      </m:oMath>
      <w:r w:rsidR="007E4B1B">
        <w:rPr>
          <w:rFonts w:eastAsiaTheme="minorEastAsia"/>
          <w:lang w:val="en-GB"/>
        </w:rPr>
        <w:tab/>
      </w:r>
      <w:proofErr w:type="gramStart"/>
      <w:r w:rsidR="00F0778E">
        <w:rPr>
          <w:rFonts w:eastAsiaTheme="minorEastAsia"/>
          <w:lang w:val="en-GB"/>
        </w:rPr>
        <w:t>eqn</w:t>
      </w:r>
      <w:proofErr w:type="gramEnd"/>
      <w:r w:rsidR="00F0778E">
        <w:rPr>
          <w:rFonts w:eastAsiaTheme="minorEastAsia"/>
          <w:lang w:val="en-GB"/>
        </w:rPr>
        <w:t xml:space="preserve"> 1</w:t>
      </w:r>
    </w:p>
    <w:p w:rsidR="00F0778E" w:rsidRDefault="00F0778E" w:rsidP="00F0778E">
      <w:pPr>
        <w:spacing w:line="480" w:lineRule="auto"/>
        <w:rPr>
          <w:rFonts w:eastAsiaTheme="minorEastAsia"/>
          <w:lang w:val="en-GB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M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NSD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t</m:t>
                </m:r>
              </m:sub>
            </m:sSub>
          </m:e>
        </m:d>
      </m:oMath>
      <w:r>
        <w:rPr>
          <w:rFonts w:eastAsiaTheme="minorEastAsia"/>
          <w:lang w:val="en-GB"/>
        </w:rPr>
        <w:t xml:space="preserve"> is the  diagonal matrix whose entries correspond to the </w:t>
      </w:r>
      <w:r w:rsidR="00AE0262">
        <w:rPr>
          <w:rFonts w:eastAsiaTheme="minorEastAsia"/>
          <w:lang w:val="en-GB"/>
        </w:rPr>
        <w:t>three</w:t>
      </w:r>
      <w:r>
        <w:rPr>
          <w:rFonts w:eastAsiaTheme="minorEastAsia"/>
          <w:lang w:val="en-GB"/>
        </w:rPr>
        <w:t xml:space="preserve"> cluster distributions</w:t>
      </w:r>
    </w:p>
    <w:p w:rsidR="00F0778E" w:rsidRDefault="00F0778E" w:rsidP="00F0778E">
      <w:pPr>
        <w:spacing w:line="480" w:lineRule="auto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               </w:t>
      </w:r>
      <m:oMath>
        <m:r>
          <w:rPr>
            <w:rFonts w:ascii="Cambria Math" w:eastAsiaTheme="minorEastAsia" w:hAnsi="Cambria Math"/>
            <w:lang w:val="en-GB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NSD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GB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NSD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t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1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GB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NSD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t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2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GB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NSD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t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3</m:t>
                          </m:r>
                        </m:sub>
                      </m:sSub>
                    </m:e>
                  </m:d>
                </m:e>
              </m:mr>
            </m:m>
          </m:e>
        </m:d>
        <m:r>
          <w:rPr>
            <w:rFonts w:ascii="Cambria Math" w:eastAsiaTheme="minorEastAsia" w:hAnsi="Cambria Math"/>
            <w:lang w:val="en-GB"/>
          </w:rPr>
          <m:t>,</m:t>
        </m:r>
      </m:oMath>
      <w:r>
        <w:rPr>
          <w:rFonts w:eastAsiaTheme="minorEastAsia"/>
          <w:lang w:val="en-GB"/>
        </w:rPr>
        <w:tab/>
        <w:t xml:space="preserve">  </w:t>
      </w:r>
      <w:r w:rsidR="007E4B1B">
        <w:rPr>
          <w:rFonts w:eastAsiaTheme="minorEastAsia"/>
          <w:lang w:val="en-GB"/>
        </w:rPr>
        <w:tab/>
      </w:r>
      <w:r>
        <w:rPr>
          <w:rFonts w:eastAsiaTheme="minorEastAsia"/>
          <w:lang w:val="en-GB"/>
        </w:rPr>
        <w:t xml:space="preserve"> </w:t>
      </w:r>
      <w:proofErr w:type="gramStart"/>
      <w:r>
        <w:rPr>
          <w:rFonts w:eastAsiaTheme="minorEastAsia"/>
          <w:lang w:val="en-GB"/>
        </w:rPr>
        <w:t>eqn</w:t>
      </w:r>
      <w:proofErr w:type="gramEnd"/>
      <w:r>
        <w:rPr>
          <w:rFonts w:eastAsiaTheme="minorEastAsia"/>
          <w:lang w:val="en-GB"/>
        </w:rPr>
        <w:t xml:space="preserve"> 2 </w:t>
      </w:r>
    </w:p>
    <w:p w:rsidR="00F0778E" w:rsidRDefault="00F0778E" w:rsidP="00AE0262">
      <w:pPr>
        <w:spacing w:line="480" w:lineRule="auto"/>
        <w:rPr>
          <w:rFonts w:eastAsiaTheme="minorEastAsia"/>
          <w:lang w:val="en-GB"/>
        </w:rPr>
      </w:pPr>
      <w:r>
        <w:rPr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>
        <w:rPr>
          <w:rFonts w:eastAsiaTheme="minorEastAsia"/>
          <w:lang w:val="en-GB"/>
        </w:rPr>
        <w:t xml:space="preserve"> is the probability that the animal started in mode 1</w:t>
      </w:r>
      <w:r w:rsidR="00AE0262">
        <w:rPr>
          <w:rFonts w:eastAsiaTheme="minorEastAsia"/>
          <w:lang w:val="en-GB"/>
        </w:rPr>
        <w:t xml:space="preserve"> and p2 that the animal started in mode 2</w:t>
      </w:r>
      <w:r>
        <w:rPr>
          <w:rFonts w:eastAsiaTheme="minorEastAsia"/>
          <w:lang w:val="en-GB"/>
        </w:rPr>
        <w:t xml:space="preserve">. </w:t>
      </w:r>
      <w:r>
        <w:rPr>
          <w:lang w:val="en-GB"/>
        </w:rPr>
        <w:t xml:space="preserve"> </w:t>
      </w:r>
    </w:p>
    <w:p w:rsidR="00E912EB" w:rsidRDefault="00E912EB">
      <w:pPr>
        <w:rPr>
          <w:b/>
          <w:lang w:val="en-CA"/>
        </w:rPr>
      </w:pPr>
    </w:p>
    <w:p w:rsidR="005C1D5D" w:rsidRDefault="005C1D5D">
      <w:pPr>
        <w:rPr>
          <w:b/>
          <w:lang w:val="en-CA"/>
        </w:rPr>
      </w:pPr>
    </w:p>
    <w:sectPr w:rsidR="005C1D5D" w:rsidSect="006A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E4E126" w15:done="0"/>
  <w15:commentEx w15:paraId="46BF2796" w15:done="0"/>
  <w15:commentEx w15:paraId="5B8E20F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D2C"/>
    <w:multiLevelType w:val="hybridMultilevel"/>
    <w:tmpl w:val="E760E3C0"/>
    <w:lvl w:ilvl="0" w:tplc="A6C42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198A"/>
    <w:multiLevelType w:val="hybridMultilevel"/>
    <w:tmpl w:val="6B44741E"/>
    <w:lvl w:ilvl="0" w:tplc="440AAC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D70F6"/>
    <w:multiLevelType w:val="hybridMultilevel"/>
    <w:tmpl w:val="C336A07E"/>
    <w:lvl w:ilvl="0" w:tplc="2EA007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0DB"/>
    <w:multiLevelType w:val="hybridMultilevel"/>
    <w:tmpl w:val="E7982E9A"/>
    <w:lvl w:ilvl="0" w:tplc="8AFEAB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10ADC"/>
    <w:multiLevelType w:val="hybridMultilevel"/>
    <w:tmpl w:val="EE6899E2"/>
    <w:lvl w:ilvl="0" w:tplc="C36A6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ce Ellington">
    <w15:presenceInfo w15:providerId="None" w15:userId="Hance Ellingt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55723"/>
    <w:rsid w:val="0003614C"/>
    <w:rsid w:val="0005607A"/>
    <w:rsid w:val="00074E72"/>
    <w:rsid w:val="000828F2"/>
    <w:rsid w:val="000A306B"/>
    <w:rsid w:val="000C4CC1"/>
    <w:rsid w:val="00146E9D"/>
    <w:rsid w:val="00171FCB"/>
    <w:rsid w:val="001A6B9C"/>
    <w:rsid w:val="00213A95"/>
    <w:rsid w:val="0026231C"/>
    <w:rsid w:val="002A1562"/>
    <w:rsid w:val="002B32DE"/>
    <w:rsid w:val="002E3483"/>
    <w:rsid w:val="0030003C"/>
    <w:rsid w:val="00306F41"/>
    <w:rsid w:val="00315AEA"/>
    <w:rsid w:val="00355723"/>
    <w:rsid w:val="00360E44"/>
    <w:rsid w:val="003B34AE"/>
    <w:rsid w:val="003C0337"/>
    <w:rsid w:val="003E5C5B"/>
    <w:rsid w:val="00400C27"/>
    <w:rsid w:val="00407928"/>
    <w:rsid w:val="00414BDD"/>
    <w:rsid w:val="004E06FB"/>
    <w:rsid w:val="004F0742"/>
    <w:rsid w:val="004F6F93"/>
    <w:rsid w:val="00590666"/>
    <w:rsid w:val="005C1D5D"/>
    <w:rsid w:val="00694AFE"/>
    <w:rsid w:val="006A5444"/>
    <w:rsid w:val="006F0735"/>
    <w:rsid w:val="007E4B1B"/>
    <w:rsid w:val="0080510C"/>
    <w:rsid w:val="00862B91"/>
    <w:rsid w:val="0090698C"/>
    <w:rsid w:val="00954D10"/>
    <w:rsid w:val="00970282"/>
    <w:rsid w:val="0097073F"/>
    <w:rsid w:val="00A03A1E"/>
    <w:rsid w:val="00A27F1E"/>
    <w:rsid w:val="00A52769"/>
    <w:rsid w:val="00A56993"/>
    <w:rsid w:val="00AB326E"/>
    <w:rsid w:val="00AC1301"/>
    <w:rsid w:val="00AC75AF"/>
    <w:rsid w:val="00AE0262"/>
    <w:rsid w:val="00B1034A"/>
    <w:rsid w:val="00B3470D"/>
    <w:rsid w:val="00B359C6"/>
    <w:rsid w:val="00B403A2"/>
    <w:rsid w:val="00B618AD"/>
    <w:rsid w:val="00BF2716"/>
    <w:rsid w:val="00C544B1"/>
    <w:rsid w:val="00C65948"/>
    <w:rsid w:val="00C75E21"/>
    <w:rsid w:val="00CA5FFA"/>
    <w:rsid w:val="00CB7E5D"/>
    <w:rsid w:val="00CC31CF"/>
    <w:rsid w:val="00CF127B"/>
    <w:rsid w:val="00DA6F50"/>
    <w:rsid w:val="00DB3A18"/>
    <w:rsid w:val="00DF3FC8"/>
    <w:rsid w:val="00E10ADE"/>
    <w:rsid w:val="00E67AC6"/>
    <w:rsid w:val="00E912EB"/>
    <w:rsid w:val="00EC1A99"/>
    <w:rsid w:val="00EE1453"/>
    <w:rsid w:val="00EF35D4"/>
    <w:rsid w:val="00F0778E"/>
    <w:rsid w:val="00F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3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1792-F9A7-4E2E-B55B-31F30A33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SUNY ESF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Bastille-Rousseau</dc:creator>
  <cp:lastModifiedBy>mbacong</cp:lastModifiedBy>
  <cp:revision>4</cp:revision>
  <dcterms:created xsi:type="dcterms:W3CDTF">2016-02-16T15:12:00Z</dcterms:created>
  <dcterms:modified xsi:type="dcterms:W3CDTF">2016-04-14T19:45:00Z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gbastillerousseau@hotmail.com@www.mendeley.com</vt:lpwstr>
  </property>
  <property fmtid="{D5CDD505-2E9C-101B-9397-08002B2CF9AE}" pid="4" name="Mendeley Citation Style_1">
    <vt:lpwstr>http://www.zotero.org/styles/journal-of-animal-ecology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http://www.zotero.org/styles/journal-of-animal-ecology</vt:lpwstr>
  </property>
  <property fmtid="{D5CDD505-2E9C-101B-9397-08002B2CF9AE}" pid="14" name="Mendeley Recent Style Name 4_1">
    <vt:lpwstr>Journal of Animal Ecology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http://www.zotero.org/styles/movement-ecology</vt:lpwstr>
  </property>
  <property fmtid="{D5CDD505-2E9C-101B-9397-08002B2CF9AE}" pid="20" name="Mendeley Recent Style Name 7_1">
    <vt:lpwstr>Movement Ecology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http://www.zotero.org/styles/oikos</vt:lpwstr>
  </property>
  <property fmtid="{D5CDD505-2E9C-101B-9397-08002B2CF9AE}" pid="24" name="Mendeley Recent Style Name 9_1">
    <vt:lpwstr>Oikos</vt:lpwstr>
  </property>
</Properties>
</file>