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8C" w:rsidRPr="00BF7D42" w:rsidRDefault="00BF7D42" w:rsidP="00D8708C">
      <w:pPr>
        <w:pStyle w:val="Heading3"/>
      </w:pPr>
      <w:bookmarkStart w:id="0" w:name="_GoBack"/>
      <w:r w:rsidRPr="00BF7D42">
        <w:t>Additional table 1</w:t>
      </w:r>
      <w:r w:rsidR="001108CF">
        <w:t xml:space="preserve"> </w:t>
      </w:r>
      <w:bookmarkEnd w:id="0"/>
      <w:r w:rsidR="001108CF" w:rsidRPr="002A14FA">
        <w:t>–</w:t>
      </w:r>
      <w:r w:rsidRPr="00BF7D42">
        <w:t xml:space="preserve"> </w:t>
      </w:r>
      <w:r w:rsidR="00D8708C" w:rsidRPr="00BF7D42">
        <w:t>Odds of progression within the Kidney Health Australia Risk Matrix</w:t>
      </w:r>
    </w:p>
    <w:p w:rsidR="00D8708C" w:rsidRPr="002A14FA" w:rsidRDefault="00D8708C" w:rsidP="00D8708C">
      <w:pPr>
        <w:spacing w:line="240" w:lineRule="auto"/>
        <w:jc w:val="both"/>
      </w:pPr>
    </w:p>
    <w:tbl>
      <w:tblPr>
        <w:tblW w:w="6488" w:type="dxa"/>
        <w:jc w:val="center"/>
        <w:tblLook w:val="04A0" w:firstRow="1" w:lastRow="0" w:firstColumn="1" w:lastColumn="0" w:noHBand="0" w:noVBand="1"/>
      </w:tblPr>
      <w:tblGrid>
        <w:gridCol w:w="2960"/>
        <w:gridCol w:w="1141"/>
        <w:gridCol w:w="827"/>
        <w:gridCol w:w="815"/>
        <w:gridCol w:w="830"/>
      </w:tblGrid>
      <w:tr w:rsidR="00D8708C" w:rsidRPr="002A14FA" w:rsidTr="00C943A8">
        <w:trPr>
          <w:trHeight w:val="158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bCs/>
                <w:color w:val="000000"/>
                <w:sz w:val="22"/>
                <w:szCs w:val="22"/>
                <w:lang w:eastAsia="en-AU"/>
              </w:rPr>
              <w:t>Odds Ratio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bCs/>
                <w:color w:val="000000"/>
                <w:sz w:val="22"/>
                <w:szCs w:val="22"/>
                <w:lang w:eastAsia="en-AU"/>
              </w:rPr>
              <w:t>95% CI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bCs/>
                <w:color w:val="000000"/>
                <w:sz w:val="22"/>
                <w:szCs w:val="22"/>
                <w:lang w:eastAsia="en-AU"/>
              </w:rPr>
              <w:br/>
            </w:r>
          </w:p>
        </w:tc>
      </w:tr>
      <w:tr w:rsidR="00D8708C" w:rsidRPr="002A14FA" w:rsidTr="00C943A8">
        <w:trPr>
          <w:trHeight w:val="11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bCs/>
                <w:color w:val="000000"/>
                <w:sz w:val="22"/>
                <w:szCs w:val="22"/>
                <w:lang w:eastAsia="en-AU"/>
              </w:rPr>
              <w:t>Lower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bCs/>
                <w:color w:val="000000"/>
                <w:sz w:val="22"/>
                <w:szCs w:val="22"/>
                <w:lang w:eastAsia="en-AU"/>
              </w:rPr>
              <w:t>Upper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bCs/>
                <w:i/>
                <w:color w:val="000000"/>
                <w:sz w:val="22"/>
                <w:szCs w:val="22"/>
                <w:lang w:eastAsia="en-AU"/>
              </w:rPr>
              <w:t>p</w:t>
            </w:r>
            <w:r w:rsidRPr="002A14FA">
              <w:rPr>
                <w:b/>
                <w:bCs/>
                <w:i/>
                <w:color w:val="000000"/>
                <w:sz w:val="22"/>
                <w:szCs w:val="22"/>
                <w:vertAlign w:val="subscript"/>
                <w:lang w:eastAsia="en-AU"/>
              </w:rPr>
              <w:t>value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color w:val="000000"/>
                <w:sz w:val="22"/>
                <w:szCs w:val="22"/>
                <w:lang w:eastAsia="en-AU"/>
              </w:rPr>
              <w:t>UTI (yes vs. no)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Green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Reference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 xml:space="preserve">Yellow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0.77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3.21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0.72</w:t>
            </w:r>
          </w:p>
        </w:tc>
      </w:tr>
      <w:tr w:rsidR="00D8708C" w:rsidRPr="002A14FA" w:rsidTr="00C943A8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 xml:space="preserve">Red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5.50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0.98</w:t>
            </w:r>
          </w:p>
        </w:tc>
      </w:tr>
      <w:tr w:rsidR="00D8708C" w:rsidRPr="002A14FA" w:rsidTr="00C943A8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color w:val="000000"/>
                <w:sz w:val="22"/>
                <w:szCs w:val="22"/>
                <w:lang w:eastAsia="en-AU"/>
              </w:rPr>
              <w:t>Hypertension (yes vs. no)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Green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Reference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 xml:space="preserve">Yellow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0.55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1.28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0.17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 xml:space="preserve">Red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0.81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2.42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0.71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color w:val="000000"/>
                <w:sz w:val="22"/>
                <w:szCs w:val="22"/>
                <w:lang w:eastAsia="en-AU"/>
              </w:rPr>
              <w:t>Alcohol (yes vs. no)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Green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Reference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 xml:space="preserve">Yellow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2.14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1.05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4.38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0.04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 xml:space="preserve">Red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1.17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3.18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0.76</w:t>
            </w:r>
          </w:p>
        </w:tc>
      </w:tr>
      <w:tr w:rsidR="00D8708C" w:rsidRPr="002A14FA" w:rsidTr="00C943A8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color w:val="000000"/>
                <w:sz w:val="22"/>
                <w:szCs w:val="22"/>
                <w:lang w:eastAsia="en-AU"/>
              </w:rPr>
              <w:t>Smoking (yes vs. no)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Green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Reference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 xml:space="preserve">Yellow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1.20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2.44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0.61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 xml:space="preserve">Red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1.11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3.10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0.85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bCs/>
                <w:color w:val="000000"/>
                <w:sz w:val="22"/>
                <w:szCs w:val="22"/>
                <w:lang w:eastAsia="en-AU"/>
              </w:rPr>
              <w:t>BMI (overweight vs normal)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Green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Reference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 xml:space="preserve">Yellow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2.02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1.04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3.93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0.04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 xml:space="preserve">Red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3.07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1.20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7.90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0.02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bCs/>
                <w:color w:val="000000"/>
                <w:sz w:val="22"/>
                <w:szCs w:val="22"/>
                <w:lang w:eastAsia="en-AU"/>
              </w:rPr>
              <w:t>BMI (obese vs. normal)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Green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Reference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 xml:space="preserve">Yellow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2.43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1.05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5.62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0.04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 xml:space="preserve">Red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2.15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6.77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color w:val="000000"/>
                <w:sz w:val="22"/>
                <w:szCs w:val="22"/>
                <w:lang w:eastAsia="en-AU"/>
              </w:rPr>
              <w:t>0.19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bCs/>
                <w:color w:val="000000"/>
                <w:sz w:val="22"/>
                <w:szCs w:val="22"/>
                <w:lang w:eastAsia="en-AU"/>
              </w:rPr>
              <w:t>WHR &gt; 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Green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Reference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 xml:space="preserve">Yellow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2.29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1.22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4.30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0.01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Red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3.82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1.62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8.98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0.002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/>
                <w:bCs/>
                <w:color w:val="000000"/>
                <w:sz w:val="22"/>
                <w:szCs w:val="22"/>
                <w:lang w:eastAsia="en-AU"/>
              </w:rPr>
              <w:t>Diabetes (yes vs. no)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Green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Reference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 xml:space="preserve">Yellow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2.64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1.04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6.71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0.04</w:t>
            </w:r>
          </w:p>
        </w:tc>
      </w:tr>
      <w:tr w:rsidR="00D8708C" w:rsidRPr="002A14FA" w:rsidTr="00C943A8">
        <w:trPr>
          <w:trHeight w:val="300"/>
          <w:jc w:val="center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 xml:space="preserve">Red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4.61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1.52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13.97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08C" w:rsidRPr="002A14FA" w:rsidRDefault="00D8708C" w:rsidP="00C943A8">
            <w:pPr>
              <w:spacing w:line="240" w:lineRule="auto"/>
              <w:jc w:val="center"/>
              <w:rPr>
                <w:bCs/>
                <w:color w:val="000000"/>
                <w:sz w:val="22"/>
                <w:szCs w:val="22"/>
                <w:lang w:eastAsia="en-AU"/>
              </w:rPr>
            </w:pPr>
            <w:r w:rsidRPr="002A14FA">
              <w:rPr>
                <w:bCs/>
                <w:color w:val="000000"/>
                <w:sz w:val="22"/>
                <w:szCs w:val="22"/>
                <w:lang w:eastAsia="en-AU"/>
              </w:rPr>
              <w:t>0.007</w:t>
            </w:r>
          </w:p>
        </w:tc>
      </w:tr>
    </w:tbl>
    <w:p w:rsidR="00D8708C" w:rsidRPr="002A14FA" w:rsidRDefault="00D8708C" w:rsidP="00D8708C">
      <w:pPr>
        <w:spacing w:line="240" w:lineRule="auto"/>
        <w:jc w:val="both"/>
        <w:rPr>
          <w:color w:val="FF0000"/>
        </w:rPr>
      </w:pPr>
      <w:r w:rsidRPr="002A14FA">
        <w:t>The odds of progression from green to yellow (3.5 – 35 mg/</w:t>
      </w:r>
      <w:proofErr w:type="spellStart"/>
      <w:r w:rsidRPr="002A14FA">
        <w:t>mmol</w:t>
      </w:r>
      <w:proofErr w:type="spellEnd"/>
      <w:r w:rsidRPr="002A14FA">
        <w:t>) and green to red (≥35mg/</w:t>
      </w:r>
      <w:proofErr w:type="spellStart"/>
      <w:r w:rsidRPr="002A14FA">
        <w:t>mmol</w:t>
      </w:r>
      <w:proofErr w:type="spellEnd"/>
      <w:r w:rsidRPr="002A14FA">
        <w:t xml:space="preserve">) as described in the Kidney Health Australia </w:t>
      </w:r>
      <w:r w:rsidRPr="002A14FA">
        <w:fldChar w:fldCharType="begin"/>
      </w:r>
      <w:r w:rsidRPr="002A14FA">
        <w:instrText xml:space="preserve"> ADDIN EN.CITE &lt;EndNote&gt;&lt;Cite&gt;&lt;Author&gt;Kidney Health Australia&lt;/Author&gt;&lt;Year&gt;2012&lt;/Year&gt;&lt;RecNum&gt;298&lt;/RecNum&gt;&lt;DisplayText&gt;[7]&lt;/DisplayText&gt;&lt;record&gt;&lt;rec-number&gt;298&lt;/rec-number&gt;&lt;foreign-keys&gt;&lt;key app="EN" db-id="9x0w9aefa2aepfewrv55tz2os2adet2rrxwt"&gt;298&lt;/key&gt;&lt;/foreign-keys&gt;&lt;ref-type name="Electronic Book"&gt;44&lt;/ref-type&gt;&lt;contributors&gt;&lt;authors&gt;&lt;author&gt;Kidney Health Australia, &lt;/author&gt;&lt;/authors&gt;&lt;/contributors&gt;&lt;titles&gt;&lt;title&gt;Chronic Kidney Disease (CKD) Management in General Practice (2nd edition)&lt;/title&gt;&lt;/titles&gt;&lt;dates&gt;&lt;year&gt;2012&lt;/year&gt;&lt;/dates&gt;&lt;pub-location&gt;Melbourne&lt;/pub-location&gt;&lt;urls&gt;&lt;/urls&gt;&lt;/record&gt;&lt;/Cite&gt;&lt;/EndNote&gt;</w:instrText>
      </w:r>
      <w:r w:rsidRPr="002A14FA">
        <w:fldChar w:fldCharType="separate"/>
      </w:r>
      <w:r w:rsidRPr="002A14FA">
        <w:rPr>
          <w:noProof/>
        </w:rPr>
        <w:t>[</w:t>
      </w:r>
      <w:hyperlink w:anchor="_ENREF_7" w:tooltip="Kidney Health Australia, 2012 #298" w:history="1">
        <w:r w:rsidRPr="002A14FA">
          <w:rPr>
            <w:noProof/>
          </w:rPr>
          <w:t>7</w:t>
        </w:r>
      </w:hyperlink>
      <w:r w:rsidRPr="002A14FA">
        <w:rPr>
          <w:noProof/>
        </w:rPr>
        <w:t>]</w:t>
      </w:r>
      <w:r w:rsidRPr="002A14FA">
        <w:fldChar w:fldCharType="end"/>
      </w:r>
      <w:r w:rsidRPr="002A14FA">
        <w:t xml:space="preserve">, clinical guidelines The Central Australian Rural Practitioners Association (CARPA) Treatment guidelines </w:t>
      </w:r>
      <w:r w:rsidRPr="002A14FA">
        <w:fldChar w:fldCharType="begin"/>
      </w:r>
      <w:r w:rsidRPr="002A14FA">
        <w:instrText xml:space="preserve"> ADDIN EN.CITE &lt;EndNote&gt;&lt;Cite&gt;&lt;Author&gt;CARPA&lt;/Author&gt;&lt;Year&gt;2014&lt;/Year&gt;&lt;RecNum&gt;316&lt;/RecNum&gt;&lt;DisplayText&gt;[11]&lt;/DisplayText&gt;&lt;record&gt;&lt;rec-number&gt;316&lt;/rec-number&gt;&lt;foreign-keys&gt;&lt;key app="EN" db-id="9x0w9aefa2aepfewrv55tz2os2adet2rrxwt"&gt;316&lt;/key&gt;&lt;/foreign-keys&gt;&lt;ref-type name="Electronic Book"&gt;44&lt;/ref-type&gt;&lt;contributors&gt;&lt;authors&gt;&lt;author&gt;The Central Australian Rural Practitioners Association (CARPA)&lt;/author&gt;&lt;/authors&gt;&lt;tertiary-authors&gt;&lt;author&gt;Centre for Remote Health&lt;/author&gt;&lt;/tertiary-authors&gt;&lt;/contributors&gt;&lt;titles&gt;&lt;title&gt;CARPA Standard Treatment Manual&lt;/title&gt;&lt;/titles&gt;&lt;edition&gt;6th Edition&lt;/edition&gt;&lt;dates&gt;&lt;year&gt;2014&lt;/year&gt;&lt;/dates&gt;&lt;pub-location&gt;Alice Springs&lt;/pub-location&gt;&lt;urls&gt;&lt;/urls&gt;&lt;/record&gt;&lt;/Cite&gt;&lt;/EndNote&gt;</w:instrText>
      </w:r>
      <w:r w:rsidRPr="002A14FA">
        <w:fldChar w:fldCharType="separate"/>
      </w:r>
      <w:r w:rsidRPr="002A14FA">
        <w:rPr>
          <w:noProof/>
        </w:rPr>
        <w:t>[</w:t>
      </w:r>
      <w:hyperlink w:anchor="_ENREF_11" w:tooltip="(CARPA), 2014 #316" w:history="1">
        <w:r w:rsidRPr="002A14FA">
          <w:rPr>
            <w:noProof/>
          </w:rPr>
          <w:t>11</w:t>
        </w:r>
      </w:hyperlink>
      <w:r w:rsidRPr="002A14FA">
        <w:rPr>
          <w:noProof/>
        </w:rPr>
        <w:t>]</w:t>
      </w:r>
      <w:r w:rsidRPr="002A14FA">
        <w:fldChar w:fldCharType="end"/>
      </w:r>
      <w:r w:rsidRPr="002A14FA">
        <w:t xml:space="preserve"> using multinomial logistic regression. All models adjusted for age, gender, community and ACR at baseline.</w:t>
      </w:r>
    </w:p>
    <w:p w:rsidR="00DD258B" w:rsidRDefault="00DD258B"/>
    <w:sectPr w:rsidR="00DD258B" w:rsidSect="00661A7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11D5">
      <w:pPr>
        <w:spacing w:line="240" w:lineRule="auto"/>
      </w:pPr>
      <w:r>
        <w:separator/>
      </w:r>
    </w:p>
  </w:endnote>
  <w:endnote w:type="continuationSeparator" w:id="0">
    <w:p w:rsidR="00000000" w:rsidRDefault="002C1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FC2" w:rsidRDefault="001108CF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C11D5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11D5">
      <w:pPr>
        <w:spacing w:line="240" w:lineRule="auto"/>
      </w:pPr>
      <w:r>
        <w:separator/>
      </w:r>
    </w:p>
  </w:footnote>
  <w:footnote w:type="continuationSeparator" w:id="0">
    <w:p w:rsidR="00000000" w:rsidRDefault="002C11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8C"/>
    <w:rsid w:val="001108CF"/>
    <w:rsid w:val="002C11D5"/>
    <w:rsid w:val="00BF7D42"/>
    <w:rsid w:val="00D8708C"/>
    <w:rsid w:val="00D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56DC3-E732-4533-B2D9-3B2D952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8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8708C"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70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D870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870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Ritte</dc:creator>
  <cp:lastModifiedBy>Rebecca Ritte</cp:lastModifiedBy>
  <cp:revision>2</cp:revision>
  <dcterms:created xsi:type="dcterms:W3CDTF">2016-07-29T05:50:00Z</dcterms:created>
  <dcterms:modified xsi:type="dcterms:W3CDTF">2016-07-29T05:50:00Z</dcterms:modified>
</cp:coreProperties>
</file>