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B1" w:rsidRDefault="00EF37B1" w:rsidP="00083247">
      <w:pPr>
        <w:jc w:val="center"/>
        <w:rPr>
          <w:rFonts w:ascii="Century" w:hAnsi="Century"/>
          <w:b/>
          <w:sz w:val="24"/>
        </w:rPr>
      </w:pPr>
    </w:p>
    <w:p w:rsidR="00A1638B" w:rsidRPr="00D6400D" w:rsidRDefault="00C93053" w:rsidP="00083247">
      <w:pPr>
        <w:jc w:val="center"/>
        <w:rPr>
          <w:rFonts w:ascii="Century" w:hAnsi="Century"/>
          <w:b/>
          <w:sz w:val="24"/>
        </w:rPr>
      </w:pPr>
      <w:r w:rsidRPr="00D6400D">
        <w:rPr>
          <w:rFonts w:ascii="Century" w:hAnsi="Century"/>
          <w:b/>
          <w:sz w:val="24"/>
        </w:rPr>
        <w:t xml:space="preserve">Supplementary Table S1. </w:t>
      </w:r>
      <w:r w:rsidR="00283CD2" w:rsidRPr="00D6400D">
        <w:rPr>
          <w:rFonts w:ascii="Century" w:hAnsi="Century"/>
          <w:b/>
          <w:sz w:val="24"/>
        </w:rPr>
        <w:t xml:space="preserve">Recommended </w:t>
      </w:r>
      <w:r w:rsidR="0032177D" w:rsidRPr="00D6400D">
        <w:rPr>
          <w:rFonts w:ascii="Century" w:hAnsi="Century"/>
          <w:b/>
          <w:sz w:val="24"/>
        </w:rPr>
        <w:t>TSB Levels for</w:t>
      </w:r>
      <w:r w:rsidR="00B727F6" w:rsidRPr="00D6400D">
        <w:rPr>
          <w:rFonts w:ascii="Century" w:hAnsi="Century"/>
          <w:b/>
          <w:sz w:val="24"/>
        </w:rPr>
        <w:t xml:space="preserve"> </w:t>
      </w:r>
      <w:r w:rsidR="00D15991" w:rsidRPr="00D6400D">
        <w:rPr>
          <w:rFonts w:ascii="Century" w:hAnsi="Century"/>
          <w:b/>
          <w:sz w:val="24"/>
        </w:rPr>
        <w:t>P</w:t>
      </w:r>
      <w:r w:rsidR="00B727F6" w:rsidRPr="00D6400D">
        <w:rPr>
          <w:rFonts w:ascii="Century" w:hAnsi="Century"/>
          <w:b/>
          <w:sz w:val="24"/>
        </w:rPr>
        <w:t>hototherapy</w:t>
      </w: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418"/>
        <w:gridCol w:w="1559"/>
        <w:gridCol w:w="1413"/>
      </w:tblGrid>
      <w:tr w:rsidR="00B11A0A" w:rsidRPr="00D6400D" w:rsidTr="009A444B">
        <w:trPr>
          <w:trHeight w:val="1078"/>
          <w:jc w:val="center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11A0A" w:rsidRDefault="00B11A0A" w:rsidP="002B1C6B">
            <w:pPr>
              <w:jc w:val="center"/>
              <w:rPr>
                <w:rFonts w:ascii="Century" w:hAnsi="Century"/>
                <w:b/>
              </w:rPr>
            </w:pPr>
          </w:p>
          <w:p w:rsidR="00B11A0A" w:rsidRPr="00D6400D" w:rsidRDefault="00B11A0A" w:rsidP="002B1C6B">
            <w:pPr>
              <w:jc w:val="center"/>
              <w:rPr>
                <w:rFonts w:ascii="Century" w:hAnsi="Century"/>
                <w:b/>
              </w:rPr>
            </w:pPr>
            <w:r w:rsidRPr="00D6400D">
              <w:rPr>
                <w:rFonts w:ascii="Century" w:hAnsi="Century"/>
                <w:b/>
              </w:rPr>
              <w:t>Postnatal Age</w:t>
            </w:r>
            <w:r>
              <w:rPr>
                <w:rFonts w:ascii="Century" w:hAnsi="Century"/>
                <w:b/>
              </w:rPr>
              <w:t xml:space="preserve"> (hours)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11A0A" w:rsidRPr="00D6400D" w:rsidRDefault="00B11A0A" w:rsidP="002B1C6B">
            <w:pPr>
              <w:jc w:val="center"/>
              <w:rPr>
                <w:rFonts w:ascii="Century" w:hAnsi="Century"/>
                <w:b/>
              </w:rPr>
            </w:pPr>
            <w:r w:rsidRPr="00D6400D">
              <w:rPr>
                <w:rFonts w:ascii="Century" w:hAnsi="Century"/>
                <w:b/>
              </w:rPr>
              <w:t>AAP 2004</w:t>
            </w:r>
            <w:r w:rsidRPr="00D6400D">
              <w:rPr>
                <w:rFonts w:ascii="Century" w:hAnsi="Century"/>
                <w:b/>
                <w:vertAlign w:val="superscript"/>
              </w:rPr>
              <w:t>a</w:t>
            </w:r>
          </w:p>
          <w:p w:rsidR="00B11A0A" w:rsidRPr="00D6400D" w:rsidRDefault="00B11A0A" w:rsidP="004968BA">
            <w:pPr>
              <w:jc w:val="center"/>
              <w:rPr>
                <w:rFonts w:ascii="Century" w:hAnsi="Century"/>
                <w:b/>
              </w:rPr>
            </w:pPr>
            <w:r w:rsidRPr="00D6400D">
              <w:rPr>
                <w:rFonts w:ascii="Century" w:hAnsi="Century"/>
                <w:b/>
              </w:rPr>
              <w:t>Medium Risk</w:t>
            </w:r>
          </w:p>
          <w:p w:rsidR="00B11A0A" w:rsidRPr="00D6400D" w:rsidRDefault="00B11A0A" w:rsidP="004968BA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(mg/</w:t>
            </w:r>
            <w:proofErr w:type="spellStart"/>
            <w:r>
              <w:rPr>
                <w:rFonts w:ascii="Century" w:hAnsi="Century"/>
                <w:b/>
              </w:rPr>
              <w:t>dL</w:t>
            </w:r>
            <w:proofErr w:type="spellEnd"/>
            <w:r>
              <w:rPr>
                <w:rFonts w:ascii="Century" w:hAnsi="Century"/>
                <w:b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11A0A" w:rsidRDefault="00B11A0A" w:rsidP="002B1C6B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95</w:t>
            </w:r>
            <w:r w:rsidRPr="002B1C6B">
              <w:rPr>
                <w:rFonts w:ascii="Century" w:hAnsi="Century"/>
                <w:b/>
                <w:vertAlign w:val="superscript"/>
              </w:rPr>
              <w:t>th</w:t>
            </w:r>
            <w:r>
              <w:rPr>
                <w:rFonts w:ascii="Century" w:hAnsi="Century"/>
                <w:b/>
              </w:rPr>
              <w:t xml:space="preserve"> Percentile</w:t>
            </w:r>
          </w:p>
          <w:p w:rsidR="00B11A0A" w:rsidRDefault="00B11A0A" w:rsidP="002B1C6B">
            <w:pPr>
              <w:jc w:val="center"/>
              <w:rPr>
                <w:rFonts w:ascii="Century" w:hAnsi="Century"/>
                <w:b/>
                <w:vertAlign w:val="superscript"/>
              </w:rPr>
            </w:pPr>
            <w:r>
              <w:rPr>
                <w:rFonts w:ascii="Century" w:hAnsi="Century"/>
                <w:b/>
              </w:rPr>
              <w:t xml:space="preserve">on </w:t>
            </w:r>
            <w:proofErr w:type="spellStart"/>
            <w:r>
              <w:rPr>
                <w:rFonts w:ascii="Century" w:hAnsi="Century"/>
                <w:b/>
              </w:rPr>
              <w:t>Bhutani</w:t>
            </w:r>
            <w:proofErr w:type="spellEnd"/>
            <w:r>
              <w:rPr>
                <w:rFonts w:ascii="Century" w:hAnsi="Century"/>
                <w:b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</w:rPr>
              <w:t>Nomogram</w:t>
            </w:r>
            <w:r w:rsidRPr="00467388">
              <w:rPr>
                <w:rFonts w:ascii="Century" w:hAnsi="Century"/>
                <w:b/>
                <w:vertAlign w:val="superscript"/>
              </w:rPr>
              <w:t>b</w:t>
            </w:r>
            <w:proofErr w:type="spellEnd"/>
          </w:p>
          <w:p w:rsidR="00B11A0A" w:rsidRPr="00D6400D" w:rsidRDefault="00B11A0A" w:rsidP="002B1C6B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(mg/</w:t>
            </w:r>
            <w:proofErr w:type="spellStart"/>
            <w:r>
              <w:rPr>
                <w:rFonts w:ascii="Century" w:hAnsi="Century"/>
                <w:b/>
              </w:rPr>
              <w:t>dL</w:t>
            </w:r>
            <w:proofErr w:type="spellEnd"/>
            <w:r>
              <w:rPr>
                <w:rFonts w:ascii="Century" w:hAnsi="Century"/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11A0A" w:rsidRDefault="00B11A0A" w:rsidP="002B1C6B">
            <w:pPr>
              <w:jc w:val="center"/>
              <w:rPr>
                <w:rFonts w:ascii="Century" w:hAnsi="Century"/>
                <w:b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</w:rPr>
              <w:t>NICE</w:t>
            </w:r>
            <w:r>
              <w:rPr>
                <w:rFonts w:ascii="Century" w:hAnsi="Century"/>
                <w:b/>
                <w:vertAlign w:val="superscript"/>
              </w:rPr>
              <w:t>c</w:t>
            </w:r>
            <w:proofErr w:type="spellEnd"/>
          </w:p>
          <w:p w:rsidR="00B11A0A" w:rsidRPr="00D6400D" w:rsidRDefault="00B11A0A" w:rsidP="002B1C6B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(mg/</w:t>
            </w:r>
            <w:proofErr w:type="spellStart"/>
            <w:r>
              <w:rPr>
                <w:rFonts w:ascii="Century" w:hAnsi="Century"/>
                <w:b/>
              </w:rPr>
              <w:t>dL</w:t>
            </w:r>
            <w:proofErr w:type="spellEnd"/>
            <w:r>
              <w:rPr>
                <w:rFonts w:ascii="Century" w:hAnsi="Century"/>
                <w:b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11A0A" w:rsidRDefault="00B11A0A" w:rsidP="002B1C6B">
            <w:pPr>
              <w:jc w:val="center"/>
              <w:rPr>
                <w:rFonts w:ascii="Century" w:hAnsi="Century"/>
                <w:b/>
              </w:rPr>
            </w:pPr>
            <w:proofErr w:type="spellStart"/>
            <w:r>
              <w:rPr>
                <w:rFonts w:ascii="Century" w:hAnsi="Century"/>
                <w:b/>
              </w:rPr>
              <w:t>WHO</w:t>
            </w:r>
            <w:r w:rsidRPr="00C05E0B">
              <w:rPr>
                <w:rFonts w:ascii="Century" w:hAnsi="Century"/>
                <w:b/>
                <w:vertAlign w:val="superscript"/>
              </w:rPr>
              <w:t>d</w:t>
            </w:r>
            <w:proofErr w:type="spellEnd"/>
          </w:p>
          <w:p w:rsidR="00B11A0A" w:rsidRPr="0093215E" w:rsidRDefault="00B11A0A" w:rsidP="002B1C6B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(mg/</w:t>
            </w:r>
            <w:proofErr w:type="spellStart"/>
            <w:r>
              <w:rPr>
                <w:rFonts w:ascii="Century" w:hAnsi="Century"/>
                <w:b/>
              </w:rPr>
              <w:t>dL</w:t>
            </w:r>
            <w:proofErr w:type="spellEnd"/>
            <w:r>
              <w:rPr>
                <w:rFonts w:ascii="Century" w:hAnsi="Century"/>
                <w:b/>
              </w:rPr>
              <w:t>)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B11A0A" w:rsidRDefault="00B11A0A" w:rsidP="004968BA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Current</w:t>
            </w:r>
          </w:p>
          <w:p w:rsidR="00B11A0A" w:rsidRDefault="00B11A0A" w:rsidP="004968BA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(mg/</w:t>
            </w:r>
            <w:proofErr w:type="spellStart"/>
            <w:r>
              <w:rPr>
                <w:rFonts w:ascii="Century" w:hAnsi="Century"/>
                <w:b/>
              </w:rPr>
              <w:t>dL</w:t>
            </w:r>
            <w:proofErr w:type="spellEnd"/>
            <w:r>
              <w:rPr>
                <w:rFonts w:ascii="Century" w:hAnsi="Century"/>
                <w:b/>
              </w:rPr>
              <w:t>)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  <w:tcBorders>
              <w:top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≥9.9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≥7.8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&gt;11.7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 w:rsidRPr="00EA0605">
              <w:rPr>
                <w:rFonts w:ascii="Century" w:hAnsi="Century"/>
              </w:rPr>
              <w:t>≥</w:t>
            </w:r>
            <w:r>
              <w:rPr>
                <w:rFonts w:ascii="Century" w:hAnsi="Century"/>
              </w:rPr>
              <w:t>15.0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B11A0A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30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≥10.8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≥9.5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&gt;12.4</w:t>
            </w:r>
          </w:p>
        </w:tc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36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≥11.7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≥11.1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&gt;13.2</w:t>
            </w:r>
          </w:p>
        </w:tc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  <w:bookmarkStart w:id="0" w:name="_GoBack"/>
        <w:bookmarkEnd w:id="0"/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42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≥12.4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≥12.4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&gt;13.9</w:t>
            </w:r>
          </w:p>
        </w:tc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48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≥13.1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≥13.2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&gt;14.6</w:t>
            </w:r>
          </w:p>
        </w:tc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54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≥13.9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≥14.1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&gt;15.3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69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60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≥14.6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≥15.2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&gt;16.1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66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≥15.1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≥15.5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&gt;16.8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≥15.5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≥15.9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&gt;17.5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78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≥16.1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≥16.3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&gt;18.2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84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≥16.6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≥16.7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&gt;19.0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90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≥17.1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≥17.1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&gt;19.7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96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≥17.5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≥17.4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&gt;20.5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102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≥17.8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≥17.5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&gt;20.5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108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≥18.0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≥17.5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&gt;20.5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114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≥18.0</w:t>
            </w:r>
          </w:p>
        </w:tc>
        <w:tc>
          <w:tcPr>
            <w:tcW w:w="1701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≥17.6</w:t>
            </w:r>
          </w:p>
        </w:tc>
        <w:tc>
          <w:tcPr>
            <w:tcW w:w="1418" w:type="dxa"/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&gt;20.5</w:t>
            </w:r>
          </w:p>
        </w:tc>
        <w:tc>
          <w:tcPr>
            <w:tcW w:w="1559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  <w:tr w:rsidR="00B11A0A" w:rsidRPr="00D6400D" w:rsidTr="009A444B">
        <w:trPr>
          <w:trHeight w:val="378"/>
          <w:jc w:val="center"/>
        </w:trPr>
        <w:tc>
          <w:tcPr>
            <w:tcW w:w="1559" w:type="dxa"/>
            <w:tcBorders>
              <w:bottom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120+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≥18.0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≥17.7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1A0A" w:rsidRPr="00D6400D" w:rsidRDefault="00B11A0A" w:rsidP="009A444B">
            <w:pPr>
              <w:spacing w:before="120" w:after="12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&gt;20.5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01FE0">
              <w:rPr>
                <w:rFonts w:ascii="Century" w:hAnsi="Century"/>
              </w:rPr>
              <w:t>18.0</w:t>
            </w: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B11A0A" w:rsidRDefault="00B11A0A" w:rsidP="009A444B">
            <w:pPr>
              <w:spacing w:before="120" w:after="120"/>
              <w:jc w:val="center"/>
            </w:pPr>
            <w:r>
              <w:rPr>
                <w:rFonts w:ascii="Century" w:hAnsi="Century"/>
              </w:rPr>
              <w:t>≥</w:t>
            </w:r>
            <w:r w:rsidRPr="001D4B45">
              <w:rPr>
                <w:rFonts w:ascii="Century" w:hAnsi="Century"/>
              </w:rPr>
              <w:t>12</w:t>
            </w:r>
          </w:p>
        </w:tc>
      </w:tr>
    </w:tbl>
    <w:p w:rsidR="0032177D" w:rsidRDefault="00C6647A" w:rsidP="00B11A0A">
      <w:pPr>
        <w:spacing w:after="0" w:line="240" w:lineRule="auto"/>
        <w:ind w:left="284"/>
        <w:jc w:val="both"/>
        <w:rPr>
          <w:rFonts w:ascii="Century" w:hAnsi="Century"/>
          <w:sz w:val="16"/>
          <w:szCs w:val="16"/>
        </w:rPr>
      </w:pPr>
      <w:proofErr w:type="spellStart"/>
      <w:r w:rsidRPr="00C6647A">
        <w:rPr>
          <w:rFonts w:ascii="Century" w:hAnsi="Century"/>
          <w:sz w:val="16"/>
          <w:szCs w:val="16"/>
          <w:vertAlign w:val="superscript"/>
        </w:rPr>
        <w:t>a</w:t>
      </w:r>
      <w:r w:rsidR="0032177D" w:rsidRPr="00C6647A">
        <w:rPr>
          <w:rFonts w:ascii="Century" w:hAnsi="Century"/>
          <w:sz w:val="16"/>
          <w:szCs w:val="16"/>
        </w:rPr>
        <w:t>American</w:t>
      </w:r>
      <w:proofErr w:type="spellEnd"/>
      <w:r w:rsidR="0032177D" w:rsidRPr="00C6647A">
        <w:rPr>
          <w:rFonts w:ascii="Century" w:hAnsi="Century"/>
          <w:sz w:val="16"/>
          <w:szCs w:val="16"/>
        </w:rPr>
        <w:t xml:space="preserve"> Academy of Pediatrics (AAP). Management of hyperbilirubinemia in the newborn infant 35 or more weeks of gestation. </w:t>
      </w:r>
      <w:r w:rsidR="0032177D" w:rsidRPr="00C6647A">
        <w:rPr>
          <w:rFonts w:ascii="Century" w:hAnsi="Century"/>
          <w:i/>
          <w:sz w:val="16"/>
          <w:szCs w:val="16"/>
        </w:rPr>
        <w:t xml:space="preserve">Pediatrics </w:t>
      </w:r>
      <w:proofErr w:type="gramStart"/>
      <w:r w:rsidR="0032177D" w:rsidRPr="00C6647A">
        <w:rPr>
          <w:rFonts w:ascii="Century" w:hAnsi="Century"/>
          <w:sz w:val="16"/>
          <w:szCs w:val="16"/>
        </w:rPr>
        <w:t>2004;114:297</w:t>
      </w:r>
      <w:proofErr w:type="gramEnd"/>
      <w:r w:rsidR="0032177D" w:rsidRPr="00C6647A">
        <w:rPr>
          <w:rFonts w:ascii="Century" w:hAnsi="Century"/>
          <w:sz w:val="16"/>
          <w:szCs w:val="16"/>
        </w:rPr>
        <w:t>-316.</w:t>
      </w:r>
    </w:p>
    <w:p w:rsidR="00FA14DB" w:rsidRPr="00FA14DB" w:rsidRDefault="00FA14DB" w:rsidP="00B11A0A">
      <w:pPr>
        <w:pStyle w:val="ListParagraph"/>
        <w:spacing w:line="240" w:lineRule="auto"/>
        <w:ind w:left="284"/>
        <w:rPr>
          <w:rFonts w:ascii="Century" w:hAnsi="Century"/>
          <w:sz w:val="16"/>
          <w:lang w:eastAsia="en-GB"/>
        </w:rPr>
      </w:pPr>
      <w:proofErr w:type="spellStart"/>
      <w:r w:rsidRPr="00FA14DB">
        <w:rPr>
          <w:rFonts w:ascii="Century" w:hAnsi="Century"/>
          <w:sz w:val="16"/>
          <w:vertAlign w:val="superscript"/>
          <w:lang w:eastAsia="en-GB"/>
        </w:rPr>
        <w:t>b</w:t>
      </w:r>
      <w:r w:rsidRPr="00FA14DB">
        <w:rPr>
          <w:rFonts w:ascii="Century" w:hAnsi="Century"/>
          <w:sz w:val="16"/>
          <w:lang w:eastAsia="en-GB"/>
        </w:rPr>
        <w:t>Bhutani</w:t>
      </w:r>
      <w:proofErr w:type="spellEnd"/>
      <w:r w:rsidRPr="00FA14DB">
        <w:rPr>
          <w:rFonts w:ascii="Century" w:hAnsi="Century"/>
          <w:sz w:val="16"/>
          <w:lang w:eastAsia="en-GB"/>
        </w:rPr>
        <w:t xml:space="preserve"> VK, Johnson L, </w:t>
      </w:r>
      <w:proofErr w:type="spellStart"/>
      <w:r w:rsidRPr="00FA14DB">
        <w:rPr>
          <w:rFonts w:ascii="Century" w:hAnsi="Century"/>
          <w:sz w:val="16"/>
          <w:lang w:eastAsia="en-GB"/>
        </w:rPr>
        <w:t>Sivieri</w:t>
      </w:r>
      <w:proofErr w:type="spellEnd"/>
      <w:r w:rsidRPr="00FA14DB">
        <w:rPr>
          <w:rFonts w:ascii="Century" w:hAnsi="Century"/>
          <w:sz w:val="16"/>
          <w:lang w:eastAsia="en-GB"/>
        </w:rPr>
        <w:t xml:space="preserve"> EM. Predictive ability of a </w:t>
      </w:r>
      <w:proofErr w:type="spellStart"/>
      <w:r w:rsidRPr="00FA14DB">
        <w:rPr>
          <w:rFonts w:ascii="Century" w:hAnsi="Century"/>
          <w:sz w:val="16"/>
          <w:lang w:eastAsia="en-GB"/>
        </w:rPr>
        <w:t>predischarge</w:t>
      </w:r>
      <w:proofErr w:type="spellEnd"/>
      <w:r w:rsidRPr="00FA14DB">
        <w:rPr>
          <w:rFonts w:ascii="Century" w:hAnsi="Century"/>
          <w:sz w:val="16"/>
          <w:lang w:eastAsia="en-GB"/>
        </w:rPr>
        <w:t xml:space="preserve"> hour-specific serum bilirubin for subsequent significant hyperbilirubinemia in healthy term and near-term newborns. </w:t>
      </w:r>
      <w:r w:rsidRPr="00FA14DB">
        <w:rPr>
          <w:rFonts w:ascii="Century" w:hAnsi="Century"/>
          <w:i/>
          <w:sz w:val="16"/>
          <w:lang w:eastAsia="en-GB"/>
        </w:rPr>
        <w:t>Pediatrics</w:t>
      </w:r>
      <w:r w:rsidRPr="00FA14DB">
        <w:rPr>
          <w:rFonts w:ascii="Century" w:hAnsi="Century"/>
          <w:sz w:val="16"/>
          <w:lang w:eastAsia="en-GB"/>
        </w:rPr>
        <w:t xml:space="preserve">. </w:t>
      </w:r>
      <w:proofErr w:type="gramStart"/>
      <w:r w:rsidRPr="00FA14DB">
        <w:rPr>
          <w:rFonts w:ascii="Century" w:hAnsi="Century"/>
          <w:sz w:val="16"/>
          <w:lang w:eastAsia="en-GB"/>
        </w:rPr>
        <w:t>1999;103:6</w:t>
      </w:r>
      <w:proofErr w:type="gramEnd"/>
      <w:r w:rsidRPr="00FA14DB">
        <w:rPr>
          <w:rFonts w:ascii="Century" w:hAnsi="Century"/>
          <w:sz w:val="16"/>
          <w:lang w:eastAsia="en-GB"/>
        </w:rPr>
        <w:t>-14.</w:t>
      </w:r>
    </w:p>
    <w:p w:rsidR="000A67DD" w:rsidRPr="000A67DD" w:rsidRDefault="00FA14DB" w:rsidP="00B11A0A">
      <w:pPr>
        <w:spacing w:after="0" w:line="240" w:lineRule="auto"/>
        <w:ind w:left="284"/>
        <w:jc w:val="both"/>
        <w:rPr>
          <w:rStyle w:val="apple-style-span"/>
          <w:rFonts w:ascii="Century" w:hAnsi="Century"/>
          <w:sz w:val="16"/>
          <w:szCs w:val="16"/>
        </w:rPr>
      </w:pPr>
      <w:proofErr w:type="spellStart"/>
      <w:r>
        <w:rPr>
          <w:rStyle w:val="apple-style-span"/>
          <w:rFonts w:ascii="Century" w:hAnsi="Century"/>
          <w:sz w:val="16"/>
          <w:szCs w:val="16"/>
          <w:shd w:val="clear" w:color="auto" w:fill="FFFFFF"/>
          <w:vertAlign w:val="superscript"/>
        </w:rPr>
        <w:t>c</w:t>
      </w:r>
      <w:r w:rsidR="000A67DD" w:rsidRPr="000A67DD">
        <w:rPr>
          <w:rStyle w:val="apple-style-span"/>
          <w:rFonts w:ascii="Century" w:hAnsi="Century"/>
          <w:sz w:val="16"/>
          <w:szCs w:val="16"/>
          <w:shd w:val="clear" w:color="auto" w:fill="FFFFFF"/>
        </w:rPr>
        <w:t>National</w:t>
      </w:r>
      <w:proofErr w:type="spellEnd"/>
      <w:r w:rsidR="000A67DD" w:rsidRPr="000A67DD">
        <w:rPr>
          <w:rStyle w:val="apple-style-span"/>
          <w:rFonts w:ascii="Century" w:hAnsi="Century"/>
          <w:sz w:val="16"/>
          <w:szCs w:val="16"/>
          <w:shd w:val="clear" w:color="auto" w:fill="FFFFFF"/>
        </w:rPr>
        <w:t xml:space="preserve"> Institute for Health and Clinical Excellence</w:t>
      </w:r>
      <w:r w:rsidR="00044A33">
        <w:rPr>
          <w:rStyle w:val="apple-style-span"/>
          <w:rFonts w:ascii="Century" w:hAnsi="Century"/>
          <w:sz w:val="16"/>
          <w:szCs w:val="16"/>
          <w:shd w:val="clear" w:color="auto" w:fill="FFFFFF"/>
        </w:rPr>
        <w:t xml:space="preserve"> (NICE)</w:t>
      </w:r>
      <w:r w:rsidR="000A67DD" w:rsidRPr="000A67DD">
        <w:rPr>
          <w:rStyle w:val="apple-style-span"/>
          <w:rFonts w:ascii="Century" w:hAnsi="Century"/>
          <w:sz w:val="16"/>
          <w:szCs w:val="16"/>
          <w:shd w:val="clear" w:color="auto" w:fill="FFFFFF"/>
        </w:rPr>
        <w:t>.</w:t>
      </w:r>
      <w:r w:rsidR="000A67DD" w:rsidRPr="000A67DD">
        <w:rPr>
          <w:rStyle w:val="apple-converted-space"/>
          <w:rFonts w:ascii="Century" w:hAnsi="Century"/>
          <w:sz w:val="16"/>
          <w:szCs w:val="16"/>
          <w:shd w:val="clear" w:color="auto" w:fill="FFFFFF"/>
        </w:rPr>
        <w:t> </w:t>
      </w:r>
      <w:r w:rsidR="000A67DD" w:rsidRPr="000A67DD">
        <w:rPr>
          <w:rStyle w:val="apple-style-span"/>
          <w:rFonts w:ascii="Century" w:hAnsi="Century"/>
          <w:sz w:val="16"/>
          <w:szCs w:val="16"/>
          <w:shd w:val="clear" w:color="auto" w:fill="FFFFFF"/>
        </w:rPr>
        <w:t xml:space="preserve">Neonatal jaundice. (Clinical guideline 98.), 2010. </w:t>
      </w:r>
      <w:hyperlink r:id="rId6" w:history="1">
        <w:r w:rsidR="000A67DD" w:rsidRPr="000A67DD">
          <w:rPr>
            <w:rStyle w:val="Hyperlink"/>
            <w:rFonts w:ascii="Century" w:hAnsi="Century"/>
            <w:sz w:val="16"/>
            <w:szCs w:val="16"/>
            <w:bdr w:val="none" w:sz="0" w:space="0" w:color="auto" w:frame="1"/>
            <w:shd w:val="clear" w:color="auto" w:fill="FFFFFF"/>
          </w:rPr>
          <w:t>www.nice.org.uk/CG98</w:t>
        </w:r>
      </w:hyperlink>
      <w:r w:rsidR="000A67DD" w:rsidRPr="000A67DD">
        <w:rPr>
          <w:rStyle w:val="apple-style-span"/>
          <w:rFonts w:ascii="Century" w:hAnsi="Century"/>
          <w:sz w:val="16"/>
          <w:szCs w:val="16"/>
          <w:shd w:val="clear" w:color="auto" w:fill="FFFFFF"/>
        </w:rPr>
        <w:t>.</w:t>
      </w:r>
    </w:p>
    <w:p w:rsidR="00D6400D" w:rsidRPr="00D6400D" w:rsidRDefault="00750638" w:rsidP="00B11A0A">
      <w:pPr>
        <w:spacing w:after="0" w:line="240" w:lineRule="auto"/>
        <w:ind w:left="284"/>
        <w:jc w:val="both"/>
        <w:rPr>
          <w:rFonts w:ascii="Century" w:hAnsi="Century"/>
          <w:sz w:val="20"/>
        </w:rPr>
      </w:pPr>
      <w:proofErr w:type="spellStart"/>
      <w:r>
        <w:rPr>
          <w:rFonts w:ascii="Century" w:hAnsi="Century"/>
          <w:sz w:val="16"/>
          <w:szCs w:val="16"/>
          <w:vertAlign w:val="superscript"/>
        </w:rPr>
        <w:t>d</w:t>
      </w:r>
      <w:r w:rsidRPr="00C6647A">
        <w:rPr>
          <w:rFonts w:ascii="Century" w:hAnsi="Century"/>
          <w:sz w:val="16"/>
          <w:szCs w:val="16"/>
        </w:rPr>
        <w:t>World</w:t>
      </w:r>
      <w:proofErr w:type="spellEnd"/>
      <w:r w:rsidRPr="00C6647A">
        <w:rPr>
          <w:rFonts w:ascii="Century" w:hAnsi="Century"/>
          <w:sz w:val="16"/>
          <w:szCs w:val="16"/>
        </w:rPr>
        <w:t xml:space="preserve"> Health </w:t>
      </w:r>
      <w:proofErr w:type="spellStart"/>
      <w:r w:rsidRPr="00C6647A">
        <w:rPr>
          <w:rFonts w:ascii="Century" w:hAnsi="Century"/>
          <w:sz w:val="16"/>
          <w:szCs w:val="16"/>
        </w:rPr>
        <w:t>Organisation</w:t>
      </w:r>
      <w:proofErr w:type="spellEnd"/>
      <w:r>
        <w:rPr>
          <w:rFonts w:ascii="Century" w:hAnsi="Century"/>
          <w:sz w:val="16"/>
          <w:szCs w:val="16"/>
        </w:rPr>
        <w:t xml:space="preserve"> (WHO)</w:t>
      </w:r>
      <w:r w:rsidRPr="00C6647A">
        <w:rPr>
          <w:rFonts w:ascii="Century" w:hAnsi="Century"/>
          <w:sz w:val="16"/>
          <w:szCs w:val="16"/>
        </w:rPr>
        <w:t xml:space="preserve">: </w:t>
      </w:r>
      <w:r w:rsidRPr="00C6647A">
        <w:rPr>
          <w:rFonts w:ascii="Century" w:hAnsi="Century"/>
          <w:i/>
          <w:sz w:val="16"/>
          <w:szCs w:val="16"/>
        </w:rPr>
        <w:t>Pocket Book of Hospital Care for Children: Guidelines for the Management of Common Childhood Illnesses</w:t>
      </w:r>
      <w:r w:rsidRPr="00C6647A">
        <w:rPr>
          <w:rFonts w:ascii="Century" w:hAnsi="Century"/>
          <w:sz w:val="16"/>
          <w:szCs w:val="16"/>
        </w:rPr>
        <w:t>. 2nd edition. Geneva: WH</w:t>
      </w:r>
      <w:r w:rsidR="00DF40CE">
        <w:rPr>
          <w:rFonts w:ascii="Century" w:hAnsi="Century"/>
          <w:sz w:val="16"/>
          <w:szCs w:val="16"/>
        </w:rPr>
        <w:t>O</w:t>
      </w:r>
      <w:r w:rsidRPr="00C6647A">
        <w:rPr>
          <w:rFonts w:ascii="Century" w:hAnsi="Century"/>
          <w:sz w:val="16"/>
          <w:szCs w:val="16"/>
        </w:rPr>
        <w:t>, 2013.</w:t>
      </w:r>
    </w:p>
    <w:sectPr w:rsidR="00D6400D" w:rsidRPr="00D6400D" w:rsidSect="00B11A0A"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649"/>
    <w:multiLevelType w:val="hybridMultilevel"/>
    <w:tmpl w:val="9D6E1B00"/>
    <w:lvl w:ilvl="0" w:tplc="17C07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7965"/>
    <w:multiLevelType w:val="hybridMultilevel"/>
    <w:tmpl w:val="3368A914"/>
    <w:lvl w:ilvl="0" w:tplc="E8046AC4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32"/>
    <w:rsid w:val="00044A33"/>
    <w:rsid w:val="00062CAB"/>
    <w:rsid w:val="00080A77"/>
    <w:rsid w:val="00083247"/>
    <w:rsid w:val="00090D10"/>
    <w:rsid w:val="000930ED"/>
    <w:rsid w:val="00095541"/>
    <w:rsid w:val="000A67DD"/>
    <w:rsid w:val="000E6DCE"/>
    <w:rsid w:val="001147BB"/>
    <w:rsid w:val="00123D40"/>
    <w:rsid w:val="00187C75"/>
    <w:rsid w:val="001A1DED"/>
    <w:rsid w:val="00283CD2"/>
    <w:rsid w:val="0028554C"/>
    <w:rsid w:val="002A7DEC"/>
    <w:rsid w:val="002B1C6B"/>
    <w:rsid w:val="00300575"/>
    <w:rsid w:val="0032177D"/>
    <w:rsid w:val="00324324"/>
    <w:rsid w:val="0039456C"/>
    <w:rsid w:val="004135A0"/>
    <w:rsid w:val="004538CE"/>
    <w:rsid w:val="00467388"/>
    <w:rsid w:val="004968BA"/>
    <w:rsid w:val="004B0E2D"/>
    <w:rsid w:val="00517CC2"/>
    <w:rsid w:val="00691D39"/>
    <w:rsid w:val="006F75FC"/>
    <w:rsid w:val="00704D32"/>
    <w:rsid w:val="00750638"/>
    <w:rsid w:val="007B1C1D"/>
    <w:rsid w:val="007C0039"/>
    <w:rsid w:val="007E594C"/>
    <w:rsid w:val="00831712"/>
    <w:rsid w:val="008504FD"/>
    <w:rsid w:val="00864932"/>
    <w:rsid w:val="008758D2"/>
    <w:rsid w:val="00910120"/>
    <w:rsid w:val="0093215E"/>
    <w:rsid w:val="00985478"/>
    <w:rsid w:val="00987ED5"/>
    <w:rsid w:val="009A025B"/>
    <w:rsid w:val="009A444B"/>
    <w:rsid w:val="00A24A6D"/>
    <w:rsid w:val="00A2728C"/>
    <w:rsid w:val="00A44214"/>
    <w:rsid w:val="00A67D5D"/>
    <w:rsid w:val="00A83CFA"/>
    <w:rsid w:val="00AA7194"/>
    <w:rsid w:val="00B11A0A"/>
    <w:rsid w:val="00B31628"/>
    <w:rsid w:val="00B40E21"/>
    <w:rsid w:val="00B54B75"/>
    <w:rsid w:val="00B722AA"/>
    <w:rsid w:val="00B727F6"/>
    <w:rsid w:val="00B93284"/>
    <w:rsid w:val="00BE40FA"/>
    <w:rsid w:val="00BE7E58"/>
    <w:rsid w:val="00C05E0B"/>
    <w:rsid w:val="00C208B2"/>
    <w:rsid w:val="00C22841"/>
    <w:rsid w:val="00C34795"/>
    <w:rsid w:val="00C42E39"/>
    <w:rsid w:val="00C60798"/>
    <w:rsid w:val="00C6647A"/>
    <w:rsid w:val="00C71D80"/>
    <w:rsid w:val="00C80B6D"/>
    <w:rsid w:val="00C86EE3"/>
    <w:rsid w:val="00C93053"/>
    <w:rsid w:val="00CC72D1"/>
    <w:rsid w:val="00CF072B"/>
    <w:rsid w:val="00D15991"/>
    <w:rsid w:val="00D36B46"/>
    <w:rsid w:val="00D6400D"/>
    <w:rsid w:val="00D9581F"/>
    <w:rsid w:val="00DF40CE"/>
    <w:rsid w:val="00E54777"/>
    <w:rsid w:val="00E54834"/>
    <w:rsid w:val="00E56E2E"/>
    <w:rsid w:val="00E811AE"/>
    <w:rsid w:val="00EA0605"/>
    <w:rsid w:val="00ED5B75"/>
    <w:rsid w:val="00ED644A"/>
    <w:rsid w:val="00ED7793"/>
    <w:rsid w:val="00EF37B1"/>
    <w:rsid w:val="00F379ED"/>
    <w:rsid w:val="00F53864"/>
    <w:rsid w:val="00F7018C"/>
    <w:rsid w:val="00F735C2"/>
    <w:rsid w:val="00F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23748-921D-49AC-A760-8EB05DD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177D"/>
  </w:style>
  <w:style w:type="character" w:styleId="Hyperlink">
    <w:name w:val="Hyperlink"/>
    <w:basedOn w:val="DefaultParagraphFont"/>
    <w:uiPriority w:val="99"/>
    <w:unhideWhenUsed/>
    <w:rsid w:val="0032177D"/>
    <w:rPr>
      <w:color w:val="0000FF"/>
      <w:u w:val="single"/>
    </w:rPr>
  </w:style>
  <w:style w:type="character" w:customStyle="1" w:styleId="apple-style-span">
    <w:name w:val="apple-style-span"/>
    <w:rsid w:val="0032177D"/>
  </w:style>
  <w:style w:type="paragraph" w:styleId="BalloonText">
    <w:name w:val="Balloon Text"/>
    <w:basedOn w:val="Normal"/>
    <w:link w:val="BalloonTextChar"/>
    <w:uiPriority w:val="99"/>
    <w:semiHidden/>
    <w:unhideWhenUsed/>
    <w:rsid w:val="00E5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7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A14DB"/>
    <w:pPr>
      <w:spacing w:after="0" w:line="48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e.org.uk/CG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79E8-D439-4ABE-AF9E-D4B4A32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O</dc:creator>
  <cp:lastModifiedBy>Jacob Olusanya</cp:lastModifiedBy>
  <cp:revision>3</cp:revision>
  <cp:lastPrinted>2016-08-12T19:52:00Z</cp:lastPrinted>
  <dcterms:created xsi:type="dcterms:W3CDTF">2016-08-17T14:36:00Z</dcterms:created>
  <dcterms:modified xsi:type="dcterms:W3CDTF">2016-08-21T21:42:00Z</dcterms:modified>
</cp:coreProperties>
</file>