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9C3" w:rsidRPr="005E64BF" w:rsidRDefault="00C809C3" w:rsidP="005E64BF">
      <w:pPr>
        <w:keepNext/>
        <w:keepLines/>
        <w:spacing w:before="480" w:after="0" w:line="480" w:lineRule="auto"/>
        <w:jc w:val="center"/>
        <w:outlineLvl w:val="0"/>
        <w:rPr>
          <w:rFonts w:ascii="Times New Roman" w:eastAsiaTheme="majorEastAsia" w:hAnsi="Times New Roman" w:cstheme="majorBidi"/>
          <w:b/>
          <w:bCs/>
          <w:color w:val="365F91" w:themeColor="accent1" w:themeShade="BF"/>
          <w:sz w:val="28"/>
          <w:szCs w:val="28"/>
        </w:rPr>
      </w:pPr>
      <w:bookmarkStart w:id="0" w:name="_GoBack"/>
      <w:bookmarkEnd w:id="0"/>
      <w:r w:rsidRPr="00C809C3">
        <w:rPr>
          <w:rFonts w:ascii="Times New Roman" w:eastAsiaTheme="majorEastAsia" w:hAnsi="Times New Roman" w:cstheme="majorBidi"/>
          <w:b/>
          <w:bCs/>
          <w:color w:val="365F91" w:themeColor="accent1" w:themeShade="BF"/>
          <w:sz w:val="28"/>
          <w:szCs w:val="28"/>
        </w:rPr>
        <w:t>SUPPLEMENTAL MATERIAL</w:t>
      </w:r>
    </w:p>
    <w:p w:rsidR="00C809C3" w:rsidRPr="00C809C3" w:rsidRDefault="00C809C3" w:rsidP="00C809C3">
      <w:pPr>
        <w:keepNext/>
        <w:keepLines/>
        <w:spacing w:before="200" w:after="0" w:line="480" w:lineRule="auto"/>
        <w:outlineLvl w:val="1"/>
        <w:rPr>
          <w:rFonts w:ascii="Times New Roman" w:eastAsiaTheme="majorEastAsia" w:hAnsi="Times New Roman" w:cstheme="majorBidi"/>
          <w:b/>
          <w:bCs/>
          <w:color w:val="4F81BD" w:themeColor="accent1"/>
          <w:sz w:val="26"/>
          <w:szCs w:val="26"/>
        </w:rPr>
      </w:pPr>
      <w:r w:rsidRPr="00C809C3">
        <w:rPr>
          <w:rFonts w:ascii="Times New Roman" w:eastAsiaTheme="majorEastAsia" w:hAnsi="Times New Roman" w:cstheme="majorBidi"/>
          <w:b/>
          <w:bCs/>
          <w:color w:val="4F81BD" w:themeColor="accent1"/>
          <w:sz w:val="26"/>
          <w:szCs w:val="26"/>
        </w:rPr>
        <w:t>S3. R</w:t>
      </w:r>
      <w:r w:rsidRPr="00C809C3">
        <w:rPr>
          <w:rFonts w:ascii="Times New Roman" w:eastAsiaTheme="majorEastAsia" w:hAnsi="Times New Roman" w:cstheme="majorBidi"/>
          <w:b/>
          <w:bCs/>
          <w:color w:val="4F81BD" w:themeColor="accent1"/>
          <w:sz w:val="26"/>
          <w:szCs w:val="26"/>
          <w:vertAlign w:val="subscript"/>
        </w:rPr>
        <w:t>CT</w:t>
      </w:r>
      <w:r w:rsidRPr="00C809C3">
        <w:rPr>
          <w:rFonts w:ascii="Times New Roman" w:eastAsiaTheme="majorEastAsia" w:hAnsi="Times New Roman" w:cstheme="majorBidi"/>
          <w:b/>
          <w:bCs/>
          <w:color w:val="4F81BD" w:themeColor="accent1"/>
          <w:sz w:val="26"/>
          <w:szCs w:val="26"/>
        </w:rPr>
        <w:t xml:space="preserve"> Analysis</w:t>
      </w:r>
    </w:p>
    <w:p w:rsidR="00C809C3" w:rsidRPr="00C809C3" w:rsidRDefault="00C809C3" w:rsidP="00D21B86">
      <w:pPr>
        <w:spacing w:line="480" w:lineRule="auto"/>
        <w:ind w:firstLine="720"/>
        <w:rPr>
          <w:rFonts w:ascii="Times New Roman" w:eastAsiaTheme="minorEastAsia" w:hAnsi="Times New Roman" w:cstheme="minorBidi"/>
          <w:sz w:val="22"/>
        </w:rPr>
      </w:pPr>
      <w:r w:rsidRPr="00C809C3">
        <w:rPr>
          <w:rFonts w:ascii="Times New Roman" w:hAnsi="Times New Roman" w:cstheme="minorBidi"/>
          <w:sz w:val="22"/>
        </w:rPr>
        <w:t xml:space="preserve">The removal of 1,4-dioxane from ozone and ozone/ultrasound was found to be strongly dependent on </w:t>
      </w:r>
      <w:r w:rsidR="00411123">
        <w:rPr>
          <w:rFonts w:ascii="Times New Roman" w:hAnsi="Times New Roman" w:cstheme="minorBidi"/>
          <w:sz w:val="22"/>
        </w:rPr>
        <w:t xml:space="preserve">the </w:t>
      </w:r>
      <w:r w:rsidRPr="00C809C3">
        <w:rPr>
          <w:rFonts w:ascii="Times New Roman" w:hAnsi="Times New Roman" w:cstheme="minorBidi"/>
          <w:sz w:val="22"/>
        </w:rPr>
        <w:t>radicals formed.  The R</w:t>
      </w:r>
      <w:r w:rsidRPr="00C809C3">
        <w:rPr>
          <w:rFonts w:ascii="Times New Roman" w:hAnsi="Times New Roman" w:cstheme="minorBidi"/>
          <w:sz w:val="22"/>
          <w:vertAlign w:val="subscript"/>
        </w:rPr>
        <w:t>CT</w:t>
      </w:r>
      <w:r w:rsidRPr="00C809C3">
        <w:rPr>
          <w:rFonts w:ascii="Times New Roman" w:hAnsi="Times New Roman" w:cstheme="minorBidi"/>
          <w:sz w:val="22"/>
        </w:rPr>
        <w:t xml:space="preserve"> approach</w:t>
      </w:r>
      <w:sdt>
        <w:sdtPr>
          <w:rPr>
            <w:rFonts w:ascii="Times New Roman" w:hAnsi="Times New Roman" w:cstheme="minorBidi"/>
            <w:sz w:val="22"/>
          </w:rPr>
          <w:id w:val="1500390912"/>
          <w:citation/>
        </w:sdtPr>
        <w:sdtEndPr/>
        <w:sdtContent>
          <w:r w:rsidRPr="00C809C3">
            <w:rPr>
              <w:rFonts w:ascii="Times New Roman" w:hAnsi="Times New Roman" w:cstheme="minorBidi"/>
              <w:sz w:val="22"/>
            </w:rPr>
            <w:fldChar w:fldCharType="begin"/>
          </w:r>
          <w:r w:rsidRPr="00C809C3">
            <w:rPr>
              <w:rFonts w:ascii="Times New Roman" w:hAnsi="Times New Roman" w:cstheme="minorBidi"/>
              <w:sz w:val="22"/>
            </w:rPr>
            <w:instrText xml:space="preserve"> CITATION Elo99 \l 1033 </w:instrText>
          </w:r>
          <w:r w:rsidRPr="00C809C3">
            <w:rPr>
              <w:rFonts w:ascii="Times New Roman" w:hAnsi="Times New Roman" w:cstheme="minorBidi"/>
              <w:sz w:val="22"/>
            </w:rPr>
            <w:fldChar w:fldCharType="separate"/>
          </w:r>
          <w:r w:rsidRPr="00C809C3">
            <w:rPr>
              <w:rFonts w:ascii="Times New Roman" w:hAnsi="Times New Roman" w:cstheme="minorBidi"/>
              <w:noProof/>
              <w:sz w:val="22"/>
            </w:rPr>
            <w:t xml:space="preserve"> (Elovitz &amp; von Gunten, 1999)</w:t>
          </w:r>
          <w:r w:rsidRPr="00C809C3">
            <w:rPr>
              <w:rFonts w:ascii="Times New Roman" w:hAnsi="Times New Roman" w:cstheme="minorBidi"/>
              <w:sz w:val="22"/>
            </w:rPr>
            <w:fldChar w:fldCharType="end"/>
          </w:r>
        </w:sdtContent>
      </w:sdt>
      <w:r w:rsidRPr="00C809C3">
        <w:rPr>
          <w:rFonts w:ascii="Times New Roman" w:hAnsi="Times New Roman" w:cstheme="minorBidi"/>
          <w:sz w:val="22"/>
        </w:rPr>
        <w:t xml:space="preserve"> was used to study the ozone consumption and mass transfer properties in the continuous flow reactor.  The R</w:t>
      </w:r>
      <w:r w:rsidRPr="00C809C3">
        <w:rPr>
          <w:rFonts w:ascii="Times New Roman" w:hAnsi="Times New Roman" w:cstheme="minorBidi"/>
          <w:sz w:val="22"/>
          <w:vertAlign w:val="subscript"/>
        </w:rPr>
        <w:t>CT</w:t>
      </w:r>
      <w:r w:rsidRPr="00C809C3">
        <w:rPr>
          <w:rFonts w:ascii="Times New Roman" w:hAnsi="Times New Roman" w:cstheme="minorBidi"/>
          <w:sz w:val="22"/>
        </w:rPr>
        <w:t xml:space="preserve"> concept relies on the assumption that the target contaminant, 1,4-dioxane in this case, has a low reactivity with ozone and a very high reactivity with hydroxyl radical.  Dioxane meets this requirement, since the rate constant with ozone is  k</w:t>
      </w:r>
      <w:r w:rsidRPr="00C809C3">
        <w:rPr>
          <w:rFonts w:ascii="Times New Roman" w:hAnsi="Times New Roman" w:cstheme="minorBidi"/>
          <w:sz w:val="22"/>
          <w:vertAlign w:val="subscript"/>
        </w:rPr>
        <w:t xml:space="preserve">O3/1,4-dioxane </w:t>
      </w:r>
      <w:r w:rsidRPr="00C809C3">
        <w:rPr>
          <w:rFonts w:ascii="Times New Roman" w:hAnsi="Times New Roman" w:cstheme="minorBidi"/>
          <w:sz w:val="22"/>
        </w:rPr>
        <w:t>= 0.32 M</w:t>
      </w:r>
      <w:r w:rsidRPr="00C809C3">
        <w:rPr>
          <w:rFonts w:ascii="Times New Roman" w:hAnsi="Times New Roman" w:cstheme="minorBidi"/>
          <w:sz w:val="22"/>
          <w:vertAlign w:val="superscript"/>
        </w:rPr>
        <w:t>-1</w:t>
      </w:r>
      <w:r w:rsidRPr="00C809C3">
        <w:rPr>
          <w:rFonts w:ascii="Times New Roman" w:hAnsi="Times New Roman" w:cstheme="minorBidi"/>
          <w:sz w:val="22"/>
        </w:rPr>
        <w:t>s</w:t>
      </w:r>
      <w:r w:rsidRPr="00C809C3">
        <w:rPr>
          <w:rFonts w:ascii="Times New Roman" w:hAnsi="Times New Roman" w:cstheme="minorBidi"/>
          <w:sz w:val="22"/>
          <w:vertAlign w:val="superscript"/>
        </w:rPr>
        <w:t>-1</w:t>
      </w:r>
      <w:r w:rsidRPr="00C809C3">
        <w:rPr>
          <w:rFonts w:ascii="Times New Roman" w:hAnsi="Times New Roman" w:cstheme="minorBidi"/>
          <w:sz w:val="22"/>
        </w:rPr>
        <w:t xml:space="preserve"> </w:t>
      </w:r>
      <w:sdt>
        <w:sdtPr>
          <w:rPr>
            <w:rFonts w:ascii="Times New Roman" w:hAnsi="Times New Roman" w:cstheme="minorBidi"/>
            <w:sz w:val="22"/>
          </w:rPr>
          <w:id w:val="412753396"/>
          <w:citation/>
        </w:sdtPr>
        <w:sdtEndPr/>
        <w:sdtContent>
          <w:r w:rsidRPr="00C809C3">
            <w:rPr>
              <w:rFonts w:ascii="Times New Roman" w:hAnsi="Times New Roman" w:cstheme="minorBidi"/>
              <w:sz w:val="22"/>
            </w:rPr>
            <w:fldChar w:fldCharType="begin"/>
          </w:r>
          <w:r w:rsidRPr="00C809C3">
            <w:rPr>
              <w:rFonts w:ascii="Times New Roman" w:hAnsi="Times New Roman" w:cstheme="minorBidi"/>
              <w:sz w:val="22"/>
            </w:rPr>
            <w:instrText xml:space="preserve"> CITATION Hoi83 \l 1033 </w:instrText>
          </w:r>
          <w:r w:rsidRPr="00C809C3">
            <w:rPr>
              <w:rFonts w:ascii="Times New Roman" w:hAnsi="Times New Roman" w:cstheme="minorBidi"/>
              <w:sz w:val="22"/>
            </w:rPr>
            <w:fldChar w:fldCharType="separate"/>
          </w:r>
          <w:r w:rsidRPr="00C809C3">
            <w:rPr>
              <w:rFonts w:ascii="Times New Roman" w:hAnsi="Times New Roman" w:cstheme="minorBidi"/>
              <w:noProof/>
              <w:sz w:val="22"/>
            </w:rPr>
            <w:t>(Hoigne &amp; Bader, 1983)</w:t>
          </w:r>
          <w:r w:rsidRPr="00C809C3">
            <w:rPr>
              <w:rFonts w:ascii="Times New Roman" w:hAnsi="Times New Roman" w:cstheme="minorBidi"/>
              <w:sz w:val="22"/>
            </w:rPr>
            <w:fldChar w:fldCharType="end"/>
          </w:r>
        </w:sdtContent>
      </w:sdt>
      <w:r w:rsidRPr="00C809C3">
        <w:rPr>
          <w:rFonts w:ascii="Times New Roman" w:hAnsi="Times New Roman" w:cstheme="minorBidi"/>
          <w:sz w:val="22"/>
        </w:rPr>
        <w:t xml:space="preserve"> and that with </w:t>
      </w:r>
      <w:r w:rsidRPr="00C809C3">
        <w:rPr>
          <w:rFonts w:ascii="Times New Roman" w:hAnsi="Times New Roman" w:cs="Times New Roman"/>
          <w:sz w:val="22"/>
        </w:rPr>
        <w:t>∙</w:t>
      </w:r>
      <w:r w:rsidRPr="00C809C3">
        <w:rPr>
          <w:rFonts w:ascii="Times New Roman" w:hAnsi="Times New Roman" w:cstheme="minorBidi"/>
          <w:sz w:val="22"/>
        </w:rPr>
        <w:t>OH</w:t>
      </w:r>
      <w:r w:rsidRPr="00C809C3">
        <w:rPr>
          <w:rFonts w:ascii="Times New Roman" w:hAnsi="Times New Roman" w:cs="Times New Roman"/>
          <w:sz w:val="22"/>
        </w:rPr>
        <w:t xml:space="preserve"> is</w:t>
      </w:r>
      <w:r w:rsidRPr="00C809C3">
        <w:rPr>
          <w:rFonts w:ascii="Times New Roman" w:hAnsi="Times New Roman" w:cstheme="minorBidi"/>
          <w:sz w:val="22"/>
        </w:rPr>
        <w:t xml:space="preserve"> </w:t>
      </w:r>
      <w:proofErr w:type="spellStart"/>
      <w:r w:rsidRPr="00C809C3">
        <w:rPr>
          <w:rFonts w:ascii="Times New Roman" w:hAnsi="Times New Roman" w:cstheme="minorBidi"/>
          <w:sz w:val="22"/>
        </w:rPr>
        <w:t>k</w:t>
      </w:r>
      <w:r w:rsidRPr="00C809C3">
        <w:rPr>
          <w:rFonts w:ascii="Times New Roman" w:hAnsi="Times New Roman" w:cstheme="minorBidi"/>
          <w:sz w:val="22"/>
          <w:vertAlign w:val="subscript"/>
        </w:rPr>
        <w:t>OH</w:t>
      </w:r>
      <w:proofErr w:type="spellEnd"/>
      <w:r w:rsidRPr="00C809C3">
        <w:rPr>
          <w:rFonts w:ascii="Times New Roman" w:hAnsi="Times New Roman" w:cstheme="minorBidi"/>
          <w:sz w:val="22"/>
          <w:vertAlign w:val="subscript"/>
        </w:rPr>
        <w:t xml:space="preserve">ˑ/1,4-dioxane </w:t>
      </w:r>
      <w:r w:rsidRPr="00C809C3">
        <w:rPr>
          <w:rFonts w:ascii="Times New Roman" w:hAnsi="Times New Roman" w:cstheme="minorBidi"/>
          <w:sz w:val="22"/>
        </w:rPr>
        <w:t>= 2.4 x 10</w:t>
      </w:r>
      <w:r w:rsidRPr="00C809C3">
        <w:rPr>
          <w:rFonts w:ascii="Times New Roman" w:hAnsi="Times New Roman" w:cstheme="minorBidi"/>
          <w:sz w:val="22"/>
          <w:vertAlign w:val="superscript"/>
        </w:rPr>
        <w:t>9</w:t>
      </w:r>
      <w:r w:rsidRPr="00C809C3">
        <w:rPr>
          <w:rFonts w:ascii="Times New Roman" w:hAnsi="Times New Roman" w:cstheme="minorBidi"/>
          <w:sz w:val="22"/>
        </w:rPr>
        <w:t xml:space="preserve"> M</w:t>
      </w:r>
      <w:r w:rsidRPr="00C809C3">
        <w:rPr>
          <w:rFonts w:ascii="Times New Roman" w:hAnsi="Times New Roman" w:cstheme="minorBidi"/>
          <w:sz w:val="22"/>
          <w:vertAlign w:val="superscript"/>
        </w:rPr>
        <w:t>-1</w:t>
      </w:r>
      <w:r w:rsidRPr="00C809C3">
        <w:rPr>
          <w:rFonts w:ascii="Times New Roman" w:hAnsi="Times New Roman" w:cstheme="minorBidi"/>
          <w:sz w:val="22"/>
        </w:rPr>
        <w:t>s</w:t>
      </w:r>
      <w:r w:rsidRPr="00C809C3">
        <w:rPr>
          <w:rFonts w:ascii="Times New Roman" w:hAnsi="Times New Roman" w:cstheme="minorBidi"/>
          <w:sz w:val="22"/>
          <w:vertAlign w:val="superscript"/>
        </w:rPr>
        <w:t>-1</w:t>
      </w:r>
      <w:r w:rsidRPr="00C809C3">
        <w:rPr>
          <w:rFonts w:ascii="Times New Roman" w:hAnsi="Times New Roman" w:cstheme="minorBidi"/>
          <w:sz w:val="22"/>
        </w:rPr>
        <w:t xml:space="preserve"> </w:t>
      </w:r>
      <w:sdt>
        <w:sdtPr>
          <w:rPr>
            <w:rFonts w:ascii="Times New Roman" w:hAnsi="Times New Roman" w:cstheme="minorBidi"/>
            <w:sz w:val="22"/>
          </w:rPr>
          <w:id w:val="1499308563"/>
          <w:citation/>
        </w:sdtPr>
        <w:sdtEndPr/>
        <w:sdtContent>
          <w:r w:rsidRPr="00C809C3">
            <w:rPr>
              <w:rFonts w:ascii="Times New Roman" w:hAnsi="Times New Roman" w:cstheme="minorBidi"/>
              <w:sz w:val="22"/>
            </w:rPr>
            <w:fldChar w:fldCharType="begin"/>
          </w:r>
          <w:r w:rsidRPr="00C809C3">
            <w:rPr>
              <w:rFonts w:ascii="Times New Roman" w:hAnsi="Times New Roman" w:cstheme="minorBidi"/>
              <w:sz w:val="22"/>
            </w:rPr>
            <w:instrText xml:space="preserve"> CITATION Sut04 \l 1033 </w:instrText>
          </w:r>
          <w:r w:rsidRPr="00C809C3">
            <w:rPr>
              <w:rFonts w:ascii="Times New Roman" w:hAnsi="Times New Roman" w:cstheme="minorBidi"/>
              <w:sz w:val="22"/>
            </w:rPr>
            <w:fldChar w:fldCharType="separate"/>
          </w:r>
          <w:r w:rsidRPr="00C809C3">
            <w:rPr>
              <w:rFonts w:ascii="Times New Roman" w:hAnsi="Times New Roman" w:cstheme="minorBidi"/>
              <w:noProof/>
              <w:sz w:val="22"/>
            </w:rPr>
            <w:t>(Suthersan &amp; Payne, 2004)</w:t>
          </w:r>
          <w:r w:rsidRPr="00C809C3">
            <w:rPr>
              <w:rFonts w:ascii="Times New Roman" w:hAnsi="Times New Roman" w:cstheme="minorBidi"/>
              <w:sz w:val="22"/>
            </w:rPr>
            <w:fldChar w:fldCharType="end"/>
          </w:r>
        </w:sdtContent>
      </w:sdt>
      <w:r w:rsidRPr="00C809C3">
        <w:rPr>
          <w:rFonts w:ascii="Times New Roman" w:hAnsi="Times New Roman" w:cstheme="minorBidi"/>
          <w:sz w:val="22"/>
        </w:rPr>
        <w:t xml:space="preserve">.  Equation 4 shows the rate of dioxane concentration as a function of ozone concentration.  </w:t>
      </w:r>
    </w:p>
    <w:tbl>
      <w:tblPr>
        <w:tblW w:w="0" w:type="auto"/>
        <w:tblLook w:val="04A0" w:firstRow="1" w:lastRow="0" w:firstColumn="1" w:lastColumn="0" w:noHBand="0" w:noVBand="1"/>
      </w:tblPr>
      <w:tblGrid>
        <w:gridCol w:w="9018"/>
        <w:gridCol w:w="558"/>
      </w:tblGrid>
      <w:tr w:rsidR="00C809C3" w:rsidRPr="00C809C3" w:rsidTr="00D21B86">
        <w:tc>
          <w:tcPr>
            <w:tcW w:w="9018" w:type="dxa"/>
            <w:tcBorders>
              <w:top w:val="nil"/>
              <w:left w:val="nil"/>
              <w:bottom w:val="nil"/>
              <w:right w:val="nil"/>
            </w:tcBorders>
            <w:shd w:val="clear" w:color="auto" w:fill="FFFFFF" w:themeFill="background1"/>
            <w:vAlign w:val="center"/>
          </w:tcPr>
          <w:p w:rsidR="00C809C3" w:rsidRPr="00C809C3" w:rsidRDefault="00E24DBE" w:rsidP="00D21B86">
            <w:pPr>
              <w:spacing w:after="0" w:line="480" w:lineRule="auto"/>
              <w:jc w:val="center"/>
              <w:rPr>
                <w:rFonts w:ascii="Times New Roman" w:eastAsiaTheme="minorEastAsia" w:hAnsi="Times New Roman" w:cstheme="minorBidi"/>
                <w:sz w:val="22"/>
              </w:rPr>
            </w:pPr>
            <m:oMathPara>
              <m:oMath>
                <m:func>
                  <m:funcPr>
                    <m:ctrlPr>
                      <w:rPr>
                        <w:rFonts w:ascii="Cambria Math" w:hAnsi="Cambria Math" w:cstheme="minorBidi"/>
                        <w:sz w:val="22"/>
                      </w:rPr>
                    </m:ctrlPr>
                  </m:funcPr>
                  <m:fName>
                    <m:r>
                      <m:rPr>
                        <m:sty m:val="p"/>
                      </m:rPr>
                      <w:rPr>
                        <w:rFonts w:ascii="Cambria Math" w:hAnsi="Cambria Math" w:cstheme="minorBidi"/>
                        <w:sz w:val="22"/>
                      </w:rPr>
                      <m:t xml:space="preserve">     ln</m:t>
                    </m:r>
                  </m:fName>
                  <m:e>
                    <m:d>
                      <m:dPr>
                        <m:ctrlPr>
                          <w:rPr>
                            <w:rFonts w:ascii="Cambria Math" w:hAnsi="Cambria Math" w:cstheme="minorBidi"/>
                            <w:sz w:val="22"/>
                          </w:rPr>
                        </m:ctrlPr>
                      </m:dPr>
                      <m:e>
                        <m:f>
                          <m:fPr>
                            <m:ctrlPr>
                              <w:rPr>
                                <w:rFonts w:ascii="Cambria Math" w:hAnsi="Cambria Math" w:cstheme="minorBidi"/>
                                <w:i/>
                                <w:sz w:val="22"/>
                              </w:rPr>
                            </m:ctrlPr>
                          </m:fPr>
                          <m:num>
                            <m:d>
                              <m:dPr>
                                <m:begChr m:val="["/>
                                <m:endChr m:val="]"/>
                                <m:ctrlPr>
                                  <w:rPr>
                                    <w:rFonts w:ascii="Cambria Math" w:hAnsi="Cambria Math" w:cstheme="minorBidi"/>
                                    <w:i/>
                                    <w:sz w:val="22"/>
                                  </w:rPr>
                                </m:ctrlPr>
                              </m:dPr>
                              <m:e>
                                <m:r>
                                  <w:rPr>
                                    <w:rFonts w:ascii="Cambria Math" w:hAnsi="Cambria Math" w:cstheme="minorBidi"/>
                                    <w:sz w:val="22"/>
                                  </w:rPr>
                                  <m:t>1,4 dioxane</m:t>
                                </m:r>
                              </m:e>
                            </m:d>
                          </m:num>
                          <m:den>
                            <m:sSub>
                              <m:sSubPr>
                                <m:ctrlPr>
                                  <w:rPr>
                                    <w:rFonts w:ascii="Cambria Math" w:hAnsi="Cambria Math" w:cstheme="minorBidi"/>
                                    <w:i/>
                                    <w:sz w:val="22"/>
                                  </w:rPr>
                                </m:ctrlPr>
                              </m:sSubPr>
                              <m:e>
                                <m:d>
                                  <m:dPr>
                                    <m:begChr m:val="["/>
                                    <m:endChr m:val="]"/>
                                    <m:ctrlPr>
                                      <w:rPr>
                                        <w:rFonts w:ascii="Cambria Math" w:hAnsi="Cambria Math" w:cstheme="minorBidi"/>
                                        <w:i/>
                                        <w:sz w:val="22"/>
                                      </w:rPr>
                                    </m:ctrlPr>
                                  </m:dPr>
                                  <m:e>
                                    <m:r>
                                      <w:rPr>
                                        <w:rFonts w:ascii="Cambria Math" w:hAnsi="Cambria Math" w:cstheme="minorBidi"/>
                                        <w:sz w:val="22"/>
                                      </w:rPr>
                                      <m:t>1,4 dioxane</m:t>
                                    </m:r>
                                  </m:e>
                                </m:d>
                              </m:e>
                              <m:sub>
                                <m:r>
                                  <w:rPr>
                                    <w:rFonts w:ascii="Cambria Math" w:hAnsi="Cambria Math" w:cstheme="minorBidi"/>
                                    <w:sz w:val="22"/>
                                  </w:rPr>
                                  <m:t>0</m:t>
                                </m:r>
                              </m:sub>
                            </m:sSub>
                          </m:den>
                        </m:f>
                      </m:e>
                    </m:d>
                  </m:e>
                </m:func>
                <m:r>
                  <w:rPr>
                    <w:rFonts w:ascii="Cambria Math" w:hAnsi="Cambria Math" w:cstheme="minorBidi"/>
                    <w:sz w:val="22"/>
                  </w:rPr>
                  <m:t>=-</m:t>
                </m:r>
                <m:sSub>
                  <m:sSubPr>
                    <m:ctrlPr>
                      <w:rPr>
                        <w:rFonts w:ascii="Cambria Math" w:hAnsi="Cambria Math" w:cstheme="minorBidi"/>
                        <w:i/>
                        <w:sz w:val="22"/>
                      </w:rPr>
                    </m:ctrlPr>
                  </m:sSubPr>
                  <m:e>
                    <m:r>
                      <w:rPr>
                        <w:rFonts w:ascii="Cambria Math" w:hAnsi="Cambria Math" w:cstheme="minorBidi"/>
                        <w:sz w:val="22"/>
                      </w:rPr>
                      <m:t>k</m:t>
                    </m:r>
                  </m:e>
                  <m:sub>
                    <m:r>
                      <w:rPr>
                        <w:rFonts w:ascii="Cambria Math" w:hAnsi="Cambria Math" w:cstheme="minorBidi"/>
                        <w:sz w:val="22"/>
                      </w:rPr>
                      <m:t>OHˑ 1,4 dioxane</m:t>
                    </m:r>
                  </m:sub>
                </m:sSub>
                <m:sSub>
                  <m:sSubPr>
                    <m:ctrlPr>
                      <w:rPr>
                        <w:rFonts w:ascii="Cambria Math" w:hAnsi="Cambria Math" w:cstheme="minorBidi"/>
                        <w:i/>
                        <w:sz w:val="22"/>
                      </w:rPr>
                    </m:ctrlPr>
                  </m:sSubPr>
                  <m:e>
                    <m:r>
                      <w:rPr>
                        <w:rFonts w:ascii="Cambria Math" w:hAnsi="Cambria Math" w:cstheme="minorBidi"/>
                        <w:sz w:val="22"/>
                      </w:rPr>
                      <m:t xml:space="preserve"> R</m:t>
                    </m:r>
                  </m:e>
                  <m:sub>
                    <m:r>
                      <w:rPr>
                        <w:rFonts w:ascii="Cambria Math" w:hAnsi="Cambria Math" w:cstheme="minorBidi"/>
                        <w:sz w:val="22"/>
                      </w:rPr>
                      <m:t>ct</m:t>
                    </m:r>
                  </m:sub>
                </m:sSub>
                <m:r>
                  <w:rPr>
                    <w:rFonts w:ascii="Cambria Math" w:hAnsi="Cambria Math" w:cstheme="minorBidi"/>
                    <w:sz w:val="22"/>
                  </w:rPr>
                  <m:t xml:space="preserve"> </m:t>
                </m:r>
                <m:nary>
                  <m:naryPr>
                    <m:limLoc m:val="undOvr"/>
                    <m:subHide m:val="1"/>
                    <m:supHide m:val="1"/>
                    <m:ctrlPr>
                      <w:rPr>
                        <w:rFonts w:ascii="Cambria Math" w:hAnsi="Cambria Math" w:cstheme="minorBidi"/>
                        <w:i/>
                        <w:sz w:val="22"/>
                      </w:rPr>
                    </m:ctrlPr>
                  </m:naryPr>
                  <m:sub/>
                  <m:sup/>
                  <m:e>
                    <m:d>
                      <m:dPr>
                        <m:begChr m:val="["/>
                        <m:endChr m:val="]"/>
                        <m:ctrlPr>
                          <w:rPr>
                            <w:rFonts w:ascii="Cambria Math" w:hAnsi="Cambria Math" w:cstheme="minorBidi"/>
                            <w:i/>
                            <w:sz w:val="22"/>
                          </w:rPr>
                        </m:ctrlPr>
                      </m:dPr>
                      <m:e>
                        <m:sSub>
                          <m:sSubPr>
                            <m:ctrlPr>
                              <w:rPr>
                                <w:rFonts w:ascii="Cambria Math" w:hAnsi="Cambria Math" w:cstheme="minorBidi"/>
                                <w:i/>
                                <w:sz w:val="22"/>
                              </w:rPr>
                            </m:ctrlPr>
                          </m:sSubPr>
                          <m:e>
                            <m:r>
                              <w:rPr>
                                <w:rFonts w:ascii="Cambria Math" w:hAnsi="Cambria Math" w:cstheme="minorBidi"/>
                                <w:sz w:val="22"/>
                              </w:rPr>
                              <m:t>O</m:t>
                            </m:r>
                          </m:e>
                          <m:sub>
                            <m:r>
                              <w:rPr>
                                <w:rFonts w:ascii="Cambria Math" w:hAnsi="Cambria Math" w:cstheme="minorBidi"/>
                                <w:sz w:val="22"/>
                              </w:rPr>
                              <m:t>3</m:t>
                            </m:r>
                          </m:sub>
                        </m:sSub>
                      </m:e>
                    </m:d>
                    <m:r>
                      <w:rPr>
                        <w:rFonts w:ascii="Cambria Math" w:hAnsi="Cambria Math" w:cstheme="minorBidi"/>
                        <w:sz w:val="22"/>
                      </w:rPr>
                      <m:t>dt</m:t>
                    </m:r>
                  </m:e>
                </m:nary>
              </m:oMath>
            </m:oMathPara>
          </w:p>
        </w:tc>
        <w:tc>
          <w:tcPr>
            <w:tcW w:w="558" w:type="dxa"/>
            <w:tcBorders>
              <w:top w:val="nil"/>
              <w:left w:val="nil"/>
              <w:bottom w:val="nil"/>
              <w:right w:val="nil"/>
            </w:tcBorders>
            <w:shd w:val="clear" w:color="auto" w:fill="auto"/>
            <w:vAlign w:val="center"/>
          </w:tcPr>
          <w:p w:rsidR="00C809C3" w:rsidRPr="00C809C3" w:rsidRDefault="00EA37C0" w:rsidP="00D21B86">
            <w:pPr>
              <w:spacing w:after="0" w:line="480" w:lineRule="auto"/>
              <w:jc w:val="center"/>
              <w:rPr>
                <w:rFonts w:ascii="Times New Roman" w:eastAsiaTheme="minorEastAsia" w:hAnsi="Times New Roman" w:cstheme="minorBidi"/>
                <w:sz w:val="22"/>
              </w:rPr>
            </w:pPr>
            <w:r>
              <w:rPr>
                <w:rFonts w:ascii="Times New Roman" w:eastAsiaTheme="minorEastAsia" w:hAnsi="Times New Roman" w:cstheme="minorBidi"/>
                <w:sz w:val="22"/>
              </w:rPr>
              <w:t>(1</w:t>
            </w:r>
            <w:r w:rsidR="00C809C3" w:rsidRPr="00C809C3">
              <w:rPr>
                <w:rFonts w:ascii="Times New Roman" w:eastAsiaTheme="minorEastAsia" w:hAnsi="Times New Roman" w:cstheme="minorBidi"/>
                <w:sz w:val="22"/>
              </w:rPr>
              <w:t>)</w:t>
            </w:r>
          </w:p>
        </w:tc>
      </w:tr>
    </w:tbl>
    <w:p w:rsidR="00C809C3" w:rsidRPr="00C809C3" w:rsidRDefault="00C809C3" w:rsidP="00D21B86">
      <w:pPr>
        <w:spacing w:line="480" w:lineRule="auto"/>
        <w:ind w:firstLine="720"/>
        <w:rPr>
          <w:rFonts w:ascii="Times New Roman" w:hAnsi="Times New Roman" w:cstheme="minorBidi"/>
          <w:sz w:val="22"/>
        </w:rPr>
      </w:pPr>
      <w:r w:rsidRPr="00C809C3">
        <w:rPr>
          <w:rFonts w:ascii="Times New Roman" w:hAnsi="Times New Roman" w:cstheme="minorBidi"/>
          <w:sz w:val="22"/>
        </w:rPr>
        <w:t>The R</w:t>
      </w:r>
      <w:r w:rsidRPr="00C809C3">
        <w:rPr>
          <w:rFonts w:ascii="Times New Roman" w:hAnsi="Times New Roman" w:cstheme="minorBidi"/>
          <w:sz w:val="22"/>
          <w:vertAlign w:val="subscript"/>
        </w:rPr>
        <w:t>CT</w:t>
      </w:r>
      <w:r w:rsidRPr="00C809C3">
        <w:rPr>
          <w:rFonts w:ascii="Times New Roman" w:hAnsi="Times New Roman" w:cstheme="minorBidi"/>
          <w:sz w:val="22"/>
        </w:rPr>
        <w:t xml:space="preserve"> term was then calculated using the influent and effluent concentrations of 1,4-dioxane, the rate constant for hydroxyl radical/1,4-dioxane reaction, and the time integrated ozone concentration.  Given the continuous flow nature of this study, the aqueous ozone concentration</w:t>
      </w:r>
      <w:r w:rsidR="00EA37C0">
        <w:rPr>
          <w:rFonts w:ascii="Times New Roman" w:hAnsi="Times New Roman" w:cstheme="minorBidi"/>
          <w:sz w:val="22"/>
        </w:rPr>
        <w:t>s</w:t>
      </w:r>
      <w:r w:rsidRPr="00C809C3">
        <w:rPr>
          <w:rFonts w:ascii="Times New Roman" w:hAnsi="Times New Roman" w:cstheme="minorBidi"/>
          <w:sz w:val="22"/>
        </w:rPr>
        <w:t xml:space="preserve"> were measured at the inlet and outlet of the reactor.  The time integrated ozone concentration was estimated as the mean of the inlet and outlet concentrations, multiplied by the treatment time.  The mean R</w:t>
      </w:r>
      <w:r w:rsidRPr="00C809C3">
        <w:rPr>
          <w:rFonts w:ascii="Times New Roman" w:hAnsi="Times New Roman" w:cstheme="minorBidi"/>
          <w:sz w:val="22"/>
          <w:vertAlign w:val="subscript"/>
        </w:rPr>
        <w:t>CT</w:t>
      </w:r>
      <w:r w:rsidRPr="00C809C3">
        <w:rPr>
          <w:rFonts w:ascii="Times New Roman" w:hAnsi="Times New Roman" w:cstheme="minorBidi"/>
          <w:sz w:val="22"/>
        </w:rPr>
        <w:t xml:space="preserve"> value determined from Figure 9 was approximately 1.33x10</w:t>
      </w:r>
      <w:r w:rsidRPr="00C809C3">
        <w:rPr>
          <w:rFonts w:ascii="Times New Roman" w:hAnsi="Times New Roman" w:cstheme="minorBidi"/>
          <w:sz w:val="22"/>
          <w:vertAlign w:val="superscript"/>
        </w:rPr>
        <w:t>-8</w:t>
      </w:r>
      <w:r w:rsidRPr="00C809C3">
        <w:rPr>
          <w:rFonts w:ascii="Times New Roman" w:hAnsi="Times New Roman" w:cstheme="minorBidi"/>
          <w:sz w:val="22"/>
        </w:rPr>
        <w:t xml:space="preserve"> for all ozone, ultrasound, pH, and pressure conditions tested using the drinking water matrix.  This value is similar to the average R</w:t>
      </w:r>
      <w:r w:rsidRPr="00C809C3">
        <w:rPr>
          <w:rFonts w:ascii="Times New Roman" w:hAnsi="Times New Roman" w:cstheme="minorBidi"/>
          <w:sz w:val="22"/>
          <w:vertAlign w:val="subscript"/>
        </w:rPr>
        <w:t>CT</w:t>
      </w:r>
      <w:r w:rsidRPr="00C809C3">
        <w:rPr>
          <w:rFonts w:ascii="Times New Roman" w:hAnsi="Times New Roman" w:cstheme="minorBidi"/>
          <w:sz w:val="22"/>
        </w:rPr>
        <w:t xml:space="preserve"> reported for twelve natural surface and ground waters in Switzerland, which was determined to be 1.56 (</w:t>
      </w:r>
      <w:r w:rsidRPr="00C809C3">
        <w:rPr>
          <w:rFonts w:ascii="Times New Roman" w:hAnsi="Times New Roman" w:cs="Times New Roman"/>
          <w:sz w:val="22"/>
        </w:rPr>
        <w:t>±</w:t>
      </w:r>
      <w:r w:rsidRPr="00C809C3">
        <w:rPr>
          <w:rFonts w:ascii="Times New Roman" w:hAnsi="Times New Roman" w:cstheme="minorBidi"/>
          <w:sz w:val="22"/>
        </w:rPr>
        <w:t>1.6) x 10</w:t>
      </w:r>
      <w:r w:rsidRPr="00C809C3">
        <w:rPr>
          <w:rFonts w:ascii="Times New Roman" w:hAnsi="Times New Roman" w:cstheme="minorBidi"/>
          <w:sz w:val="22"/>
          <w:vertAlign w:val="superscript"/>
        </w:rPr>
        <w:t>-8</w:t>
      </w:r>
      <w:r w:rsidRPr="00C809C3">
        <w:rPr>
          <w:rFonts w:ascii="Times New Roman" w:hAnsi="Times New Roman" w:cstheme="minorBidi"/>
          <w:sz w:val="22"/>
        </w:rPr>
        <w:t xml:space="preserve"> </w:t>
      </w:r>
      <w:sdt>
        <w:sdtPr>
          <w:rPr>
            <w:rFonts w:ascii="Times New Roman" w:hAnsi="Times New Roman" w:cstheme="minorBidi"/>
            <w:sz w:val="22"/>
          </w:rPr>
          <w:id w:val="1846586378"/>
          <w:citation/>
        </w:sdtPr>
        <w:sdtEndPr/>
        <w:sdtContent>
          <w:r w:rsidRPr="00C809C3">
            <w:rPr>
              <w:rFonts w:ascii="Times New Roman" w:hAnsi="Times New Roman" w:cstheme="minorBidi"/>
              <w:sz w:val="22"/>
            </w:rPr>
            <w:fldChar w:fldCharType="begin"/>
          </w:r>
          <w:r w:rsidRPr="00C809C3">
            <w:rPr>
              <w:rFonts w:ascii="Times New Roman" w:hAnsi="Times New Roman" w:cstheme="minorBidi"/>
              <w:sz w:val="22"/>
            </w:rPr>
            <w:instrText xml:space="preserve"> CITATION Elo00 \l 1033 </w:instrText>
          </w:r>
          <w:r w:rsidRPr="00C809C3">
            <w:rPr>
              <w:rFonts w:ascii="Times New Roman" w:hAnsi="Times New Roman" w:cstheme="minorBidi"/>
              <w:sz w:val="22"/>
            </w:rPr>
            <w:fldChar w:fldCharType="separate"/>
          </w:r>
          <w:r w:rsidRPr="00C809C3">
            <w:rPr>
              <w:rFonts w:ascii="Times New Roman" w:hAnsi="Times New Roman" w:cstheme="minorBidi"/>
              <w:noProof/>
              <w:sz w:val="22"/>
            </w:rPr>
            <w:t>(Elovitz, von Gunten, &amp; Kaiser, 2000)</w:t>
          </w:r>
          <w:r w:rsidRPr="00C809C3">
            <w:rPr>
              <w:rFonts w:ascii="Times New Roman" w:hAnsi="Times New Roman" w:cstheme="minorBidi"/>
              <w:sz w:val="22"/>
            </w:rPr>
            <w:fldChar w:fldCharType="end"/>
          </w:r>
        </w:sdtContent>
      </w:sdt>
      <w:r w:rsidRPr="00C809C3">
        <w:rPr>
          <w:rFonts w:ascii="Times New Roman" w:hAnsi="Times New Roman" w:cstheme="minorBidi"/>
          <w:sz w:val="22"/>
        </w:rPr>
        <w:t>.  The value obtained in this study was also comparable to the R</w:t>
      </w:r>
      <w:r w:rsidRPr="00C809C3">
        <w:rPr>
          <w:rFonts w:ascii="Times New Roman" w:hAnsi="Times New Roman" w:cstheme="minorBidi"/>
          <w:sz w:val="22"/>
          <w:vertAlign w:val="subscript"/>
        </w:rPr>
        <w:t xml:space="preserve">CT </w:t>
      </w:r>
      <w:r w:rsidRPr="00C809C3">
        <w:rPr>
          <w:rFonts w:ascii="Times New Roman" w:hAnsi="Times New Roman" w:cstheme="minorBidi"/>
          <w:sz w:val="22"/>
        </w:rPr>
        <w:t>value of para-</w:t>
      </w:r>
      <w:proofErr w:type="spellStart"/>
      <w:r w:rsidRPr="00C809C3">
        <w:rPr>
          <w:rFonts w:ascii="Times New Roman" w:hAnsi="Times New Roman" w:cstheme="minorBidi"/>
          <w:sz w:val="22"/>
        </w:rPr>
        <w:t>chlorobenzoic</w:t>
      </w:r>
      <w:proofErr w:type="spellEnd"/>
      <w:r w:rsidRPr="00C809C3">
        <w:rPr>
          <w:rFonts w:ascii="Times New Roman" w:hAnsi="Times New Roman" w:cstheme="minorBidi"/>
          <w:sz w:val="22"/>
        </w:rPr>
        <w:t xml:space="preserve"> acid (1.4 x 10</w:t>
      </w:r>
      <w:r w:rsidRPr="00C809C3">
        <w:rPr>
          <w:rFonts w:ascii="Times New Roman" w:hAnsi="Times New Roman" w:cstheme="minorBidi"/>
          <w:sz w:val="22"/>
          <w:vertAlign w:val="superscript"/>
        </w:rPr>
        <w:t>-8</w:t>
      </w:r>
      <w:r w:rsidRPr="00C809C3">
        <w:rPr>
          <w:rFonts w:ascii="Times New Roman" w:hAnsi="Times New Roman" w:cstheme="minorBidi"/>
          <w:sz w:val="22"/>
        </w:rPr>
        <w:t xml:space="preserve">), a compound with has been studied as a hydroxyl radical probe </w:t>
      </w:r>
      <w:sdt>
        <w:sdtPr>
          <w:rPr>
            <w:rFonts w:ascii="Times New Roman" w:hAnsi="Times New Roman" w:cstheme="minorBidi"/>
            <w:sz w:val="22"/>
          </w:rPr>
          <w:id w:val="-1892028575"/>
          <w:citation/>
        </w:sdtPr>
        <w:sdtEndPr/>
        <w:sdtContent>
          <w:r w:rsidRPr="00C809C3">
            <w:rPr>
              <w:rFonts w:ascii="Times New Roman" w:hAnsi="Times New Roman" w:cstheme="minorBidi"/>
              <w:sz w:val="22"/>
            </w:rPr>
            <w:fldChar w:fldCharType="begin"/>
          </w:r>
          <w:r w:rsidRPr="00C809C3">
            <w:rPr>
              <w:rFonts w:ascii="Times New Roman" w:hAnsi="Times New Roman" w:cstheme="minorBidi"/>
              <w:sz w:val="22"/>
            </w:rPr>
            <w:instrText xml:space="preserve"> CITATION Elo99 \l 1033 </w:instrText>
          </w:r>
          <w:r w:rsidRPr="00C809C3">
            <w:rPr>
              <w:rFonts w:ascii="Times New Roman" w:hAnsi="Times New Roman" w:cstheme="minorBidi"/>
              <w:sz w:val="22"/>
            </w:rPr>
            <w:fldChar w:fldCharType="separate"/>
          </w:r>
          <w:r w:rsidRPr="00C809C3">
            <w:rPr>
              <w:rFonts w:ascii="Times New Roman" w:hAnsi="Times New Roman" w:cstheme="minorBidi"/>
              <w:noProof/>
              <w:sz w:val="22"/>
            </w:rPr>
            <w:t>(Elovitz &amp; von Gunten, 1999)</w:t>
          </w:r>
          <w:r w:rsidRPr="00C809C3">
            <w:rPr>
              <w:rFonts w:ascii="Times New Roman" w:hAnsi="Times New Roman" w:cstheme="minorBidi"/>
              <w:sz w:val="22"/>
            </w:rPr>
            <w:fldChar w:fldCharType="end"/>
          </w:r>
        </w:sdtContent>
      </w:sdt>
      <w:r w:rsidRPr="00C809C3">
        <w:rPr>
          <w:rFonts w:ascii="Times New Roman" w:hAnsi="Times New Roman" w:cstheme="minorBidi"/>
          <w:sz w:val="22"/>
        </w:rPr>
        <w:t xml:space="preserve"> </w:t>
      </w:r>
      <w:sdt>
        <w:sdtPr>
          <w:rPr>
            <w:rFonts w:ascii="Times New Roman" w:hAnsi="Times New Roman" w:cstheme="minorBidi"/>
            <w:sz w:val="22"/>
          </w:rPr>
          <w:id w:val="-691692067"/>
          <w:citation/>
        </w:sdtPr>
        <w:sdtEndPr/>
        <w:sdtContent>
          <w:r w:rsidRPr="00C809C3">
            <w:rPr>
              <w:rFonts w:ascii="Times New Roman" w:hAnsi="Times New Roman" w:cstheme="minorBidi"/>
              <w:sz w:val="22"/>
            </w:rPr>
            <w:fldChar w:fldCharType="begin"/>
          </w:r>
          <w:r w:rsidRPr="00C809C3">
            <w:rPr>
              <w:rFonts w:ascii="Times New Roman" w:hAnsi="Times New Roman" w:cstheme="minorBidi"/>
              <w:sz w:val="22"/>
            </w:rPr>
            <w:instrText xml:space="preserve"> CITATION PiY05 \l 1033 </w:instrText>
          </w:r>
          <w:r w:rsidRPr="00C809C3">
            <w:rPr>
              <w:rFonts w:ascii="Times New Roman" w:hAnsi="Times New Roman" w:cstheme="minorBidi"/>
              <w:sz w:val="22"/>
            </w:rPr>
            <w:fldChar w:fldCharType="separate"/>
          </w:r>
          <w:r w:rsidRPr="00C809C3">
            <w:rPr>
              <w:rFonts w:ascii="Times New Roman" w:hAnsi="Times New Roman" w:cstheme="minorBidi"/>
              <w:noProof/>
              <w:sz w:val="22"/>
            </w:rPr>
            <w:t>(Pi, Schumacher, &amp; Jekel, 2005)</w:t>
          </w:r>
          <w:r w:rsidRPr="00C809C3">
            <w:rPr>
              <w:rFonts w:ascii="Times New Roman" w:hAnsi="Times New Roman" w:cstheme="minorBidi"/>
              <w:sz w:val="22"/>
            </w:rPr>
            <w:fldChar w:fldCharType="end"/>
          </w:r>
        </w:sdtContent>
      </w:sdt>
      <w:r w:rsidRPr="00C809C3">
        <w:rPr>
          <w:rFonts w:ascii="Times New Roman" w:hAnsi="Times New Roman" w:cstheme="minorBidi"/>
          <w:sz w:val="22"/>
        </w:rPr>
        <w:t xml:space="preserve">.  This is expected since 1,4-dioxane has also been </w:t>
      </w:r>
      <w:r w:rsidRPr="00C809C3">
        <w:rPr>
          <w:rFonts w:ascii="Times New Roman" w:hAnsi="Times New Roman" w:cstheme="minorBidi"/>
          <w:sz w:val="22"/>
        </w:rPr>
        <w:lastRenderedPageBreak/>
        <w:t>used as a hydroxyl radical probe itself</w:t>
      </w:r>
      <w:sdt>
        <w:sdtPr>
          <w:rPr>
            <w:rFonts w:ascii="Times New Roman" w:hAnsi="Times New Roman" w:cstheme="minorBidi"/>
            <w:sz w:val="22"/>
          </w:rPr>
          <w:id w:val="836347308"/>
          <w:citation/>
        </w:sdtPr>
        <w:sdtEndPr/>
        <w:sdtContent>
          <w:r w:rsidRPr="00C809C3">
            <w:rPr>
              <w:rFonts w:ascii="Times New Roman" w:hAnsi="Times New Roman" w:cstheme="minorBidi"/>
              <w:sz w:val="22"/>
            </w:rPr>
            <w:fldChar w:fldCharType="begin"/>
          </w:r>
          <w:r w:rsidRPr="00C809C3">
            <w:rPr>
              <w:rFonts w:ascii="Times New Roman" w:hAnsi="Times New Roman" w:cstheme="minorBidi"/>
              <w:sz w:val="22"/>
            </w:rPr>
            <w:instrText xml:space="preserve"> CITATION Kis10 \l 1033 </w:instrText>
          </w:r>
          <w:r w:rsidRPr="00C809C3">
            <w:rPr>
              <w:rFonts w:ascii="Times New Roman" w:hAnsi="Times New Roman" w:cstheme="minorBidi"/>
              <w:sz w:val="22"/>
            </w:rPr>
            <w:fldChar w:fldCharType="separate"/>
          </w:r>
          <w:r w:rsidRPr="00C809C3">
            <w:rPr>
              <w:rFonts w:ascii="Times New Roman" w:hAnsi="Times New Roman" w:cstheme="minorBidi"/>
              <w:noProof/>
              <w:sz w:val="22"/>
            </w:rPr>
            <w:t xml:space="preserve"> (Kishimoto &amp; Sugimura, 2010)</w:t>
          </w:r>
          <w:r w:rsidRPr="00C809C3">
            <w:rPr>
              <w:rFonts w:ascii="Times New Roman" w:hAnsi="Times New Roman" w:cstheme="minorBidi"/>
              <w:sz w:val="22"/>
            </w:rPr>
            <w:fldChar w:fldCharType="end"/>
          </w:r>
        </w:sdtContent>
      </w:sdt>
      <w:sdt>
        <w:sdtPr>
          <w:rPr>
            <w:rFonts w:ascii="Times New Roman" w:hAnsi="Times New Roman" w:cstheme="minorBidi"/>
            <w:sz w:val="22"/>
          </w:rPr>
          <w:id w:val="-64500447"/>
          <w:citation/>
        </w:sdtPr>
        <w:sdtEndPr/>
        <w:sdtContent>
          <w:r w:rsidRPr="00C809C3">
            <w:rPr>
              <w:rFonts w:ascii="Times New Roman" w:hAnsi="Times New Roman" w:cstheme="minorBidi"/>
              <w:sz w:val="22"/>
            </w:rPr>
            <w:fldChar w:fldCharType="begin"/>
          </w:r>
          <w:r w:rsidRPr="00C809C3">
            <w:rPr>
              <w:rFonts w:ascii="Times New Roman" w:hAnsi="Times New Roman" w:cstheme="minorBidi"/>
              <w:sz w:val="22"/>
            </w:rPr>
            <w:instrText xml:space="preserve"> CITATION Kit11 \l 1033 </w:instrText>
          </w:r>
          <w:r w:rsidRPr="00C809C3">
            <w:rPr>
              <w:rFonts w:ascii="Times New Roman" w:hAnsi="Times New Roman" w:cstheme="minorBidi"/>
              <w:sz w:val="22"/>
            </w:rPr>
            <w:fldChar w:fldCharType="separate"/>
          </w:r>
          <w:r w:rsidRPr="00C809C3">
            <w:rPr>
              <w:rFonts w:ascii="Times New Roman" w:hAnsi="Times New Roman" w:cstheme="minorBidi"/>
              <w:noProof/>
              <w:sz w:val="22"/>
            </w:rPr>
            <w:t xml:space="preserve"> (Kitamura, Kishimoto, Okura, &amp; Otsu, 2011)</w:t>
          </w:r>
          <w:r w:rsidRPr="00C809C3">
            <w:rPr>
              <w:rFonts w:ascii="Times New Roman" w:hAnsi="Times New Roman" w:cstheme="minorBidi"/>
              <w:sz w:val="22"/>
            </w:rPr>
            <w:fldChar w:fldCharType="end"/>
          </w:r>
        </w:sdtContent>
      </w:sdt>
      <w:sdt>
        <w:sdtPr>
          <w:rPr>
            <w:rFonts w:ascii="Times New Roman" w:hAnsi="Times New Roman" w:cstheme="minorBidi"/>
            <w:sz w:val="22"/>
          </w:rPr>
          <w:id w:val="-1388488453"/>
          <w:citation/>
        </w:sdtPr>
        <w:sdtEndPr/>
        <w:sdtContent>
          <w:r w:rsidRPr="00C809C3">
            <w:rPr>
              <w:rFonts w:ascii="Times New Roman" w:hAnsi="Times New Roman" w:cstheme="minorBidi"/>
              <w:sz w:val="22"/>
            </w:rPr>
            <w:fldChar w:fldCharType="begin"/>
          </w:r>
          <w:r w:rsidRPr="00C809C3">
            <w:rPr>
              <w:rFonts w:ascii="Times New Roman" w:hAnsi="Times New Roman" w:cstheme="minorBidi"/>
              <w:sz w:val="22"/>
            </w:rPr>
            <w:instrText xml:space="preserve"> CITATION Kis08 \l 1033 </w:instrText>
          </w:r>
          <w:r w:rsidRPr="00C809C3">
            <w:rPr>
              <w:rFonts w:ascii="Times New Roman" w:hAnsi="Times New Roman" w:cstheme="minorBidi"/>
              <w:sz w:val="22"/>
            </w:rPr>
            <w:fldChar w:fldCharType="separate"/>
          </w:r>
          <w:r w:rsidRPr="00C809C3">
            <w:rPr>
              <w:rFonts w:ascii="Times New Roman" w:hAnsi="Times New Roman" w:cstheme="minorBidi"/>
              <w:noProof/>
              <w:sz w:val="22"/>
            </w:rPr>
            <w:t xml:space="preserve"> (Kishimoto, et al., 2008)</w:t>
          </w:r>
          <w:r w:rsidRPr="00C809C3">
            <w:rPr>
              <w:rFonts w:ascii="Times New Roman" w:hAnsi="Times New Roman" w:cstheme="minorBidi"/>
              <w:sz w:val="22"/>
            </w:rPr>
            <w:fldChar w:fldCharType="end"/>
          </w:r>
        </w:sdtContent>
      </w:sdt>
      <w:r w:rsidRPr="00C809C3">
        <w:rPr>
          <w:rFonts w:ascii="Times New Roman" w:hAnsi="Times New Roman" w:cstheme="minorBidi"/>
          <w:sz w:val="22"/>
        </w:rPr>
        <w:t xml:space="preserve">.  </w:t>
      </w:r>
    </w:p>
    <w:p w:rsidR="00C809C3" w:rsidRPr="00C809C3" w:rsidRDefault="00C809C3" w:rsidP="00D21B86">
      <w:pPr>
        <w:spacing w:line="480" w:lineRule="auto"/>
        <w:rPr>
          <w:rFonts w:ascii="Times New Roman" w:hAnsi="Times New Roman" w:cstheme="minorBidi"/>
          <w:sz w:val="22"/>
        </w:rPr>
      </w:pPr>
      <w:r w:rsidRPr="00C809C3">
        <w:rPr>
          <w:rFonts w:ascii="Times New Roman" w:hAnsi="Times New Roman" w:cstheme="minorBidi"/>
          <w:sz w:val="22"/>
        </w:rPr>
        <w:tab/>
        <w:t>In Figure S3, the mean R</w:t>
      </w:r>
      <w:r w:rsidRPr="00EA37C0">
        <w:rPr>
          <w:rFonts w:ascii="Times New Roman" w:hAnsi="Times New Roman" w:cstheme="minorBidi"/>
          <w:sz w:val="22"/>
          <w:vertAlign w:val="subscript"/>
        </w:rPr>
        <w:t>CT</w:t>
      </w:r>
      <w:r w:rsidRPr="00C809C3">
        <w:rPr>
          <w:rFonts w:ascii="Times New Roman" w:hAnsi="Times New Roman" w:cstheme="minorBidi"/>
          <w:sz w:val="22"/>
        </w:rPr>
        <w:t xml:space="preserve"> and 95</w:t>
      </w:r>
      <w:r w:rsidRPr="00C809C3">
        <w:rPr>
          <w:rFonts w:ascii="Times New Roman" w:hAnsi="Times New Roman" w:cstheme="minorBidi"/>
          <w:sz w:val="22"/>
          <w:vertAlign w:val="superscript"/>
        </w:rPr>
        <w:t>th</w:t>
      </w:r>
      <w:r w:rsidRPr="00C809C3">
        <w:rPr>
          <w:rFonts w:ascii="Times New Roman" w:hAnsi="Times New Roman" w:cstheme="minorBidi"/>
          <w:sz w:val="22"/>
        </w:rPr>
        <w:t xml:space="preserve"> percentile confidence </w:t>
      </w:r>
      <w:r w:rsidR="00EA37C0">
        <w:rPr>
          <w:rFonts w:ascii="Times New Roman" w:hAnsi="Times New Roman" w:cstheme="minorBidi"/>
          <w:sz w:val="22"/>
        </w:rPr>
        <w:t>intervals</w:t>
      </w:r>
      <w:r w:rsidRPr="00C809C3">
        <w:rPr>
          <w:rFonts w:ascii="Times New Roman" w:hAnsi="Times New Roman" w:cstheme="minorBidi"/>
          <w:sz w:val="22"/>
        </w:rPr>
        <w:t xml:space="preserve"> are given for a set of experimental results across a wide variety of process conditions: pH, pressure, and ultrasound.  These results suggest that the hydroxyl radical yield was similar across all pressure, pH, ultrasound, and ozone dose conditions tested.  The outliers in figure S3 are those experiments where the influent drinking water was spiked with 10mM and 100mM of bicarbonate and those experiments done using deionized water in lieu of drinking water.  This is expected, since bicarbonate scavenges hydroxyl radicals, leaving fewer to react with 1,4-dioxane, and also because the bicarbonate has been shown to be a significant R</w:t>
      </w:r>
      <w:r w:rsidRPr="00C809C3">
        <w:rPr>
          <w:rFonts w:ascii="Times New Roman" w:hAnsi="Times New Roman" w:cstheme="minorBidi"/>
          <w:sz w:val="22"/>
          <w:vertAlign w:val="subscript"/>
        </w:rPr>
        <w:t>CT</w:t>
      </w:r>
      <w:r w:rsidRPr="00C809C3">
        <w:rPr>
          <w:rFonts w:ascii="Times New Roman" w:hAnsi="Times New Roman" w:cstheme="minorBidi"/>
          <w:sz w:val="22"/>
        </w:rPr>
        <w:t>-determining water characteristic</w:t>
      </w:r>
      <w:sdt>
        <w:sdtPr>
          <w:rPr>
            <w:rFonts w:ascii="Times New Roman" w:hAnsi="Times New Roman" w:cstheme="minorBidi"/>
            <w:sz w:val="22"/>
          </w:rPr>
          <w:id w:val="-195155700"/>
          <w:citation/>
        </w:sdtPr>
        <w:sdtEndPr/>
        <w:sdtContent>
          <w:r w:rsidRPr="00C809C3">
            <w:rPr>
              <w:rFonts w:ascii="Times New Roman" w:hAnsi="Times New Roman" w:cstheme="minorBidi"/>
              <w:sz w:val="22"/>
            </w:rPr>
            <w:fldChar w:fldCharType="begin"/>
          </w:r>
          <w:r w:rsidRPr="00C809C3">
            <w:rPr>
              <w:rFonts w:ascii="Times New Roman" w:hAnsi="Times New Roman" w:cstheme="minorBidi"/>
              <w:sz w:val="22"/>
            </w:rPr>
            <w:instrText xml:space="preserve"> CITATION Elo00 \l 1033 </w:instrText>
          </w:r>
          <w:r w:rsidRPr="00C809C3">
            <w:rPr>
              <w:rFonts w:ascii="Times New Roman" w:hAnsi="Times New Roman" w:cstheme="minorBidi"/>
              <w:sz w:val="22"/>
            </w:rPr>
            <w:fldChar w:fldCharType="separate"/>
          </w:r>
          <w:r w:rsidRPr="00C809C3">
            <w:rPr>
              <w:rFonts w:ascii="Times New Roman" w:hAnsi="Times New Roman" w:cstheme="minorBidi"/>
              <w:noProof/>
              <w:sz w:val="22"/>
            </w:rPr>
            <w:t xml:space="preserve"> (Elovitz, von Gunten, &amp; Kaiser, 2000)</w:t>
          </w:r>
          <w:r w:rsidRPr="00C809C3">
            <w:rPr>
              <w:rFonts w:ascii="Times New Roman" w:hAnsi="Times New Roman" w:cstheme="minorBidi"/>
              <w:sz w:val="22"/>
            </w:rPr>
            <w:fldChar w:fldCharType="end"/>
          </w:r>
        </w:sdtContent>
      </w:sdt>
      <w:r w:rsidRPr="00C809C3">
        <w:rPr>
          <w:rFonts w:ascii="Times New Roman" w:hAnsi="Times New Roman" w:cstheme="minorBidi"/>
          <w:sz w:val="22"/>
        </w:rPr>
        <w:t>.  The R</w:t>
      </w:r>
      <w:r w:rsidRPr="00C809C3">
        <w:rPr>
          <w:rFonts w:ascii="Times New Roman" w:hAnsi="Times New Roman" w:cstheme="minorBidi"/>
          <w:sz w:val="22"/>
          <w:vertAlign w:val="subscript"/>
        </w:rPr>
        <w:t>CT</w:t>
      </w:r>
      <w:r w:rsidRPr="00C809C3">
        <w:rPr>
          <w:rFonts w:ascii="Times New Roman" w:hAnsi="Times New Roman" w:cstheme="minorBidi"/>
          <w:sz w:val="22"/>
        </w:rPr>
        <w:t xml:space="preserve"> findings suggests that the improved 1,4-dioxane removal noted in the combined ozone/ultrasound tests was almost entirely due to sonication-driven increased ozone consumption, rather than any phenomena related solely to ultrasound.  </w:t>
      </w:r>
    </w:p>
    <w:p w:rsidR="00AE39B0" w:rsidRDefault="00AE39B0">
      <w:r>
        <w:br w:type="page"/>
      </w:r>
    </w:p>
    <w:p w:rsidR="00AE39B0" w:rsidRDefault="00AE39B0" w:rsidP="00AE39B0">
      <w:pPr>
        <w:keepNext/>
      </w:pPr>
      <w:r>
        <w:rPr>
          <w:noProof/>
        </w:rPr>
        <w:lastRenderedPageBreak/>
        <w:drawing>
          <wp:inline distT="0" distB="0" distL="0" distR="0" wp14:anchorId="7CDF2877" wp14:editId="182045AF">
            <wp:extent cx="5943600" cy="40525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trich FigS1 oct revision4.tif"/>
                    <pic:cNvPicPr/>
                  </pic:nvPicPr>
                  <pic:blipFill>
                    <a:blip r:embed="rId5">
                      <a:extLst>
                        <a:ext uri="{28A0092B-C50C-407E-A947-70E740481C1C}">
                          <a14:useLocalDpi xmlns:a14="http://schemas.microsoft.com/office/drawing/2010/main" val="0"/>
                        </a:ext>
                      </a:extLst>
                    </a:blip>
                    <a:stretch>
                      <a:fillRect/>
                    </a:stretch>
                  </pic:blipFill>
                  <pic:spPr>
                    <a:xfrm>
                      <a:off x="0" y="0"/>
                      <a:ext cx="5943600" cy="4052570"/>
                    </a:xfrm>
                    <a:prstGeom prst="rect">
                      <a:avLst/>
                    </a:prstGeom>
                  </pic:spPr>
                </pic:pic>
              </a:graphicData>
            </a:graphic>
          </wp:inline>
        </w:drawing>
      </w:r>
    </w:p>
    <w:p w:rsidR="00591940" w:rsidRDefault="00AE39B0" w:rsidP="00AE39B0">
      <w:pPr>
        <w:pStyle w:val="Caption"/>
      </w:pPr>
      <w:r>
        <w:t>Figure S</w:t>
      </w:r>
      <w:r w:rsidR="00E24DBE">
        <w:fldChar w:fldCharType="begin"/>
      </w:r>
      <w:r w:rsidR="00E24DBE">
        <w:instrText xml:space="preserve"> SEQ Figure \* ARABIC </w:instrText>
      </w:r>
      <w:r w:rsidR="00E24DBE">
        <w:fldChar w:fldCharType="separate"/>
      </w:r>
      <w:r>
        <w:rPr>
          <w:noProof/>
        </w:rPr>
        <w:t>1</w:t>
      </w:r>
      <w:r w:rsidR="00E24DBE">
        <w:rPr>
          <w:noProof/>
        </w:rPr>
        <w:fldChar w:fldCharType="end"/>
      </w:r>
      <w:r>
        <w:t>: Matrix Effects on Ultrasound, Ozone, and combined Ozone/Ultrasound</w:t>
      </w:r>
    </w:p>
    <w:p w:rsidR="00AE39B0" w:rsidRDefault="00AE39B0" w:rsidP="00AE39B0"/>
    <w:p w:rsidR="00AE39B0" w:rsidRDefault="00AE39B0">
      <w:r>
        <w:br w:type="page"/>
      </w:r>
    </w:p>
    <w:p w:rsidR="00AE39B0" w:rsidRDefault="00AE39B0" w:rsidP="00AE39B0">
      <w:pPr>
        <w:keepNext/>
      </w:pPr>
      <w:r>
        <w:rPr>
          <w:noProof/>
        </w:rPr>
        <w:lastRenderedPageBreak/>
        <w:drawing>
          <wp:inline distT="0" distB="0" distL="0" distR="0" wp14:anchorId="291E0625" wp14:editId="7FDE7C6C">
            <wp:extent cx="5943600" cy="41776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trichFigS2 oct revision.tif"/>
                    <pic:cNvPicPr/>
                  </pic:nvPicPr>
                  <pic:blipFill>
                    <a:blip r:embed="rId6">
                      <a:extLst>
                        <a:ext uri="{28A0092B-C50C-407E-A947-70E740481C1C}">
                          <a14:useLocalDpi xmlns:a14="http://schemas.microsoft.com/office/drawing/2010/main" val="0"/>
                        </a:ext>
                      </a:extLst>
                    </a:blip>
                    <a:stretch>
                      <a:fillRect/>
                    </a:stretch>
                  </pic:blipFill>
                  <pic:spPr>
                    <a:xfrm>
                      <a:off x="0" y="0"/>
                      <a:ext cx="5943600" cy="4177665"/>
                    </a:xfrm>
                    <a:prstGeom prst="rect">
                      <a:avLst/>
                    </a:prstGeom>
                  </pic:spPr>
                </pic:pic>
              </a:graphicData>
            </a:graphic>
          </wp:inline>
        </w:drawing>
      </w:r>
    </w:p>
    <w:p w:rsidR="00AE39B0" w:rsidRDefault="00AE39B0" w:rsidP="00AE39B0">
      <w:pPr>
        <w:pStyle w:val="Caption"/>
      </w:pPr>
      <w:r>
        <w:t>Figure S</w:t>
      </w:r>
      <w:r w:rsidR="00E24DBE">
        <w:fldChar w:fldCharType="begin"/>
      </w:r>
      <w:r w:rsidR="00E24DBE">
        <w:instrText xml:space="preserve"> SEQ Figure \* ARABIC </w:instrText>
      </w:r>
      <w:r w:rsidR="00E24DBE">
        <w:fldChar w:fldCharType="separate"/>
      </w:r>
      <w:r>
        <w:rPr>
          <w:noProof/>
        </w:rPr>
        <w:t>2</w:t>
      </w:r>
      <w:r w:rsidR="00E24DBE">
        <w:rPr>
          <w:noProof/>
        </w:rPr>
        <w:fldChar w:fldCharType="end"/>
      </w:r>
      <w:r>
        <w:t>: Effect of bicarbonate as radical scavenger (6.5 min retention time)</w:t>
      </w:r>
    </w:p>
    <w:p w:rsidR="00AE39B0" w:rsidRDefault="00AE39B0" w:rsidP="00AE39B0"/>
    <w:p w:rsidR="00AE39B0" w:rsidRDefault="00AE39B0">
      <w:r>
        <w:br w:type="page"/>
      </w:r>
    </w:p>
    <w:p w:rsidR="00AE39B0" w:rsidRDefault="00AE39B0" w:rsidP="00AE39B0">
      <w:pPr>
        <w:keepNext/>
      </w:pPr>
      <w:r>
        <w:rPr>
          <w:noProof/>
        </w:rPr>
        <w:lastRenderedPageBreak/>
        <w:drawing>
          <wp:inline distT="0" distB="0" distL="0" distR="0" wp14:anchorId="15584A47" wp14:editId="77262FD3">
            <wp:extent cx="5943600" cy="41929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trichFigS3 oct revision.tif"/>
                    <pic:cNvPicPr/>
                  </pic:nvPicPr>
                  <pic:blipFill>
                    <a:blip r:embed="rId7">
                      <a:extLst>
                        <a:ext uri="{28A0092B-C50C-407E-A947-70E740481C1C}">
                          <a14:useLocalDpi xmlns:a14="http://schemas.microsoft.com/office/drawing/2010/main" val="0"/>
                        </a:ext>
                      </a:extLst>
                    </a:blip>
                    <a:stretch>
                      <a:fillRect/>
                    </a:stretch>
                  </pic:blipFill>
                  <pic:spPr>
                    <a:xfrm>
                      <a:off x="0" y="0"/>
                      <a:ext cx="5943600" cy="4192905"/>
                    </a:xfrm>
                    <a:prstGeom prst="rect">
                      <a:avLst/>
                    </a:prstGeom>
                  </pic:spPr>
                </pic:pic>
              </a:graphicData>
            </a:graphic>
          </wp:inline>
        </w:drawing>
      </w:r>
    </w:p>
    <w:p w:rsidR="00AE39B0" w:rsidRDefault="00AE39B0" w:rsidP="00AE39B0">
      <w:pPr>
        <w:pStyle w:val="Caption"/>
        <w:rPr>
          <w:rFonts w:eastAsiaTheme="minorEastAsia"/>
        </w:rPr>
      </w:pPr>
      <w:r>
        <w:t>Figure S</w:t>
      </w:r>
      <w:r w:rsidR="00E24DBE">
        <w:fldChar w:fldCharType="begin"/>
      </w:r>
      <w:r w:rsidR="00E24DBE">
        <w:instrText xml:space="preserve"> SEQ Figure \* ARABIC </w:instrText>
      </w:r>
      <w:r w:rsidR="00E24DBE">
        <w:fldChar w:fldCharType="separate"/>
      </w:r>
      <w:r>
        <w:rPr>
          <w:noProof/>
        </w:rPr>
        <w:t>3</w:t>
      </w:r>
      <w:r w:rsidR="00E24DBE">
        <w:rPr>
          <w:noProof/>
        </w:rPr>
        <w:fldChar w:fldCharType="end"/>
      </w:r>
      <w:r>
        <w:t>: R</w:t>
      </w:r>
      <w:r>
        <w:rPr>
          <w:vertAlign w:val="subscript"/>
        </w:rPr>
        <w:t>CT</w:t>
      </w:r>
      <w:r>
        <w:t xml:space="preserve"> Line </w:t>
      </w:r>
      <m:oMath>
        <m:r>
          <m:rPr>
            <m:sty m:val="bi"/>
          </m:rPr>
          <w:rPr>
            <w:rFonts w:ascii="Cambria Math" w:hAnsi="Cambria Math"/>
          </w:rPr>
          <m:t>±</m:t>
        </m:r>
      </m:oMath>
      <w:r>
        <w:rPr>
          <w:rFonts w:eastAsiaTheme="minorEastAsia"/>
        </w:rPr>
        <w:t>95% confidence intervals for 1,4-Dioxane removal from spiked drinking water (no added HCO</w:t>
      </w:r>
      <w:r>
        <w:rPr>
          <w:rFonts w:eastAsiaTheme="minorEastAsia"/>
          <w:vertAlign w:val="subscript"/>
        </w:rPr>
        <w:t>3</w:t>
      </w:r>
      <w:r>
        <w:rPr>
          <w:rFonts w:eastAsiaTheme="minorEastAsia"/>
        </w:rPr>
        <w:t>)using O</w:t>
      </w:r>
      <w:r>
        <w:rPr>
          <w:rFonts w:eastAsiaTheme="minorEastAsia"/>
          <w:vertAlign w:val="subscript"/>
        </w:rPr>
        <w:t>3</w:t>
      </w:r>
      <w:r>
        <w:rPr>
          <w:rFonts w:eastAsiaTheme="minorEastAsia"/>
        </w:rPr>
        <w:t xml:space="preserve"> and combined O</w:t>
      </w:r>
      <w:r>
        <w:rPr>
          <w:rFonts w:eastAsiaTheme="minorEastAsia"/>
          <w:vertAlign w:val="subscript"/>
        </w:rPr>
        <w:t>3</w:t>
      </w:r>
      <w:r>
        <w:rPr>
          <w:rFonts w:eastAsiaTheme="minorEastAsia"/>
        </w:rPr>
        <w:t>/US</w:t>
      </w:r>
    </w:p>
    <w:p w:rsidR="00AE39B0" w:rsidRDefault="00AE39B0">
      <w:r>
        <w:br w:type="page"/>
      </w:r>
    </w:p>
    <w:p w:rsidR="00AE39B0" w:rsidRDefault="00AE39B0" w:rsidP="00AE39B0">
      <w:pPr>
        <w:keepNext/>
      </w:pPr>
      <w:r>
        <w:rPr>
          <w:noProof/>
        </w:rPr>
        <w:lastRenderedPageBreak/>
        <w:drawing>
          <wp:inline distT="0" distB="0" distL="0" distR="0" wp14:anchorId="0F05AE09" wp14:editId="67F256D3">
            <wp:extent cx="5943600" cy="33470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trichFigS4 oct revision.tif"/>
                    <pic:cNvPicPr/>
                  </pic:nvPicPr>
                  <pic:blipFill>
                    <a:blip r:embed="rId8">
                      <a:extLst>
                        <a:ext uri="{28A0092B-C50C-407E-A947-70E740481C1C}">
                          <a14:useLocalDpi xmlns:a14="http://schemas.microsoft.com/office/drawing/2010/main" val="0"/>
                        </a:ext>
                      </a:extLst>
                    </a:blip>
                    <a:stretch>
                      <a:fillRect/>
                    </a:stretch>
                  </pic:blipFill>
                  <pic:spPr>
                    <a:xfrm>
                      <a:off x="0" y="0"/>
                      <a:ext cx="5943600" cy="3347085"/>
                    </a:xfrm>
                    <a:prstGeom prst="rect">
                      <a:avLst/>
                    </a:prstGeom>
                  </pic:spPr>
                </pic:pic>
              </a:graphicData>
            </a:graphic>
          </wp:inline>
        </w:drawing>
      </w:r>
    </w:p>
    <w:p w:rsidR="00AE39B0" w:rsidRPr="00AE39B0" w:rsidRDefault="00AE39B0" w:rsidP="00AE39B0">
      <w:pPr>
        <w:pStyle w:val="Caption"/>
      </w:pPr>
      <w:r>
        <w:t>Figure S</w:t>
      </w:r>
      <w:r w:rsidR="00E24DBE">
        <w:fldChar w:fldCharType="begin"/>
      </w:r>
      <w:r w:rsidR="00E24DBE">
        <w:instrText xml:space="preserve"> SEQ Figure \* ARABIC </w:instrText>
      </w:r>
      <w:r w:rsidR="00E24DBE">
        <w:fldChar w:fldCharType="separate"/>
      </w:r>
      <w:r>
        <w:rPr>
          <w:noProof/>
        </w:rPr>
        <w:t>4</w:t>
      </w:r>
      <w:r w:rsidR="00E24DBE">
        <w:rPr>
          <w:noProof/>
        </w:rPr>
        <w:fldChar w:fldCharType="end"/>
      </w:r>
      <w:r>
        <w:t>: Model validation at [O</w:t>
      </w:r>
      <w:r>
        <w:rPr>
          <w:vertAlign w:val="subscript"/>
        </w:rPr>
        <w:t>3</w:t>
      </w:r>
      <w:r>
        <w:t>]</w:t>
      </w:r>
      <w:proofErr w:type="spellStart"/>
      <w:r>
        <w:rPr>
          <w:vertAlign w:val="subscript"/>
        </w:rPr>
        <w:t>aq</w:t>
      </w:r>
      <w:proofErr w:type="spellEnd"/>
      <w:r>
        <w:t xml:space="preserve"> = 1mg/L</w:t>
      </w:r>
    </w:p>
    <w:sectPr w:rsidR="00AE39B0" w:rsidRPr="00AE39B0" w:rsidSect="007D53C0">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9C3"/>
    <w:rsid w:val="00411123"/>
    <w:rsid w:val="005D0137"/>
    <w:rsid w:val="005E64BF"/>
    <w:rsid w:val="006455F9"/>
    <w:rsid w:val="007B0144"/>
    <w:rsid w:val="00AC08AD"/>
    <w:rsid w:val="00AE39B0"/>
    <w:rsid w:val="00C809C3"/>
    <w:rsid w:val="00D21B86"/>
    <w:rsid w:val="00D8146B"/>
    <w:rsid w:val="00E24DBE"/>
    <w:rsid w:val="00EA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C1E662-D96F-4908-A032-FA4EB9F1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Courier New"/>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09C3"/>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0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9C3"/>
    <w:rPr>
      <w:rFonts w:ascii="Tahoma" w:hAnsi="Tahoma" w:cs="Tahoma"/>
      <w:sz w:val="16"/>
      <w:szCs w:val="16"/>
    </w:rPr>
  </w:style>
  <w:style w:type="character" w:styleId="LineNumber">
    <w:name w:val="line number"/>
    <w:basedOn w:val="DefaultParagraphFont"/>
    <w:uiPriority w:val="99"/>
    <w:semiHidden/>
    <w:unhideWhenUsed/>
    <w:rsid w:val="00C809C3"/>
  </w:style>
  <w:style w:type="paragraph" w:styleId="Caption">
    <w:name w:val="caption"/>
    <w:basedOn w:val="Normal"/>
    <w:next w:val="Normal"/>
    <w:uiPriority w:val="35"/>
    <w:unhideWhenUsed/>
    <w:qFormat/>
    <w:rsid w:val="00AE39B0"/>
    <w:pPr>
      <w:spacing w:line="240" w:lineRule="auto"/>
    </w:pPr>
    <w:rPr>
      <w:b/>
      <w:bCs/>
      <w:color w:val="4F81BD" w:themeColor="accent1"/>
      <w:sz w:val="18"/>
      <w:szCs w:val="18"/>
    </w:rPr>
  </w:style>
  <w:style w:type="character" w:styleId="PlaceholderText">
    <w:name w:val="Placeholder Text"/>
    <w:basedOn w:val="DefaultParagraphFont"/>
    <w:uiPriority w:val="99"/>
    <w:semiHidden/>
    <w:rsid w:val="00AE39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if"/><Relationship Id="rId3" Type="http://schemas.openxmlformats.org/officeDocument/2006/relationships/settings" Target="settings.xml"/><Relationship Id="rId7" Type="http://schemas.openxmlformats.org/officeDocument/2006/relationships/image" Target="media/image3.t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tif"/><Relationship Id="rId5" Type="http://schemas.openxmlformats.org/officeDocument/2006/relationships/image" Target="media/image1.t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8757119-0CA3-4CF7-B2B0-CB60CC8DC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Bay Chevrolet, Inc.</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Moses</dc:creator>
  <cp:lastModifiedBy>McCourt, Megg</cp:lastModifiedBy>
  <cp:revision>6</cp:revision>
  <dcterms:created xsi:type="dcterms:W3CDTF">2016-10-31T01:57:00Z</dcterms:created>
  <dcterms:modified xsi:type="dcterms:W3CDTF">2017-04-20T13:49:00Z</dcterms:modified>
</cp:coreProperties>
</file>