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87" w:rsidRDefault="00621687" w:rsidP="00621687">
      <w:pPr>
        <w:rPr>
          <w:rFonts w:ascii="Times New Roman" w:hAnsi="Times New Roman" w:cs="Times New Roman"/>
          <w:b/>
        </w:rPr>
      </w:pPr>
      <w:r w:rsidRPr="00BF7647">
        <w:rPr>
          <w:rFonts w:ascii="TimesNewRomanPS-BoldMT" w:hAnsi="TimesNewRomanPS-BoldMT" w:cs="TimesNewRomanPS-BoldMT"/>
          <w:b/>
          <w:bCs/>
          <w:lang w:val="en-GB"/>
        </w:rPr>
        <w:t xml:space="preserve">Maternal and nourishment factors interact to influence offspring developmental trajectories in </w:t>
      </w:r>
      <w:r>
        <w:rPr>
          <w:rFonts w:ascii="TimesNewRomanPS-BoldMT" w:hAnsi="TimesNewRomanPS-BoldMT" w:cs="TimesNewRomanPS-BoldMT"/>
          <w:b/>
          <w:bCs/>
          <w:lang w:val="en-GB"/>
        </w:rPr>
        <w:t>s</w:t>
      </w:r>
      <w:r w:rsidRPr="00BF7647">
        <w:rPr>
          <w:rFonts w:ascii="TimesNewRomanPS-BoldMT" w:hAnsi="TimesNewRomanPS-BoldMT" w:cs="TimesNewRomanPS-BoldMT"/>
          <w:b/>
          <w:bCs/>
          <w:lang w:val="en-GB"/>
        </w:rPr>
        <w:t>ocial wasps</w:t>
      </w:r>
      <w:bookmarkStart w:id="0" w:name="_GoBack"/>
      <w:bookmarkEnd w:id="0"/>
    </w:p>
    <w:p w:rsidR="00F90393" w:rsidRDefault="00F90393" w:rsidP="00511A42">
      <w:pPr>
        <w:tabs>
          <w:tab w:val="left" w:pos="6144"/>
        </w:tabs>
        <w:autoSpaceDE w:val="0"/>
        <w:autoSpaceDN w:val="0"/>
        <w:adjustRightInd w:val="0"/>
        <w:spacing w:after="240" w:line="240" w:lineRule="auto"/>
        <w:rPr>
          <w:rFonts w:ascii="TimesNewRomanPSMT" w:hAnsi="TimesNewRomanPSMT" w:cs="TimesNewRomanPSMT"/>
          <w:b/>
        </w:rPr>
      </w:pPr>
      <w:r>
        <w:rPr>
          <w:rFonts w:ascii="Times New Roman" w:hAnsi="Times New Roman" w:cs="Times New Roman"/>
          <w:b/>
        </w:rPr>
        <w:t>Electronic Supplementary Material-</w:t>
      </w:r>
      <w:r w:rsidR="00666472">
        <w:rPr>
          <w:rFonts w:ascii="TimesNewRomanPSMT" w:hAnsi="TimesNewRomanPSMT" w:cs="TimesNewRomanPSMT"/>
          <w:b/>
        </w:rPr>
        <w:t>3</w:t>
      </w:r>
      <w:r>
        <w:rPr>
          <w:rFonts w:ascii="TimesNewRomanPSMT" w:hAnsi="TimesNewRomanPSMT" w:cs="TimesNewRomanPSMT"/>
          <w:b/>
        </w:rPr>
        <w:t xml:space="preserve">: </w:t>
      </w:r>
      <w:proofErr w:type="spellStart"/>
      <w:r>
        <w:rPr>
          <w:rFonts w:ascii="TimesNewRomanPSMT" w:hAnsi="TimesNewRomanPSMT" w:cs="TimesNewRomanPSMT"/>
          <w:b/>
        </w:rPr>
        <w:t>qRT</w:t>
      </w:r>
      <w:proofErr w:type="spellEnd"/>
      <w:r>
        <w:rPr>
          <w:rFonts w:ascii="TimesNewRomanPSMT" w:hAnsi="TimesNewRomanPSMT" w:cs="TimesNewRomanPSMT"/>
          <w:b/>
        </w:rPr>
        <w:t>-PCR</w:t>
      </w:r>
      <w:r w:rsidR="002F2CBE">
        <w:rPr>
          <w:rFonts w:ascii="TimesNewRomanPSMT" w:hAnsi="TimesNewRomanPSMT" w:cs="TimesNewRomanPSMT"/>
          <w:b/>
        </w:rPr>
        <w:t xml:space="preserve"> Methods</w:t>
      </w:r>
      <w:r w:rsidR="00621687">
        <w:rPr>
          <w:rFonts w:ascii="TimesNewRomanPSMT" w:hAnsi="TimesNewRomanPSMT" w:cs="TimesNewRomanPSMT"/>
          <w:b/>
        </w:rPr>
        <w:t>, Primers, and Control Ge</w:t>
      </w:r>
      <w:r w:rsidR="00511A42">
        <w:rPr>
          <w:rFonts w:ascii="TimesNewRomanPSMT" w:hAnsi="TimesNewRomanPSMT" w:cs="TimesNewRomanPSMT"/>
          <w:b/>
        </w:rPr>
        <w:t>nes</w:t>
      </w:r>
    </w:p>
    <w:p w:rsidR="00F90393" w:rsidRDefault="002F2CBE" w:rsidP="002F2CBE">
      <w:pPr>
        <w:autoSpaceDE w:val="0"/>
        <w:autoSpaceDN w:val="0"/>
        <w:adjustRightInd w:val="0"/>
        <w:spacing w:after="120" w:line="240" w:lineRule="auto"/>
        <w:rPr>
          <w:rFonts w:ascii="TimesNewRomanPSMT" w:hAnsi="TimesNewRomanPSMT" w:cs="TimesNewRomanPSMT"/>
        </w:rPr>
      </w:pPr>
      <w:r>
        <w:rPr>
          <w:rFonts w:ascii="TimesNewRomanPSMT" w:hAnsi="TimesNewRomanPSMT" w:cs="TimesNewRomanPSMT"/>
          <w:b/>
        </w:rPr>
        <w:t xml:space="preserve">Methods and Replication: </w:t>
      </w:r>
      <w:proofErr w:type="spellStart"/>
      <w:r w:rsidR="00F90393" w:rsidRPr="00632239">
        <w:rPr>
          <w:rFonts w:ascii="TimesNewRomanPSMT" w:hAnsi="TimesNewRomanPSMT" w:cs="TimesNewRomanPSMT"/>
        </w:rPr>
        <w:t>qRT</w:t>
      </w:r>
      <w:proofErr w:type="spellEnd"/>
      <w:r w:rsidR="00F90393" w:rsidRPr="00632239">
        <w:rPr>
          <w:rFonts w:ascii="TimesNewRomanPSMT" w:hAnsi="TimesNewRomanPSMT" w:cs="TimesNewRomanPSMT"/>
        </w:rPr>
        <w:t xml:space="preserve">-PCR was performed with a Bio-Rad CFX96 Touch Real-Time PCR Detection System using 2x SYBR Green Master Mix (Applied </w:t>
      </w:r>
      <w:proofErr w:type="spellStart"/>
      <w:r w:rsidR="00F90393" w:rsidRPr="00632239">
        <w:rPr>
          <w:rFonts w:ascii="TimesNewRomanPSMT" w:hAnsi="TimesNewRomanPSMT" w:cs="TimesNewRomanPSMT"/>
        </w:rPr>
        <w:t>Biosystems</w:t>
      </w:r>
      <w:proofErr w:type="spellEnd"/>
      <w:r w:rsidR="00F90393" w:rsidRPr="00632239">
        <w:rPr>
          <w:rFonts w:ascii="TimesNewRomanPSMT" w:hAnsi="TimesNewRomanPSMT" w:cs="TimesNewRomanPSMT"/>
        </w:rPr>
        <w:t xml:space="preserve">). Absolute quantities of genes were calculated from standard curves based on genomic DNA generated from whole </w:t>
      </w:r>
      <w:r w:rsidR="00F90393" w:rsidRPr="00632239">
        <w:rPr>
          <w:rFonts w:ascii="TimesNewRomanPSMT" w:hAnsi="TimesNewRomanPSMT" w:cs="TimesNewRomanPSMT"/>
          <w:i/>
        </w:rPr>
        <w:t xml:space="preserve">P. </w:t>
      </w:r>
      <w:proofErr w:type="spellStart"/>
      <w:r w:rsidR="00F90393" w:rsidRPr="00632239">
        <w:rPr>
          <w:rFonts w:ascii="TimesNewRomanPSMT" w:hAnsi="TimesNewRomanPSMT" w:cs="TimesNewRomanPSMT"/>
          <w:i/>
        </w:rPr>
        <w:t>fuscatus</w:t>
      </w:r>
      <w:proofErr w:type="spellEnd"/>
      <w:r w:rsidR="00F90393" w:rsidRPr="00632239">
        <w:rPr>
          <w:rFonts w:ascii="TimesNewRomanPSMT" w:hAnsi="TimesNewRomanPSMT" w:cs="TimesNewRomanPSMT"/>
          <w:i/>
        </w:rPr>
        <w:t xml:space="preserve"> </w:t>
      </w:r>
      <w:r w:rsidR="00F90393" w:rsidRPr="00632239">
        <w:rPr>
          <w:rFonts w:ascii="TimesNewRomanPSMT" w:hAnsi="TimesNewRomanPSMT" w:cs="TimesNewRomanPSMT"/>
        </w:rPr>
        <w:t xml:space="preserve">thoraces. Each sample was run in triplicate with mean concentration values later used for statistical analysis. We used both internal control genes, </w:t>
      </w:r>
      <w:r w:rsidR="00F90393" w:rsidRPr="00632239">
        <w:rPr>
          <w:rFonts w:ascii="TimesNewRomanPSMT" w:hAnsi="TimesNewRomanPSMT" w:cs="TimesNewRomanPSMT"/>
          <w:i/>
        </w:rPr>
        <w:t xml:space="preserve">Ef-1α </w:t>
      </w:r>
      <w:r w:rsidR="00F90393" w:rsidRPr="00632239">
        <w:rPr>
          <w:rFonts w:ascii="TimesNewRomanPSMT" w:hAnsi="TimesNewRomanPSMT" w:cs="TimesNewRomanPSMT"/>
        </w:rPr>
        <w:t xml:space="preserve">and </w:t>
      </w:r>
      <w:r w:rsidR="00F90393" w:rsidRPr="00632239">
        <w:rPr>
          <w:rFonts w:ascii="TimesNewRomanPSMT" w:hAnsi="TimesNewRomanPSMT" w:cs="TimesNewRomanPSMT"/>
          <w:i/>
        </w:rPr>
        <w:t xml:space="preserve">RP-49, </w:t>
      </w:r>
      <w:r w:rsidR="00F90393" w:rsidRPr="00632239">
        <w:rPr>
          <w:rFonts w:ascii="TimesNewRomanPSMT" w:hAnsi="TimesNewRomanPSMT" w:cs="TimesNewRomanPSMT"/>
        </w:rPr>
        <w:t xml:space="preserve">to normalize expression levels of each candidate gene. </w:t>
      </w:r>
    </w:p>
    <w:p w:rsidR="00F90393" w:rsidRPr="00D36904" w:rsidRDefault="002F2CBE" w:rsidP="002F2CBE">
      <w:pPr>
        <w:autoSpaceDE w:val="0"/>
        <w:autoSpaceDN w:val="0"/>
        <w:adjustRightInd w:val="0"/>
        <w:spacing w:after="120" w:line="240" w:lineRule="auto"/>
        <w:rPr>
          <w:rFonts w:ascii="TimesNewRomanPSMT" w:hAnsi="TimesNewRomanPSMT" w:cs="TimesNewRomanPSMT"/>
        </w:rPr>
      </w:pPr>
      <w:r>
        <w:rPr>
          <w:rFonts w:ascii="TimesNewRomanPSMT" w:hAnsi="TimesNewRomanPSMT" w:cs="TimesNewRomanPSMT"/>
          <w:b/>
        </w:rPr>
        <w:t xml:space="preserve">Samples Selected: </w:t>
      </w:r>
      <w:r w:rsidR="00F90393">
        <w:rPr>
          <w:rFonts w:ascii="TimesNewRomanPSMT" w:hAnsi="TimesNewRomanPSMT" w:cs="TimesNewRomanPSMT"/>
        </w:rPr>
        <w:t>Gene expression was quantified for a subset of collected pre-pupae (due to cost limitations).</w:t>
      </w:r>
      <w:r w:rsidR="00F90393" w:rsidRPr="00D36904">
        <w:rPr>
          <w:rFonts w:ascii="TimesNewRomanPSMT" w:hAnsi="TimesNewRomanPSMT" w:cs="TimesNewRomanPSMT"/>
        </w:rPr>
        <w:t xml:space="preserve"> </w:t>
      </w:r>
      <w:r w:rsidR="00F90393">
        <w:rPr>
          <w:rFonts w:ascii="TimesNewRomanPSMT" w:hAnsi="TimesNewRomanPSMT" w:cs="TimesNewRomanPSMT"/>
        </w:rPr>
        <w:t>Sixty-one</w:t>
      </w:r>
      <w:r w:rsidR="00F90393" w:rsidRPr="00D36904">
        <w:rPr>
          <w:rFonts w:ascii="TimesNewRomanPSMT" w:hAnsi="TimesNewRomanPSMT" w:cs="TimesNewRomanPSMT"/>
        </w:rPr>
        <w:t xml:space="preserve"> samples </w:t>
      </w:r>
      <w:r w:rsidR="00F90393">
        <w:rPr>
          <w:rFonts w:ascii="TimesNewRomanPSMT" w:hAnsi="TimesNewRomanPSMT" w:cs="TimesNewRomanPSMT"/>
        </w:rPr>
        <w:t xml:space="preserve">were subjected </w:t>
      </w:r>
      <w:r w:rsidR="00F90393" w:rsidRPr="00D36904">
        <w:rPr>
          <w:rFonts w:ascii="TimesNewRomanPSMT" w:hAnsi="TimesNewRomanPSMT" w:cs="TimesNewRomanPSMT"/>
        </w:rPr>
        <w:t>for gene expression analysis</w:t>
      </w:r>
      <w:r w:rsidR="00F90393">
        <w:rPr>
          <w:rFonts w:ascii="TimesNewRomanPSMT" w:hAnsi="TimesNewRomanPSMT" w:cs="TimesNewRomanPSMT"/>
        </w:rPr>
        <w:t>: 5 of 11</w:t>
      </w:r>
      <w:r w:rsidR="00F90393" w:rsidRPr="00D36904">
        <w:rPr>
          <w:rFonts w:ascii="TimesNewRomanPSMT" w:hAnsi="TimesNewRomanPSMT" w:cs="TimesNewRomanPSMT"/>
        </w:rPr>
        <w:t xml:space="preserve"> </w:t>
      </w:r>
      <w:r w:rsidR="00F90393">
        <w:rPr>
          <w:rFonts w:ascii="TimesNewRomanPSMT" w:hAnsi="TimesNewRomanPSMT" w:cs="TimesNewRomanPSMT"/>
        </w:rPr>
        <w:t xml:space="preserve">(2013) and all 16 (2014) </w:t>
      </w:r>
      <w:r w:rsidR="00F90393" w:rsidRPr="00D36904">
        <w:rPr>
          <w:rFonts w:ascii="TimesNewRomanPSMT" w:hAnsi="TimesNewRomanPSMT" w:cs="TimesNewRomanPSMT"/>
        </w:rPr>
        <w:t>foundress-reared</w:t>
      </w:r>
      <w:r w:rsidR="00F90393">
        <w:rPr>
          <w:rFonts w:ascii="TimesNewRomanPSMT" w:hAnsi="TimesNewRomanPSMT" w:cs="TimesNewRomanPSMT"/>
        </w:rPr>
        <w:t xml:space="preserve"> (FR), and 12 of 76 (2013) and 25 of 38 (2014) worker-reared (WR)</w:t>
      </w:r>
      <w:r w:rsidR="00F90393" w:rsidRPr="00D36904">
        <w:rPr>
          <w:rFonts w:ascii="TimesNewRomanPSMT" w:hAnsi="TimesNewRomanPSMT" w:cs="TimesNewRomanPSMT"/>
        </w:rPr>
        <w:t xml:space="preserve">. In 2013, </w:t>
      </w:r>
      <w:r w:rsidR="00F90393">
        <w:rPr>
          <w:rFonts w:ascii="TimesNewRomanPSMT" w:hAnsi="TimesNewRomanPSMT" w:cs="TimesNewRomanPSMT"/>
        </w:rPr>
        <w:t>WR</w:t>
      </w:r>
      <w:r w:rsidR="00F90393" w:rsidRPr="00D36904">
        <w:rPr>
          <w:rFonts w:ascii="TimesNewRomanPSMT" w:hAnsi="TimesNewRomanPSMT" w:cs="TimesNewRomanPSMT"/>
        </w:rPr>
        <w:t xml:space="preserve"> samples were chosen non-randomly: we attempted to maximize the number of colonies represented, and chose 6 samples that had the highest and 6 samples that had the lowest lipid content. This was done in order to ensure that we included individuals across the full range of nutritional status so as not to bias our results based on nutritional diff</w:t>
      </w:r>
      <w:r w:rsidR="00F90393">
        <w:rPr>
          <w:rFonts w:ascii="TimesNewRomanPSMT" w:hAnsi="TimesNewRomanPSMT" w:cs="TimesNewRomanPSMT"/>
        </w:rPr>
        <w:t>erences alone. In 2014, we collected female pre-pupae from 20 colonies, so our goal was to maximize colony representation while evenly distributing the number of samples assayed among the four treatment groups</w:t>
      </w:r>
      <w:r w:rsidR="00F90393" w:rsidRPr="00D36904">
        <w:rPr>
          <w:rFonts w:ascii="TimesNewRomanPSMT" w:hAnsi="TimesNewRomanPSMT" w:cs="TimesNewRomanPSMT"/>
        </w:rPr>
        <w:t>.</w:t>
      </w:r>
      <w:r w:rsidR="00F90393">
        <w:rPr>
          <w:rFonts w:ascii="TimesNewRomanPSMT" w:hAnsi="TimesNewRomanPSMT" w:cs="TimesNewRomanPSMT"/>
        </w:rPr>
        <w:t xml:space="preserve"> When multiple samples were assayed within a colony, the expression values were averaged and colony was the level used for statistical analysis.</w:t>
      </w:r>
    </w:p>
    <w:p w:rsidR="002F2CBE" w:rsidRDefault="00511A42" w:rsidP="002F2CBE">
      <w:pPr>
        <w:rPr>
          <w:rFonts w:ascii="TimesNewRomanPSMT" w:hAnsi="TimesNewRomanPSMT" w:cs="TimesNewRomanPSMT"/>
        </w:rPr>
      </w:pPr>
      <w:r>
        <w:rPr>
          <w:rFonts w:ascii="Times New Roman" w:hAnsi="Times New Roman" w:cs="Times New Roman"/>
          <w:b/>
        </w:rPr>
        <w:t>Primer design:</w:t>
      </w:r>
      <w:r w:rsidR="002F2CBE">
        <w:rPr>
          <w:rFonts w:ascii="Times New Roman" w:hAnsi="Times New Roman" w:cs="Times New Roman"/>
          <w:b/>
        </w:rPr>
        <w:t xml:space="preserve"> </w:t>
      </w:r>
      <w:r w:rsidR="002F2CBE">
        <w:rPr>
          <w:rFonts w:ascii="Times New Roman" w:hAnsi="Times New Roman" w:cs="Times New Roman"/>
        </w:rPr>
        <w:t xml:space="preserve">Primers for three genes of interest and both internal controls were developed from </w:t>
      </w:r>
      <w:proofErr w:type="spellStart"/>
      <w:r w:rsidR="002F2CBE">
        <w:rPr>
          <w:rFonts w:ascii="Times New Roman" w:hAnsi="Times New Roman" w:cs="Times New Roman"/>
          <w:i/>
        </w:rPr>
        <w:t>Polistes</w:t>
      </w:r>
      <w:proofErr w:type="spellEnd"/>
      <w:r w:rsidR="002F2CBE">
        <w:rPr>
          <w:rFonts w:ascii="Times New Roman" w:hAnsi="Times New Roman" w:cs="Times New Roman"/>
          <w:i/>
        </w:rPr>
        <w:t xml:space="preserve"> </w:t>
      </w:r>
      <w:proofErr w:type="spellStart"/>
      <w:r w:rsidR="002F2CBE">
        <w:rPr>
          <w:rFonts w:ascii="Times New Roman" w:hAnsi="Times New Roman" w:cs="Times New Roman"/>
          <w:i/>
        </w:rPr>
        <w:t>fuscatus</w:t>
      </w:r>
      <w:proofErr w:type="spellEnd"/>
      <w:r w:rsidR="002F2CBE">
        <w:rPr>
          <w:rFonts w:ascii="Times New Roman" w:hAnsi="Times New Roman" w:cs="Times New Roman"/>
          <w:i/>
        </w:rPr>
        <w:t xml:space="preserve"> </w:t>
      </w:r>
      <w:r w:rsidR="002F2CBE">
        <w:rPr>
          <w:rFonts w:ascii="Times New Roman" w:hAnsi="Times New Roman" w:cs="Times New Roman"/>
        </w:rPr>
        <w:t xml:space="preserve">transcriptomes (Berens et al., in prep). The primer for </w:t>
      </w:r>
      <w:proofErr w:type="spellStart"/>
      <w:r w:rsidR="002F2CBE">
        <w:rPr>
          <w:rFonts w:ascii="Times New Roman" w:hAnsi="Times New Roman" w:cs="Times New Roman"/>
          <w:i/>
        </w:rPr>
        <w:t>hexamerin</w:t>
      </w:r>
      <w:proofErr w:type="spellEnd"/>
      <w:r w:rsidR="002F2CBE">
        <w:rPr>
          <w:rFonts w:ascii="Times New Roman" w:hAnsi="Times New Roman" w:cs="Times New Roman"/>
          <w:i/>
        </w:rPr>
        <w:t xml:space="preserve"> 70b</w:t>
      </w:r>
      <w:r w:rsidR="002F2CBE">
        <w:rPr>
          <w:rFonts w:ascii="Times New Roman" w:hAnsi="Times New Roman" w:cs="Times New Roman"/>
        </w:rPr>
        <w:t xml:space="preserve"> was developed from a previously published </w:t>
      </w:r>
      <w:r w:rsidR="002F2CBE">
        <w:rPr>
          <w:rFonts w:ascii="Times New Roman" w:hAnsi="Times New Roman" w:cs="Times New Roman"/>
          <w:i/>
        </w:rPr>
        <w:t xml:space="preserve">P. </w:t>
      </w:r>
      <w:proofErr w:type="spellStart"/>
      <w:r w:rsidR="002F2CBE">
        <w:rPr>
          <w:rFonts w:ascii="Times New Roman" w:hAnsi="Times New Roman" w:cs="Times New Roman"/>
          <w:i/>
        </w:rPr>
        <w:t>metricus</w:t>
      </w:r>
      <w:proofErr w:type="spellEnd"/>
      <w:r w:rsidR="002F2CBE">
        <w:rPr>
          <w:rFonts w:ascii="Times New Roman" w:hAnsi="Times New Roman" w:cs="Times New Roman"/>
          <w:i/>
        </w:rPr>
        <w:t xml:space="preserve"> </w:t>
      </w:r>
      <w:r w:rsidR="002F2CBE">
        <w:rPr>
          <w:rFonts w:ascii="Times New Roman" w:hAnsi="Times New Roman" w:cs="Times New Roman"/>
        </w:rPr>
        <w:t xml:space="preserve">transcriptome (28). All primers were designed </w:t>
      </w:r>
      <w:r w:rsidR="002F2CBE" w:rsidRPr="00632239">
        <w:rPr>
          <w:rFonts w:ascii="TimesNewRomanPSMT" w:hAnsi="TimesNewRomanPSMT" w:cs="TimesNewRomanPSMT"/>
        </w:rPr>
        <w:t>using Primer Quest online from Integrated DNA</w:t>
      </w:r>
      <w:r w:rsidR="002F2CBE">
        <w:rPr>
          <w:rFonts w:ascii="TimesNewRomanPSMT" w:hAnsi="TimesNewRomanPSMT" w:cs="TimesNewRomanPSMT"/>
        </w:rPr>
        <w:t xml:space="preserve"> Technologies.</w:t>
      </w:r>
    </w:p>
    <w:p w:rsidR="002F2CBE" w:rsidRPr="002F2CBE" w:rsidRDefault="00511A42" w:rsidP="002F2CBE">
      <w:pPr>
        <w:rPr>
          <w:rFonts w:ascii="TimesNewRomanPSMT" w:hAnsi="TimesNewRomanPSMT" w:cs="TimesNewRomanPSMT"/>
          <w:b/>
        </w:rPr>
      </w:pPr>
      <w:r>
        <w:rPr>
          <w:rFonts w:ascii="TimesNewRomanPSMT" w:hAnsi="TimesNewRomanPSMT" w:cs="TimesNewRomanPSMT"/>
          <w:b/>
        </w:rPr>
        <w:t>Primer sequences:</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1980"/>
        <w:gridCol w:w="4770"/>
      </w:tblGrid>
      <w:tr w:rsidR="002F2CBE" w:rsidRPr="00117356" w:rsidTr="009754B7">
        <w:tc>
          <w:tcPr>
            <w:tcW w:w="2358" w:type="dxa"/>
            <w:tcBorders>
              <w:top w:val="single" w:sz="4" w:space="0" w:color="auto"/>
              <w:bottom w:val="single" w:sz="4" w:space="0" w:color="auto"/>
            </w:tcBorders>
            <w:shd w:val="clear" w:color="auto" w:fill="F2F2F2" w:themeFill="background1" w:themeFillShade="F2"/>
            <w:vAlign w:val="center"/>
          </w:tcPr>
          <w:p w:rsidR="002F2CBE" w:rsidRPr="00117356" w:rsidRDefault="002F2CBE" w:rsidP="009754B7">
            <w:pPr>
              <w:rPr>
                <w:rFonts w:ascii="Times New Roman" w:hAnsi="Times New Roman" w:cs="Times New Roman"/>
                <w:b/>
                <w:sz w:val="20"/>
                <w:szCs w:val="20"/>
              </w:rPr>
            </w:pPr>
            <w:r w:rsidRPr="00117356">
              <w:rPr>
                <w:rFonts w:ascii="Times New Roman" w:hAnsi="Times New Roman" w:cs="Times New Roman"/>
                <w:b/>
                <w:sz w:val="20"/>
                <w:szCs w:val="20"/>
              </w:rPr>
              <w:t>Gene</w:t>
            </w:r>
          </w:p>
        </w:tc>
        <w:tc>
          <w:tcPr>
            <w:tcW w:w="1980" w:type="dxa"/>
            <w:tcBorders>
              <w:top w:val="single" w:sz="4" w:space="0" w:color="auto"/>
              <w:bottom w:val="single" w:sz="4" w:space="0" w:color="auto"/>
            </w:tcBorders>
            <w:shd w:val="clear" w:color="auto" w:fill="F2F2F2" w:themeFill="background1" w:themeFillShade="F2"/>
            <w:vAlign w:val="center"/>
          </w:tcPr>
          <w:p w:rsidR="002F2CBE" w:rsidRPr="00117356" w:rsidRDefault="002F2CBE" w:rsidP="009754B7">
            <w:pPr>
              <w:rPr>
                <w:rFonts w:ascii="Times New Roman" w:hAnsi="Times New Roman" w:cs="Times New Roman"/>
                <w:b/>
                <w:sz w:val="20"/>
                <w:szCs w:val="20"/>
              </w:rPr>
            </w:pPr>
            <w:r w:rsidRPr="00117356">
              <w:rPr>
                <w:rFonts w:ascii="Times New Roman" w:hAnsi="Times New Roman" w:cs="Times New Roman"/>
                <w:b/>
                <w:sz w:val="20"/>
                <w:szCs w:val="20"/>
              </w:rPr>
              <w:t xml:space="preserve">NCBI Accession </w:t>
            </w:r>
            <w:r>
              <w:rPr>
                <w:rFonts w:ascii="Times New Roman" w:hAnsi="Times New Roman" w:cs="Times New Roman"/>
                <w:b/>
                <w:sz w:val="20"/>
                <w:szCs w:val="20"/>
              </w:rPr>
              <w:t>Number</w:t>
            </w:r>
          </w:p>
        </w:tc>
        <w:tc>
          <w:tcPr>
            <w:tcW w:w="4770" w:type="dxa"/>
            <w:tcBorders>
              <w:top w:val="single" w:sz="4" w:space="0" w:color="auto"/>
              <w:bottom w:val="single" w:sz="4" w:space="0" w:color="auto"/>
            </w:tcBorders>
            <w:shd w:val="clear" w:color="auto" w:fill="F2F2F2" w:themeFill="background1" w:themeFillShade="F2"/>
            <w:vAlign w:val="center"/>
          </w:tcPr>
          <w:p w:rsidR="002F2CBE" w:rsidRPr="00117356" w:rsidRDefault="002F2CBE" w:rsidP="009754B7">
            <w:pPr>
              <w:rPr>
                <w:rFonts w:ascii="Times New Roman" w:hAnsi="Times New Roman" w:cs="Times New Roman"/>
                <w:b/>
                <w:sz w:val="20"/>
                <w:szCs w:val="20"/>
              </w:rPr>
            </w:pPr>
            <w:r w:rsidRPr="00117356">
              <w:rPr>
                <w:rFonts w:ascii="Times New Roman" w:hAnsi="Times New Roman" w:cs="Times New Roman"/>
                <w:b/>
                <w:sz w:val="20"/>
                <w:szCs w:val="20"/>
              </w:rPr>
              <w:t>Primer Sequence</w:t>
            </w:r>
          </w:p>
        </w:tc>
      </w:tr>
      <w:tr w:rsidR="002F2CBE" w:rsidRPr="00117356" w:rsidTr="009754B7">
        <w:trPr>
          <w:trHeight w:val="864"/>
        </w:trPr>
        <w:tc>
          <w:tcPr>
            <w:tcW w:w="2358" w:type="dxa"/>
            <w:tcBorders>
              <w:top w:val="single" w:sz="4" w:space="0" w:color="auto"/>
              <w:bottom w:val="single" w:sz="4" w:space="0" w:color="auto"/>
            </w:tcBorders>
            <w:vAlign w:val="center"/>
          </w:tcPr>
          <w:p w:rsidR="002F2CBE" w:rsidRPr="001C2B41" w:rsidRDefault="002F2CBE" w:rsidP="009754B7">
            <w:pPr>
              <w:rPr>
                <w:rFonts w:ascii="Times New Roman" w:hAnsi="Times New Roman" w:cs="Times New Roman"/>
                <w:i/>
                <w:sz w:val="20"/>
                <w:szCs w:val="20"/>
              </w:rPr>
            </w:pPr>
            <w:r w:rsidRPr="001C2B41">
              <w:rPr>
                <w:rFonts w:ascii="Times New Roman" w:hAnsi="Times New Roman" w:cs="Times New Roman"/>
                <w:i/>
                <w:sz w:val="20"/>
                <w:szCs w:val="20"/>
              </w:rPr>
              <w:t>Elongation factor-1α</w:t>
            </w:r>
          </w:p>
          <w:p w:rsidR="002F2CBE" w:rsidRPr="003B1A57" w:rsidRDefault="002F2CBE" w:rsidP="009754B7">
            <w:pPr>
              <w:rPr>
                <w:rFonts w:ascii="Times New Roman" w:hAnsi="Times New Roman" w:cs="Times New Roman"/>
                <w:sz w:val="20"/>
                <w:szCs w:val="20"/>
              </w:rPr>
            </w:pPr>
            <w:r>
              <w:rPr>
                <w:rFonts w:ascii="Times New Roman" w:hAnsi="Times New Roman" w:cs="Times New Roman"/>
                <w:sz w:val="20"/>
                <w:szCs w:val="20"/>
              </w:rPr>
              <w:t>(internal control</w:t>
            </w:r>
            <w:r w:rsidRPr="003B1A57">
              <w:rPr>
                <w:rFonts w:ascii="Times New Roman" w:hAnsi="Times New Roman" w:cs="Times New Roman"/>
                <w:sz w:val="20"/>
                <w:szCs w:val="20"/>
              </w:rPr>
              <w:t>)</w:t>
            </w:r>
          </w:p>
        </w:tc>
        <w:tc>
          <w:tcPr>
            <w:tcW w:w="1980" w:type="dxa"/>
            <w:tcBorders>
              <w:top w:val="single" w:sz="4" w:space="0" w:color="auto"/>
              <w:bottom w:val="single" w:sz="4" w:space="0" w:color="auto"/>
            </w:tcBorders>
            <w:vAlign w:val="center"/>
          </w:tcPr>
          <w:p w:rsidR="002F2CBE" w:rsidRPr="008778E1" w:rsidRDefault="002F2CBE" w:rsidP="009754B7">
            <w:pPr>
              <w:rPr>
                <w:rFonts w:ascii="Times New Roman" w:hAnsi="Times New Roman" w:cs="Times New Roman"/>
                <w:sz w:val="20"/>
                <w:szCs w:val="20"/>
                <w:highlight w:val="yellow"/>
              </w:rPr>
            </w:pPr>
            <w:r>
              <w:rPr>
                <w:rFonts w:ascii="Times New Roman" w:hAnsi="Times New Roman" w:cs="Times New Roman"/>
                <w:sz w:val="20"/>
                <w:szCs w:val="20"/>
              </w:rPr>
              <w:t>GDFS01086685</w:t>
            </w:r>
          </w:p>
        </w:tc>
        <w:tc>
          <w:tcPr>
            <w:tcW w:w="4770" w:type="dxa"/>
            <w:tcBorders>
              <w:top w:val="single" w:sz="4" w:space="0" w:color="auto"/>
              <w:bottom w:val="single" w:sz="4" w:space="0" w:color="auto"/>
            </w:tcBorders>
            <w:vAlign w:val="center"/>
          </w:tcPr>
          <w:p w:rsidR="002F2CBE" w:rsidRPr="00BB0D03" w:rsidRDefault="002F2CBE" w:rsidP="009754B7">
            <w:pPr>
              <w:rPr>
                <w:rFonts w:ascii="Times New Roman" w:eastAsia="Times New Roman" w:hAnsi="Times New Roman" w:cs="Times New Roman"/>
                <w:sz w:val="20"/>
                <w:szCs w:val="20"/>
              </w:rPr>
            </w:pPr>
            <w:r w:rsidRPr="00BB0D03">
              <w:rPr>
                <w:rFonts w:ascii="Times New Roman" w:hAnsi="Times New Roman" w:cs="Times New Roman"/>
                <w:sz w:val="20"/>
                <w:szCs w:val="20"/>
              </w:rPr>
              <w:t>Forward:</w:t>
            </w:r>
            <w:r w:rsidRPr="00BB0D03">
              <w:rPr>
                <w:rFonts w:ascii="Times New Roman" w:eastAsia="Times New Roman" w:hAnsi="Times New Roman" w:cs="Times New Roman"/>
                <w:sz w:val="20"/>
                <w:szCs w:val="20"/>
              </w:rPr>
              <w:t xml:space="preserve"> </w:t>
            </w:r>
          </w:p>
          <w:p w:rsidR="002F2CBE" w:rsidRPr="00BB0D03" w:rsidRDefault="002F2CBE" w:rsidP="009754B7">
            <w:pPr>
              <w:rPr>
                <w:rFonts w:ascii="Times New Roman" w:hAnsi="Times New Roman" w:cs="Times New Roman"/>
                <w:sz w:val="20"/>
                <w:szCs w:val="20"/>
              </w:rPr>
            </w:pPr>
            <w:r w:rsidRPr="00BB0D03">
              <w:rPr>
                <w:rFonts w:ascii="Times New Roman" w:eastAsia="Times New Roman" w:hAnsi="Times New Roman" w:cs="Times New Roman"/>
                <w:sz w:val="20"/>
                <w:szCs w:val="20"/>
              </w:rPr>
              <w:t>5'-GTTTGACGCATATCACGAACAG-3'</w:t>
            </w:r>
          </w:p>
          <w:p w:rsidR="002F2CBE" w:rsidRPr="00BB0D03" w:rsidRDefault="002F2CBE" w:rsidP="009754B7">
            <w:pPr>
              <w:rPr>
                <w:rFonts w:ascii="Times New Roman" w:eastAsia="Times New Roman" w:hAnsi="Times New Roman" w:cs="Times New Roman"/>
                <w:sz w:val="20"/>
                <w:szCs w:val="20"/>
              </w:rPr>
            </w:pPr>
            <w:r w:rsidRPr="00BB0D03">
              <w:rPr>
                <w:rFonts w:ascii="Times New Roman" w:hAnsi="Times New Roman" w:cs="Times New Roman"/>
                <w:sz w:val="20"/>
                <w:szCs w:val="20"/>
              </w:rPr>
              <w:t>Reverse:</w:t>
            </w:r>
            <w:r w:rsidRPr="00BB0D03">
              <w:rPr>
                <w:rFonts w:ascii="Times New Roman" w:eastAsia="Times New Roman" w:hAnsi="Times New Roman" w:cs="Times New Roman"/>
                <w:sz w:val="20"/>
                <w:szCs w:val="20"/>
              </w:rPr>
              <w:t xml:space="preserve"> </w:t>
            </w:r>
          </w:p>
          <w:p w:rsidR="002F2CBE" w:rsidRPr="008778E1" w:rsidRDefault="002F2CBE" w:rsidP="009754B7">
            <w:pPr>
              <w:rPr>
                <w:rFonts w:ascii="Times New Roman" w:hAnsi="Times New Roman" w:cs="Times New Roman"/>
                <w:sz w:val="20"/>
                <w:szCs w:val="20"/>
                <w:highlight w:val="yellow"/>
              </w:rPr>
            </w:pPr>
            <w:r w:rsidRPr="00BB0D03">
              <w:rPr>
                <w:rFonts w:ascii="Times New Roman" w:eastAsia="Times New Roman" w:hAnsi="Times New Roman" w:cs="Times New Roman"/>
                <w:sz w:val="20"/>
                <w:szCs w:val="20"/>
              </w:rPr>
              <w:t>5'-GGAGATGCTGCTATCGTTACTC-3'</w:t>
            </w:r>
          </w:p>
        </w:tc>
      </w:tr>
      <w:tr w:rsidR="002F2CBE" w:rsidRPr="00117356" w:rsidTr="009754B7">
        <w:trPr>
          <w:trHeight w:val="864"/>
        </w:trPr>
        <w:tc>
          <w:tcPr>
            <w:tcW w:w="2358" w:type="dxa"/>
            <w:tcBorders>
              <w:top w:val="single" w:sz="4" w:space="0" w:color="auto"/>
              <w:bottom w:val="single" w:sz="4" w:space="0" w:color="auto"/>
            </w:tcBorders>
            <w:vAlign w:val="center"/>
          </w:tcPr>
          <w:p w:rsidR="002F2CBE" w:rsidRDefault="002F2CBE" w:rsidP="009754B7">
            <w:pPr>
              <w:rPr>
                <w:rFonts w:ascii="Times New Roman" w:hAnsi="Times New Roman" w:cs="Times New Roman"/>
                <w:i/>
                <w:sz w:val="20"/>
                <w:szCs w:val="20"/>
              </w:rPr>
            </w:pPr>
            <w:r>
              <w:rPr>
                <w:rFonts w:ascii="Times New Roman" w:hAnsi="Times New Roman" w:cs="Times New Roman"/>
                <w:i/>
                <w:sz w:val="20"/>
                <w:szCs w:val="20"/>
              </w:rPr>
              <w:t>Ribosomal Protein-49</w:t>
            </w:r>
          </w:p>
          <w:p w:rsidR="002F2CBE" w:rsidRPr="008778E1" w:rsidRDefault="002F2CBE" w:rsidP="009754B7">
            <w:pPr>
              <w:rPr>
                <w:rFonts w:ascii="Times New Roman" w:hAnsi="Times New Roman" w:cs="Times New Roman"/>
                <w:sz w:val="20"/>
                <w:szCs w:val="20"/>
              </w:rPr>
            </w:pPr>
            <w:r>
              <w:rPr>
                <w:rFonts w:ascii="Times New Roman" w:hAnsi="Times New Roman" w:cs="Times New Roman"/>
                <w:sz w:val="20"/>
                <w:szCs w:val="20"/>
              </w:rPr>
              <w:t>(internal control)</w:t>
            </w:r>
          </w:p>
        </w:tc>
        <w:tc>
          <w:tcPr>
            <w:tcW w:w="1980" w:type="dxa"/>
            <w:tcBorders>
              <w:top w:val="single" w:sz="4" w:space="0" w:color="auto"/>
              <w:bottom w:val="single" w:sz="4" w:space="0" w:color="auto"/>
            </w:tcBorders>
            <w:vAlign w:val="center"/>
          </w:tcPr>
          <w:p w:rsidR="002F2CBE" w:rsidRPr="008778E1" w:rsidRDefault="002F2CBE" w:rsidP="009754B7">
            <w:pPr>
              <w:rPr>
                <w:rFonts w:ascii="Times New Roman" w:hAnsi="Times New Roman" w:cs="Times New Roman"/>
                <w:sz w:val="20"/>
                <w:szCs w:val="20"/>
                <w:highlight w:val="yellow"/>
              </w:rPr>
            </w:pPr>
            <w:r w:rsidRPr="00492D8C">
              <w:rPr>
                <w:rFonts w:ascii="Times New Roman" w:hAnsi="Times New Roman" w:cs="Times New Roman"/>
                <w:sz w:val="20"/>
                <w:szCs w:val="20"/>
              </w:rPr>
              <w:t>GDFS01032632</w:t>
            </w:r>
          </w:p>
        </w:tc>
        <w:tc>
          <w:tcPr>
            <w:tcW w:w="4770" w:type="dxa"/>
            <w:tcBorders>
              <w:top w:val="single" w:sz="4" w:space="0" w:color="auto"/>
              <w:bottom w:val="single" w:sz="4" w:space="0" w:color="auto"/>
            </w:tcBorders>
            <w:vAlign w:val="center"/>
          </w:tcPr>
          <w:p w:rsidR="002F2CBE" w:rsidRPr="00BB0D03" w:rsidRDefault="002F2CBE" w:rsidP="009754B7">
            <w:pPr>
              <w:rPr>
                <w:rFonts w:ascii="Times New Roman" w:eastAsia="Times New Roman" w:hAnsi="Times New Roman" w:cs="Times New Roman"/>
                <w:sz w:val="20"/>
                <w:szCs w:val="20"/>
              </w:rPr>
            </w:pPr>
            <w:r w:rsidRPr="00BB0D03">
              <w:rPr>
                <w:rFonts w:ascii="Times New Roman" w:hAnsi="Times New Roman" w:cs="Times New Roman"/>
                <w:sz w:val="20"/>
                <w:szCs w:val="20"/>
              </w:rPr>
              <w:t>Forward:</w:t>
            </w:r>
            <w:r w:rsidRPr="00BB0D03">
              <w:rPr>
                <w:rFonts w:ascii="Times New Roman" w:eastAsia="Times New Roman" w:hAnsi="Times New Roman" w:cs="Times New Roman"/>
                <w:sz w:val="20"/>
                <w:szCs w:val="20"/>
              </w:rPr>
              <w:t xml:space="preserve"> </w:t>
            </w:r>
          </w:p>
          <w:p w:rsidR="002F2CBE" w:rsidRPr="00BB0D03" w:rsidRDefault="002F2CBE" w:rsidP="009754B7">
            <w:pPr>
              <w:rPr>
                <w:rFonts w:ascii="Times New Roman" w:hAnsi="Times New Roman" w:cs="Times New Roman"/>
                <w:sz w:val="20"/>
                <w:szCs w:val="20"/>
              </w:rPr>
            </w:pPr>
            <w:r w:rsidRPr="00BB0D03">
              <w:rPr>
                <w:rFonts w:ascii="Times New Roman" w:eastAsia="Times New Roman" w:hAnsi="Times New Roman" w:cs="Times New Roman"/>
                <w:sz w:val="20"/>
                <w:szCs w:val="20"/>
              </w:rPr>
              <w:t>5'-</w:t>
            </w:r>
            <w:r>
              <w:rPr>
                <w:rFonts w:ascii="Times New Roman" w:eastAsia="Times New Roman" w:hAnsi="Times New Roman" w:cs="Times New Roman"/>
                <w:sz w:val="20"/>
                <w:szCs w:val="20"/>
              </w:rPr>
              <w:t>TCCCGATGGTAGAACACAAATAG</w:t>
            </w:r>
            <w:r w:rsidRPr="00BB0D03">
              <w:rPr>
                <w:rFonts w:ascii="Times New Roman" w:eastAsia="Times New Roman" w:hAnsi="Times New Roman" w:cs="Times New Roman"/>
                <w:sz w:val="20"/>
                <w:szCs w:val="20"/>
              </w:rPr>
              <w:t>-3'</w:t>
            </w:r>
          </w:p>
          <w:p w:rsidR="002F2CBE" w:rsidRPr="00BB0D03" w:rsidRDefault="002F2CBE" w:rsidP="009754B7">
            <w:pPr>
              <w:rPr>
                <w:rFonts w:ascii="Times New Roman" w:eastAsia="Times New Roman" w:hAnsi="Times New Roman" w:cs="Times New Roman"/>
                <w:sz w:val="20"/>
                <w:szCs w:val="20"/>
              </w:rPr>
            </w:pPr>
            <w:r w:rsidRPr="00BB0D03">
              <w:rPr>
                <w:rFonts w:ascii="Times New Roman" w:hAnsi="Times New Roman" w:cs="Times New Roman"/>
                <w:sz w:val="20"/>
                <w:szCs w:val="20"/>
              </w:rPr>
              <w:t>Reverse:</w:t>
            </w:r>
            <w:r w:rsidRPr="00BB0D03">
              <w:rPr>
                <w:rFonts w:ascii="Times New Roman" w:eastAsia="Times New Roman" w:hAnsi="Times New Roman" w:cs="Times New Roman"/>
                <w:sz w:val="20"/>
                <w:szCs w:val="20"/>
              </w:rPr>
              <w:t xml:space="preserve"> </w:t>
            </w:r>
          </w:p>
          <w:p w:rsidR="002F2CBE" w:rsidRPr="008778E1" w:rsidRDefault="002F2CBE" w:rsidP="009754B7">
            <w:pPr>
              <w:rPr>
                <w:rFonts w:ascii="Times New Roman" w:hAnsi="Times New Roman" w:cs="Times New Roman"/>
                <w:sz w:val="20"/>
                <w:szCs w:val="20"/>
                <w:highlight w:val="yellow"/>
              </w:rPr>
            </w:pPr>
            <w:r w:rsidRPr="00BB0D03">
              <w:rPr>
                <w:rFonts w:ascii="Times New Roman" w:eastAsia="Times New Roman" w:hAnsi="Times New Roman" w:cs="Times New Roman"/>
                <w:sz w:val="20"/>
                <w:szCs w:val="20"/>
              </w:rPr>
              <w:t>5'-</w:t>
            </w:r>
            <w:r>
              <w:rPr>
                <w:rFonts w:ascii="Times New Roman" w:eastAsia="Times New Roman" w:hAnsi="Times New Roman" w:cs="Times New Roman"/>
                <w:sz w:val="20"/>
                <w:szCs w:val="20"/>
              </w:rPr>
              <w:t>GGTGACGGTGCTGGATAAG</w:t>
            </w:r>
            <w:r w:rsidRPr="00BB0D03">
              <w:rPr>
                <w:rFonts w:ascii="Times New Roman" w:eastAsia="Times New Roman" w:hAnsi="Times New Roman" w:cs="Times New Roman"/>
                <w:sz w:val="20"/>
                <w:szCs w:val="20"/>
              </w:rPr>
              <w:t>-3'</w:t>
            </w:r>
          </w:p>
        </w:tc>
      </w:tr>
      <w:tr w:rsidR="002F2CBE" w:rsidRPr="00117356" w:rsidTr="009754B7">
        <w:trPr>
          <w:trHeight w:val="864"/>
        </w:trPr>
        <w:tc>
          <w:tcPr>
            <w:tcW w:w="2358" w:type="dxa"/>
            <w:tcBorders>
              <w:top w:val="single" w:sz="4" w:space="0" w:color="auto"/>
              <w:bottom w:val="single" w:sz="4" w:space="0" w:color="auto"/>
            </w:tcBorders>
            <w:vAlign w:val="center"/>
          </w:tcPr>
          <w:p w:rsidR="002F2CBE" w:rsidRPr="001C2B41" w:rsidRDefault="002F2CBE" w:rsidP="009754B7">
            <w:pPr>
              <w:rPr>
                <w:rFonts w:ascii="Times New Roman" w:hAnsi="Times New Roman" w:cs="Times New Roman"/>
                <w:i/>
                <w:sz w:val="20"/>
                <w:szCs w:val="20"/>
              </w:rPr>
            </w:pPr>
            <w:r>
              <w:rPr>
                <w:rFonts w:ascii="Times New Roman" w:hAnsi="Times New Roman" w:cs="Times New Roman"/>
                <w:i/>
                <w:sz w:val="20"/>
                <w:szCs w:val="20"/>
              </w:rPr>
              <w:t>heat-shock p</w:t>
            </w:r>
            <w:r w:rsidRPr="001C2B41">
              <w:rPr>
                <w:rFonts w:ascii="Times New Roman" w:hAnsi="Times New Roman" w:cs="Times New Roman"/>
                <w:i/>
                <w:sz w:val="20"/>
                <w:szCs w:val="20"/>
              </w:rPr>
              <w:t>rotein 90α</w:t>
            </w:r>
          </w:p>
        </w:tc>
        <w:tc>
          <w:tcPr>
            <w:tcW w:w="1980" w:type="dxa"/>
            <w:tcBorders>
              <w:top w:val="single" w:sz="4" w:space="0" w:color="auto"/>
              <w:bottom w:val="single" w:sz="4" w:space="0" w:color="auto"/>
            </w:tcBorders>
            <w:vAlign w:val="center"/>
          </w:tcPr>
          <w:p w:rsidR="002F2CBE" w:rsidRPr="008778E1" w:rsidRDefault="002F2CBE" w:rsidP="009754B7">
            <w:pPr>
              <w:rPr>
                <w:rFonts w:ascii="Times New Roman" w:hAnsi="Times New Roman" w:cs="Times New Roman"/>
                <w:sz w:val="20"/>
                <w:szCs w:val="20"/>
                <w:highlight w:val="yellow"/>
              </w:rPr>
            </w:pPr>
            <w:r w:rsidRPr="00492D8C">
              <w:rPr>
                <w:rFonts w:ascii="Times New Roman" w:hAnsi="Times New Roman" w:cs="Times New Roman"/>
                <w:sz w:val="20"/>
                <w:szCs w:val="20"/>
              </w:rPr>
              <w:t>GDFS01066019</w:t>
            </w:r>
          </w:p>
        </w:tc>
        <w:tc>
          <w:tcPr>
            <w:tcW w:w="4770" w:type="dxa"/>
            <w:tcBorders>
              <w:top w:val="single" w:sz="4" w:space="0" w:color="auto"/>
              <w:bottom w:val="single" w:sz="4" w:space="0" w:color="auto"/>
            </w:tcBorders>
            <w:vAlign w:val="center"/>
          </w:tcPr>
          <w:p w:rsidR="002F2CBE" w:rsidRPr="00FC3D27" w:rsidRDefault="002F2CBE" w:rsidP="009754B7">
            <w:pPr>
              <w:rPr>
                <w:rFonts w:ascii="Times New Roman" w:hAnsi="Times New Roman" w:cs="Times New Roman"/>
                <w:sz w:val="20"/>
                <w:szCs w:val="20"/>
              </w:rPr>
            </w:pPr>
            <w:r w:rsidRPr="00FC3D27">
              <w:rPr>
                <w:rFonts w:ascii="Times New Roman" w:hAnsi="Times New Roman" w:cs="Times New Roman"/>
                <w:sz w:val="20"/>
                <w:szCs w:val="20"/>
              </w:rPr>
              <w:t>Forward:</w:t>
            </w:r>
          </w:p>
          <w:p w:rsidR="002F2CBE" w:rsidRPr="00FC3D27" w:rsidRDefault="002F2CBE" w:rsidP="009754B7">
            <w:pPr>
              <w:rPr>
                <w:rFonts w:ascii="Times New Roman" w:hAnsi="Times New Roman" w:cs="Times New Roman"/>
                <w:sz w:val="20"/>
                <w:szCs w:val="20"/>
              </w:rPr>
            </w:pPr>
            <w:r w:rsidRPr="00FC3D27">
              <w:rPr>
                <w:rFonts w:ascii="Times New Roman" w:hAnsi="Times New Roman" w:cs="Times New Roman"/>
                <w:sz w:val="20"/>
                <w:szCs w:val="20"/>
              </w:rPr>
              <w:t>5’-TGCTCTCTCCTGTGATGTAGTA-3’</w:t>
            </w:r>
          </w:p>
          <w:p w:rsidR="002F2CBE" w:rsidRPr="00FC3D27" w:rsidRDefault="002F2CBE" w:rsidP="009754B7">
            <w:pPr>
              <w:rPr>
                <w:rFonts w:ascii="Times New Roman" w:hAnsi="Times New Roman" w:cs="Times New Roman"/>
                <w:sz w:val="20"/>
                <w:szCs w:val="20"/>
              </w:rPr>
            </w:pPr>
            <w:r w:rsidRPr="00FC3D27">
              <w:rPr>
                <w:rFonts w:ascii="Times New Roman" w:hAnsi="Times New Roman" w:cs="Times New Roman"/>
                <w:sz w:val="20"/>
                <w:szCs w:val="20"/>
              </w:rPr>
              <w:t>Reverse:</w:t>
            </w:r>
          </w:p>
          <w:p w:rsidR="002F2CBE" w:rsidRPr="008778E1" w:rsidRDefault="002F2CBE" w:rsidP="009754B7">
            <w:pPr>
              <w:rPr>
                <w:rFonts w:ascii="Times New Roman" w:hAnsi="Times New Roman" w:cs="Times New Roman"/>
                <w:sz w:val="20"/>
                <w:szCs w:val="20"/>
                <w:highlight w:val="yellow"/>
              </w:rPr>
            </w:pPr>
            <w:r w:rsidRPr="00FC3D27">
              <w:rPr>
                <w:rFonts w:ascii="Times New Roman" w:hAnsi="Times New Roman" w:cs="Times New Roman"/>
                <w:sz w:val="20"/>
                <w:szCs w:val="20"/>
              </w:rPr>
              <w:t>5’-CTTCTGCTTCGGGTGATGAA-3’</w:t>
            </w:r>
          </w:p>
        </w:tc>
      </w:tr>
      <w:tr w:rsidR="002F2CBE" w:rsidRPr="00117356" w:rsidTr="009754B7">
        <w:trPr>
          <w:trHeight w:val="864"/>
        </w:trPr>
        <w:tc>
          <w:tcPr>
            <w:tcW w:w="2358" w:type="dxa"/>
            <w:tcBorders>
              <w:top w:val="single" w:sz="4" w:space="0" w:color="auto"/>
              <w:bottom w:val="single" w:sz="4" w:space="0" w:color="auto"/>
            </w:tcBorders>
            <w:vAlign w:val="center"/>
          </w:tcPr>
          <w:p w:rsidR="002F2CBE" w:rsidRDefault="002F2CBE" w:rsidP="009754B7">
            <w:pPr>
              <w:rPr>
                <w:rFonts w:ascii="Times New Roman" w:hAnsi="Times New Roman" w:cs="Times New Roman"/>
                <w:i/>
                <w:sz w:val="20"/>
                <w:szCs w:val="20"/>
              </w:rPr>
            </w:pPr>
            <w:proofErr w:type="spellStart"/>
            <w:r>
              <w:rPr>
                <w:rFonts w:ascii="Times New Roman" w:hAnsi="Times New Roman" w:cs="Times New Roman"/>
                <w:i/>
                <w:sz w:val="20"/>
                <w:szCs w:val="20"/>
              </w:rPr>
              <w:t>hexamerin</w:t>
            </w:r>
            <w:proofErr w:type="spellEnd"/>
            <w:r>
              <w:rPr>
                <w:rFonts w:ascii="Times New Roman" w:hAnsi="Times New Roman" w:cs="Times New Roman"/>
                <w:i/>
                <w:sz w:val="20"/>
                <w:szCs w:val="20"/>
              </w:rPr>
              <w:t xml:space="preserve"> 70b</w:t>
            </w:r>
          </w:p>
        </w:tc>
        <w:tc>
          <w:tcPr>
            <w:tcW w:w="1980" w:type="dxa"/>
            <w:tcBorders>
              <w:top w:val="single" w:sz="4" w:space="0" w:color="auto"/>
              <w:bottom w:val="single" w:sz="4" w:space="0" w:color="auto"/>
            </w:tcBorders>
            <w:vAlign w:val="center"/>
          </w:tcPr>
          <w:p w:rsidR="002F2CBE" w:rsidRPr="00995BFE" w:rsidRDefault="002F2CBE" w:rsidP="009754B7">
            <w:pPr>
              <w:rPr>
                <w:rFonts w:ascii="Times New Roman" w:hAnsi="Times New Roman" w:cs="Times New Roman"/>
                <w:sz w:val="20"/>
                <w:szCs w:val="20"/>
                <w:highlight w:val="yellow"/>
                <w:lang w:val="en-NZ"/>
              </w:rPr>
            </w:pPr>
            <w:r w:rsidRPr="00995BFE">
              <w:rPr>
                <w:rFonts w:ascii="Times New Roman" w:hAnsi="Times New Roman" w:cs="Times New Roman"/>
                <w:sz w:val="20"/>
                <w:szCs w:val="20"/>
                <w:lang w:val="en-NZ"/>
              </w:rPr>
              <w:t>GBGV01000197</w:t>
            </w:r>
          </w:p>
        </w:tc>
        <w:tc>
          <w:tcPr>
            <w:tcW w:w="4770" w:type="dxa"/>
            <w:tcBorders>
              <w:top w:val="single" w:sz="4" w:space="0" w:color="auto"/>
              <w:bottom w:val="single" w:sz="4" w:space="0" w:color="auto"/>
            </w:tcBorders>
            <w:vAlign w:val="center"/>
          </w:tcPr>
          <w:p w:rsidR="002F2CBE" w:rsidRPr="00FC3D27" w:rsidRDefault="002F2CBE" w:rsidP="009754B7">
            <w:pPr>
              <w:rPr>
                <w:rFonts w:ascii="Times New Roman" w:hAnsi="Times New Roman" w:cs="Times New Roman"/>
                <w:sz w:val="20"/>
                <w:szCs w:val="20"/>
              </w:rPr>
            </w:pPr>
            <w:r w:rsidRPr="00FC3D27">
              <w:rPr>
                <w:rFonts w:ascii="Times New Roman" w:hAnsi="Times New Roman" w:cs="Times New Roman"/>
                <w:sz w:val="20"/>
                <w:szCs w:val="20"/>
              </w:rPr>
              <w:t>Forward:</w:t>
            </w:r>
          </w:p>
          <w:p w:rsidR="002F2CBE" w:rsidRPr="00FC3D27" w:rsidRDefault="002F2CBE" w:rsidP="009754B7">
            <w:pPr>
              <w:rPr>
                <w:rFonts w:ascii="Times New Roman" w:hAnsi="Times New Roman" w:cs="Times New Roman"/>
                <w:sz w:val="20"/>
                <w:szCs w:val="20"/>
              </w:rPr>
            </w:pPr>
            <w:r w:rsidRPr="00FC3D27">
              <w:rPr>
                <w:rFonts w:ascii="Times New Roman" w:hAnsi="Times New Roman" w:cs="Times New Roman"/>
                <w:sz w:val="20"/>
                <w:szCs w:val="20"/>
              </w:rPr>
              <w:t>5’-</w:t>
            </w:r>
            <w:r>
              <w:rPr>
                <w:rFonts w:ascii="Times New Roman" w:hAnsi="Times New Roman" w:cs="Times New Roman"/>
                <w:sz w:val="20"/>
                <w:szCs w:val="20"/>
              </w:rPr>
              <w:t>TCTGGTTGGGAAACGTGATAC</w:t>
            </w:r>
            <w:r w:rsidRPr="00FC3D27">
              <w:rPr>
                <w:rFonts w:ascii="Times New Roman" w:hAnsi="Times New Roman" w:cs="Times New Roman"/>
                <w:sz w:val="20"/>
                <w:szCs w:val="20"/>
              </w:rPr>
              <w:t>-3’</w:t>
            </w:r>
          </w:p>
          <w:p w:rsidR="002F2CBE" w:rsidRPr="00FC3D27" w:rsidRDefault="002F2CBE" w:rsidP="009754B7">
            <w:pPr>
              <w:rPr>
                <w:rFonts w:ascii="Times New Roman" w:hAnsi="Times New Roman" w:cs="Times New Roman"/>
                <w:sz w:val="20"/>
                <w:szCs w:val="20"/>
              </w:rPr>
            </w:pPr>
            <w:r w:rsidRPr="00FC3D27">
              <w:rPr>
                <w:rFonts w:ascii="Times New Roman" w:hAnsi="Times New Roman" w:cs="Times New Roman"/>
                <w:sz w:val="20"/>
                <w:szCs w:val="20"/>
              </w:rPr>
              <w:t>Reverse:</w:t>
            </w:r>
          </w:p>
          <w:p w:rsidR="002F2CBE" w:rsidRPr="008778E1" w:rsidRDefault="002F2CBE" w:rsidP="009754B7">
            <w:pPr>
              <w:rPr>
                <w:rFonts w:ascii="Times New Roman" w:hAnsi="Times New Roman" w:cs="Times New Roman"/>
                <w:sz w:val="20"/>
                <w:szCs w:val="20"/>
                <w:highlight w:val="yellow"/>
              </w:rPr>
            </w:pPr>
            <w:r w:rsidRPr="00FC3D27">
              <w:rPr>
                <w:rFonts w:ascii="Times New Roman" w:hAnsi="Times New Roman" w:cs="Times New Roman"/>
                <w:sz w:val="20"/>
                <w:szCs w:val="20"/>
              </w:rPr>
              <w:t>5’-</w:t>
            </w:r>
            <w:r>
              <w:rPr>
                <w:rFonts w:ascii="Times New Roman" w:hAnsi="Times New Roman" w:cs="Times New Roman"/>
                <w:sz w:val="20"/>
                <w:szCs w:val="20"/>
              </w:rPr>
              <w:t>CTGCCTTGTCTCTGCTGAATA</w:t>
            </w:r>
            <w:r w:rsidRPr="00FC3D27">
              <w:rPr>
                <w:rFonts w:ascii="Times New Roman" w:hAnsi="Times New Roman" w:cs="Times New Roman"/>
                <w:sz w:val="20"/>
                <w:szCs w:val="20"/>
              </w:rPr>
              <w:t>-3’</w:t>
            </w:r>
          </w:p>
        </w:tc>
      </w:tr>
      <w:tr w:rsidR="002F2CBE" w:rsidRPr="00117356" w:rsidTr="009754B7">
        <w:trPr>
          <w:trHeight w:val="864"/>
        </w:trPr>
        <w:tc>
          <w:tcPr>
            <w:tcW w:w="2358" w:type="dxa"/>
            <w:tcBorders>
              <w:top w:val="single" w:sz="4" w:space="0" w:color="auto"/>
              <w:bottom w:val="single" w:sz="4" w:space="0" w:color="auto"/>
            </w:tcBorders>
            <w:vAlign w:val="center"/>
          </w:tcPr>
          <w:p w:rsidR="002F2CBE" w:rsidRPr="001C2B41" w:rsidRDefault="002F2CBE" w:rsidP="009754B7">
            <w:pPr>
              <w:rPr>
                <w:rFonts w:ascii="Times New Roman" w:hAnsi="Times New Roman" w:cs="Times New Roman"/>
                <w:i/>
                <w:sz w:val="20"/>
                <w:szCs w:val="20"/>
              </w:rPr>
            </w:pPr>
            <w:r>
              <w:rPr>
                <w:rFonts w:ascii="Times New Roman" w:hAnsi="Times New Roman" w:cs="Times New Roman"/>
                <w:i/>
                <w:sz w:val="20"/>
                <w:szCs w:val="20"/>
              </w:rPr>
              <w:t>i</w:t>
            </w:r>
            <w:r w:rsidRPr="001C2B41">
              <w:rPr>
                <w:rFonts w:ascii="Times New Roman" w:hAnsi="Times New Roman" w:cs="Times New Roman"/>
                <w:i/>
                <w:sz w:val="20"/>
                <w:szCs w:val="20"/>
              </w:rPr>
              <w:t>nositol oxygenase</w:t>
            </w:r>
          </w:p>
        </w:tc>
        <w:tc>
          <w:tcPr>
            <w:tcW w:w="1980" w:type="dxa"/>
            <w:tcBorders>
              <w:top w:val="single" w:sz="4" w:space="0" w:color="auto"/>
              <w:bottom w:val="single" w:sz="4" w:space="0" w:color="auto"/>
            </w:tcBorders>
            <w:vAlign w:val="center"/>
          </w:tcPr>
          <w:p w:rsidR="002F2CBE" w:rsidRPr="008778E1" w:rsidRDefault="002F2CBE" w:rsidP="009754B7">
            <w:pPr>
              <w:rPr>
                <w:rFonts w:ascii="Times New Roman" w:hAnsi="Times New Roman" w:cs="Times New Roman"/>
                <w:sz w:val="20"/>
                <w:szCs w:val="20"/>
                <w:highlight w:val="yellow"/>
              </w:rPr>
            </w:pPr>
            <w:r w:rsidRPr="00492D8C">
              <w:rPr>
                <w:rFonts w:ascii="Times New Roman" w:hAnsi="Times New Roman" w:cs="Times New Roman"/>
                <w:sz w:val="20"/>
                <w:szCs w:val="20"/>
              </w:rPr>
              <w:t>GDFS01103214</w:t>
            </w:r>
          </w:p>
        </w:tc>
        <w:tc>
          <w:tcPr>
            <w:tcW w:w="4770" w:type="dxa"/>
            <w:tcBorders>
              <w:top w:val="single" w:sz="4" w:space="0" w:color="auto"/>
              <w:bottom w:val="single" w:sz="4" w:space="0" w:color="auto"/>
            </w:tcBorders>
            <w:vAlign w:val="center"/>
          </w:tcPr>
          <w:p w:rsidR="002F2CBE" w:rsidRPr="00BB0D03" w:rsidRDefault="002F2CBE" w:rsidP="009754B7">
            <w:pPr>
              <w:rPr>
                <w:rFonts w:ascii="Times New Roman" w:hAnsi="Times New Roman" w:cs="Times New Roman"/>
                <w:sz w:val="20"/>
                <w:szCs w:val="20"/>
              </w:rPr>
            </w:pPr>
            <w:r w:rsidRPr="00BB0D03">
              <w:rPr>
                <w:rFonts w:ascii="Times New Roman" w:hAnsi="Times New Roman" w:cs="Times New Roman"/>
                <w:sz w:val="20"/>
                <w:szCs w:val="20"/>
              </w:rPr>
              <w:t>Forward:</w:t>
            </w:r>
          </w:p>
          <w:p w:rsidR="002F2CBE" w:rsidRPr="00BB0D03" w:rsidRDefault="002F2CBE" w:rsidP="009754B7">
            <w:pPr>
              <w:rPr>
                <w:rFonts w:ascii="Times New Roman" w:hAnsi="Times New Roman" w:cs="Times New Roman"/>
                <w:sz w:val="20"/>
                <w:szCs w:val="20"/>
              </w:rPr>
            </w:pPr>
            <w:r w:rsidRPr="00BB0D03">
              <w:rPr>
                <w:rFonts w:ascii="Times New Roman" w:hAnsi="Times New Roman" w:cs="Times New Roman"/>
                <w:sz w:val="20"/>
                <w:szCs w:val="20"/>
              </w:rPr>
              <w:t>5'-TTTCGACCGGAGCCTATCTA-3'</w:t>
            </w:r>
          </w:p>
          <w:p w:rsidR="002F2CBE" w:rsidRPr="00694E42" w:rsidRDefault="002F2CBE" w:rsidP="009754B7">
            <w:pPr>
              <w:rPr>
                <w:rFonts w:ascii="Times New Roman" w:hAnsi="Times New Roman" w:cs="Times New Roman"/>
                <w:sz w:val="20"/>
                <w:szCs w:val="20"/>
              </w:rPr>
            </w:pPr>
            <w:r w:rsidRPr="00694E42">
              <w:rPr>
                <w:rFonts w:ascii="Times New Roman" w:hAnsi="Times New Roman" w:cs="Times New Roman"/>
                <w:sz w:val="20"/>
                <w:szCs w:val="20"/>
              </w:rPr>
              <w:t>Reverse:</w:t>
            </w:r>
          </w:p>
          <w:p w:rsidR="002F2CBE" w:rsidRPr="008778E1" w:rsidRDefault="002F2CBE" w:rsidP="009754B7">
            <w:pPr>
              <w:rPr>
                <w:rFonts w:ascii="Times New Roman" w:hAnsi="Times New Roman" w:cs="Times New Roman"/>
                <w:sz w:val="20"/>
                <w:szCs w:val="20"/>
                <w:highlight w:val="yellow"/>
              </w:rPr>
            </w:pPr>
            <w:r w:rsidRPr="00694E42">
              <w:rPr>
                <w:rFonts w:ascii="Times New Roman" w:hAnsi="Times New Roman" w:cs="Times New Roman"/>
                <w:sz w:val="20"/>
                <w:szCs w:val="20"/>
              </w:rPr>
              <w:t>5'-ACACGTTCCTTGATCTCATCTG-3'</w:t>
            </w:r>
          </w:p>
        </w:tc>
      </w:tr>
      <w:tr w:rsidR="002F2CBE" w:rsidRPr="00117356" w:rsidTr="009754B7">
        <w:trPr>
          <w:trHeight w:val="864"/>
        </w:trPr>
        <w:tc>
          <w:tcPr>
            <w:tcW w:w="2358" w:type="dxa"/>
            <w:tcBorders>
              <w:top w:val="single" w:sz="4" w:space="0" w:color="auto"/>
              <w:bottom w:val="single" w:sz="4" w:space="0" w:color="auto"/>
            </w:tcBorders>
            <w:vAlign w:val="center"/>
          </w:tcPr>
          <w:p w:rsidR="002F2CBE" w:rsidRPr="001C2B41" w:rsidRDefault="002F2CBE" w:rsidP="009754B7">
            <w:pPr>
              <w:rPr>
                <w:rFonts w:ascii="Times New Roman" w:hAnsi="Times New Roman" w:cs="Times New Roman"/>
                <w:i/>
                <w:sz w:val="20"/>
                <w:szCs w:val="20"/>
              </w:rPr>
            </w:pPr>
            <w:r>
              <w:rPr>
                <w:rFonts w:ascii="Times New Roman" w:hAnsi="Times New Roman" w:cs="Times New Roman"/>
                <w:i/>
                <w:sz w:val="20"/>
                <w:szCs w:val="20"/>
              </w:rPr>
              <w:t>rhodopsin</w:t>
            </w:r>
          </w:p>
        </w:tc>
        <w:tc>
          <w:tcPr>
            <w:tcW w:w="1980" w:type="dxa"/>
            <w:tcBorders>
              <w:top w:val="single" w:sz="4" w:space="0" w:color="auto"/>
              <w:bottom w:val="single" w:sz="4" w:space="0" w:color="auto"/>
            </w:tcBorders>
            <w:vAlign w:val="center"/>
          </w:tcPr>
          <w:p w:rsidR="002F2CBE" w:rsidRPr="008778E1" w:rsidRDefault="002F2CBE" w:rsidP="009754B7">
            <w:pPr>
              <w:rPr>
                <w:rFonts w:ascii="Times New Roman" w:hAnsi="Times New Roman" w:cs="Times New Roman"/>
                <w:sz w:val="20"/>
                <w:szCs w:val="20"/>
                <w:highlight w:val="yellow"/>
              </w:rPr>
            </w:pPr>
            <w:r w:rsidRPr="00492D8C">
              <w:rPr>
                <w:rFonts w:ascii="Times New Roman" w:hAnsi="Times New Roman" w:cs="Times New Roman"/>
                <w:sz w:val="20"/>
                <w:szCs w:val="20"/>
              </w:rPr>
              <w:t>GDFS01103004</w:t>
            </w:r>
          </w:p>
        </w:tc>
        <w:tc>
          <w:tcPr>
            <w:tcW w:w="4770" w:type="dxa"/>
            <w:tcBorders>
              <w:top w:val="single" w:sz="4" w:space="0" w:color="auto"/>
              <w:bottom w:val="single" w:sz="4" w:space="0" w:color="auto"/>
            </w:tcBorders>
            <w:vAlign w:val="center"/>
          </w:tcPr>
          <w:p w:rsidR="002F2CBE" w:rsidRPr="00694E42" w:rsidRDefault="002F2CBE" w:rsidP="009754B7">
            <w:pPr>
              <w:rPr>
                <w:rFonts w:ascii="Times New Roman" w:hAnsi="Times New Roman" w:cs="Times New Roman"/>
                <w:sz w:val="20"/>
                <w:szCs w:val="20"/>
              </w:rPr>
            </w:pPr>
            <w:r w:rsidRPr="00694E42">
              <w:rPr>
                <w:rFonts w:ascii="Times New Roman" w:hAnsi="Times New Roman" w:cs="Times New Roman"/>
                <w:sz w:val="20"/>
                <w:szCs w:val="20"/>
              </w:rPr>
              <w:t>Forward:</w:t>
            </w:r>
          </w:p>
          <w:p w:rsidR="002F2CBE" w:rsidRPr="00694E42" w:rsidRDefault="002F2CBE" w:rsidP="009754B7">
            <w:pPr>
              <w:rPr>
                <w:rFonts w:ascii="Times New Roman" w:hAnsi="Times New Roman" w:cs="Times New Roman"/>
                <w:sz w:val="20"/>
                <w:szCs w:val="20"/>
              </w:rPr>
            </w:pPr>
            <w:r w:rsidRPr="00694E42">
              <w:rPr>
                <w:rFonts w:ascii="Times New Roman" w:hAnsi="Times New Roman" w:cs="Times New Roman"/>
                <w:sz w:val="20"/>
                <w:szCs w:val="20"/>
              </w:rPr>
              <w:t>5’-ACAAACACCGAATACACCAGTA-3’</w:t>
            </w:r>
          </w:p>
          <w:p w:rsidR="002F2CBE" w:rsidRPr="00FC3D27" w:rsidRDefault="002F2CBE" w:rsidP="009754B7">
            <w:pPr>
              <w:rPr>
                <w:rFonts w:ascii="Times New Roman" w:hAnsi="Times New Roman" w:cs="Times New Roman"/>
                <w:sz w:val="20"/>
                <w:szCs w:val="20"/>
              </w:rPr>
            </w:pPr>
            <w:r w:rsidRPr="00FC3D27">
              <w:rPr>
                <w:rFonts w:ascii="Times New Roman" w:hAnsi="Times New Roman" w:cs="Times New Roman"/>
                <w:sz w:val="20"/>
                <w:szCs w:val="20"/>
              </w:rPr>
              <w:t>Reverse:</w:t>
            </w:r>
          </w:p>
          <w:p w:rsidR="002F2CBE" w:rsidRPr="008778E1" w:rsidRDefault="002F2CBE" w:rsidP="009754B7">
            <w:pPr>
              <w:rPr>
                <w:rFonts w:ascii="Times New Roman" w:hAnsi="Times New Roman" w:cs="Times New Roman"/>
                <w:sz w:val="20"/>
                <w:szCs w:val="20"/>
                <w:highlight w:val="yellow"/>
              </w:rPr>
            </w:pPr>
            <w:r w:rsidRPr="00FC3D27">
              <w:rPr>
                <w:rFonts w:ascii="Times New Roman" w:hAnsi="Times New Roman" w:cs="Times New Roman"/>
                <w:sz w:val="20"/>
                <w:szCs w:val="20"/>
              </w:rPr>
              <w:t>5’-CCAATGGTATGTACCGGAAGG-3’</w:t>
            </w:r>
          </w:p>
        </w:tc>
      </w:tr>
    </w:tbl>
    <w:p w:rsidR="00511A42" w:rsidRDefault="00511A42" w:rsidP="00F90393"/>
    <w:p w:rsidR="00511A42" w:rsidRDefault="00511A42" w:rsidP="00511A42">
      <w:pPr>
        <w:rPr>
          <w:rFonts w:ascii="TimesNewRomanPSMT" w:hAnsi="TimesNewRomanPSMT" w:cs="TimesNewRomanPSMT"/>
        </w:rPr>
      </w:pPr>
      <w:r>
        <w:br w:type="page"/>
      </w:r>
      <w:r>
        <w:rPr>
          <w:rFonts w:ascii="TimesNewRomanPSMT" w:hAnsi="TimesNewRomanPSMT" w:cs="TimesNewRomanPSMT"/>
          <w:b/>
        </w:rPr>
        <w:lastRenderedPageBreak/>
        <w:t xml:space="preserve">Control Genes: </w:t>
      </w:r>
      <w:r>
        <w:rPr>
          <w:rFonts w:ascii="TimesNewRomanPSMT" w:hAnsi="TimesNewRomanPSMT" w:cs="TimesNewRomanPSMT"/>
        </w:rPr>
        <w:t xml:space="preserve">We </w:t>
      </w:r>
      <w:r w:rsidR="0006225A">
        <w:rPr>
          <w:rFonts w:ascii="TimesNewRomanPSMT" w:hAnsi="TimesNewRomanPSMT" w:cs="TimesNewRomanPSMT"/>
        </w:rPr>
        <w:t xml:space="preserve">assessed </w:t>
      </w:r>
      <w:r>
        <w:rPr>
          <w:rFonts w:ascii="TimesNewRomanPSMT" w:hAnsi="TimesNewRomanPSMT" w:cs="TimesNewRomanPSMT"/>
        </w:rPr>
        <w:t xml:space="preserve">whether </w:t>
      </w:r>
      <w:proofErr w:type="spellStart"/>
      <w:r>
        <w:rPr>
          <w:rFonts w:ascii="TimesNewRomanPSMT" w:hAnsi="TimesNewRomanPSMT" w:cs="TimesNewRomanPSMT"/>
        </w:rPr>
        <w:t>Cq</w:t>
      </w:r>
      <w:proofErr w:type="spellEnd"/>
      <w:r>
        <w:rPr>
          <w:rFonts w:ascii="TimesNewRomanPSMT" w:hAnsi="TimesNewRomanPSMT" w:cs="TimesNewRomanPSMT"/>
        </w:rPr>
        <w:t xml:space="preserve"> values calculated for the internal control genes (</w:t>
      </w:r>
      <w:r>
        <w:rPr>
          <w:rFonts w:ascii="TimesNewRomanPSMT" w:hAnsi="TimesNewRomanPSMT" w:cs="TimesNewRomanPSMT"/>
          <w:i/>
        </w:rPr>
        <w:t xml:space="preserve">elongation factor-1 </w:t>
      </w:r>
      <w:r>
        <w:rPr>
          <w:rFonts w:ascii="TimesNewRomanPSMT" w:hAnsi="TimesNewRomanPSMT" w:cs="TimesNewRomanPSMT"/>
        </w:rPr>
        <w:t xml:space="preserve">and </w:t>
      </w:r>
      <w:r>
        <w:rPr>
          <w:rFonts w:ascii="TimesNewRomanPSMT" w:hAnsi="TimesNewRomanPSMT" w:cs="TimesNewRomanPSMT"/>
          <w:i/>
        </w:rPr>
        <w:t>ribosomal protein-49</w:t>
      </w:r>
      <w:r>
        <w:rPr>
          <w:rFonts w:ascii="TimesNewRomanPSMT" w:hAnsi="TimesNewRomanPSMT" w:cs="TimesNewRomanPSMT"/>
        </w:rPr>
        <w:t>) varied across caste (foundress-reared vs worker-reared) or a</w:t>
      </w:r>
      <w:r w:rsidR="0006225A">
        <w:rPr>
          <w:rFonts w:ascii="TimesNewRomanPSMT" w:hAnsi="TimesNewRomanPSMT" w:cs="TimesNewRomanPSMT"/>
        </w:rPr>
        <w:t>cross the four treatment types. W</w:t>
      </w:r>
      <w:proofErr w:type="spellStart"/>
      <w:r w:rsidR="0006225A" w:rsidRPr="00E41CF0">
        <w:rPr>
          <w:rFonts w:ascii="TimesNewRomanPSMT" w:hAnsi="TimesNewRomanPSMT" w:cs="TimesNewRomanPSMT"/>
          <w:lang w:val="en-GB"/>
        </w:rPr>
        <w:t>e</w:t>
      </w:r>
      <w:proofErr w:type="spellEnd"/>
      <w:r w:rsidR="0006225A" w:rsidRPr="00E41CF0">
        <w:rPr>
          <w:rFonts w:ascii="TimesNewRomanPSMT" w:hAnsi="TimesNewRomanPSMT" w:cs="TimesNewRomanPSMT"/>
          <w:lang w:val="en-GB"/>
        </w:rPr>
        <w:t xml:space="preserve"> </w:t>
      </w:r>
      <w:r w:rsidR="0006225A">
        <w:rPr>
          <w:rFonts w:ascii="TimesNewRomanPSMT" w:hAnsi="TimesNewRomanPSMT" w:cs="TimesNewRomanPSMT"/>
          <w:lang w:val="en-GB"/>
        </w:rPr>
        <w:t xml:space="preserve">used </w:t>
      </w:r>
      <w:r w:rsidR="0006225A" w:rsidRPr="00E41CF0">
        <w:rPr>
          <w:rFonts w:ascii="TimesNewRomanPSMT" w:hAnsi="TimesNewRomanPSMT" w:cs="TimesNewRomanPSMT"/>
          <w:lang w:val="en-GB"/>
        </w:rPr>
        <w:t>Generalized Linear Models</w:t>
      </w:r>
      <w:r w:rsidR="0006225A">
        <w:rPr>
          <w:rFonts w:ascii="TimesNewRomanPSMT" w:hAnsi="TimesNewRomanPSMT" w:cs="TimesNewRomanPSMT"/>
          <w:lang w:val="en-GB"/>
        </w:rPr>
        <w:t xml:space="preserve">, </w:t>
      </w:r>
      <w:r w:rsidR="0006225A" w:rsidRPr="00E41CF0">
        <w:rPr>
          <w:rFonts w:ascii="TimesNewRomanPSMT" w:hAnsi="TimesNewRomanPSMT" w:cs="TimesNewRomanPSMT"/>
          <w:lang w:val="en-GB"/>
        </w:rPr>
        <w:t xml:space="preserve">fit </w:t>
      </w:r>
      <w:r w:rsidR="0006225A">
        <w:rPr>
          <w:rFonts w:ascii="TimesNewRomanPSMT" w:hAnsi="TimesNewRomanPSMT" w:cs="TimesNewRomanPSMT"/>
          <w:lang w:val="en-GB"/>
        </w:rPr>
        <w:t>the</w:t>
      </w:r>
      <w:r w:rsidR="0006225A" w:rsidRPr="00E41CF0">
        <w:rPr>
          <w:rFonts w:ascii="TimesNewRomanPSMT" w:hAnsi="TimesNewRomanPSMT" w:cs="TimesNewRomanPSMT"/>
          <w:lang w:val="en-GB"/>
        </w:rPr>
        <w:t xml:space="preserve"> </w:t>
      </w:r>
      <w:r w:rsidR="0006225A">
        <w:rPr>
          <w:rFonts w:ascii="TimesNewRomanPSMT" w:hAnsi="TimesNewRomanPSMT" w:cs="TimesNewRomanPSMT"/>
          <w:lang w:val="en-GB"/>
        </w:rPr>
        <w:t>data</w:t>
      </w:r>
      <w:r w:rsidR="0006225A" w:rsidRPr="00E41CF0">
        <w:rPr>
          <w:rFonts w:ascii="TimesNewRomanPSMT" w:hAnsi="TimesNewRomanPSMT" w:cs="TimesNewRomanPSMT"/>
          <w:lang w:val="en-GB"/>
        </w:rPr>
        <w:t xml:space="preserve"> using the Log link function for </w:t>
      </w:r>
      <w:r w:rsidR="0006225A" w:rsidRPr="00E41CF0">
        <w:rPr>
          <w:rFonts w:ascii="Times New Roman" w:hAnsi="Times New Roman" w:cs="Times New Roman"/>
          <w:lang w:val="en-GB"/>
        </w:rPr>
        <w:t>μ</w:t>
      </w:r>
      <w:r w:rsidR="0006225A">
        <w:rPr>
          <w:rFonts w:ascii="TimesNewRomanPSMT" w:hAnsi="TimesNewRomanPSMT" w:cs="TimesNewRomanPSMT"/>
          <w:lang w:val="en-GB"/>
        </w:rPr>
        <w:t xml:space="preserve">, and included year in both models. </w:t>
      </w:r>
      <w:r>
        <w:rPr>
          <w:rFonts w:ascii="TimesNewRomanPSMT" w:hAnsi="TimesNewRomanPSMT" w:cs="TimesNewRomanPSMT"/>
        </w:rPr>
        <w:t xml:space="preserve">We found no evidence to suggest that internal control genes varied across </w:t>
      </w:r>
      <w:r w:rsidR="0006225A">
        <w:rPr>
          <w:rFonts w:ascii="TimesNewRomanPSMT" w:hAnsi="TimesNewRomanPSMT" w:cs="TimesNewRomanPSMT"/>
        </w:rPr>
        <w:t>caste or treatment types</w:t>
      </w:r>
      <w:r w:rsidR="008027FC">
        <w:rPr>
          <w:rFonts w:ascii="TimesNewRomanPSMT" w:hAnsi="TimesNewRomanPSMT" w:cs="TimesNewRomanPSMT"/>
        </w:rPr>
        <w:t xml:space="preserve"> (P &gt; 0.50 for both analyses)</w:t>
      </w:r>
      <w:r w:rsidR="0006225A">
        <w:rPr>
          <w:rFonts w:ascii="TimesNewRomanPSMT" w:hAnsi="TimesNewRomanPSMT" w:cs="TimesNewRomanPSMT"/>
        </w:rPr>
        <w:t>. Descriptive statistics are presented in the table below.</w:t>
      </w:r>
    </w:p>
    <w:p w:rsidR="00A77F4C" w:rsidRDefault="00A77F4C" w:rsidP="00511A42">
      <w:pPr>
        <w:rPr>
          <w:rFonts w:ascii="TimesNewRomanPSMT" w:hAnsi="TimesNewRomanPSMT" w:cs="TimesNewRomanPSMT"/>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420"/>
        <w:gridCol w:w="1814"/>
        <w:gridCol w:w="1815"/>
        <w:gridCol w:w="1815"/>
      </w:tblGrid>
      <w:tr w:rsidR="00A77F4C" w:rsidTr="00A77F4C">
        <w:tc>
          <w:tcPr>
            <w:tcW w:w="378" w:type="dxa"/>
            <w:vAlign w:val="center"/>
          </w:tcPr>
          <w:p w:rsidR="00A77F4C" w:rsidRDefault="00A77F4C" w:rsidP="001B6027">
            <w:pPr>
              <w:jc w:val="center"/>
              <w:rPr>
                <w:rFonts w:ascii="TimesNewRomanPSMT" w:hAnsi="TimesNewRomanPSMT" w:cs="TimesNewRomanPSMT"/>
                <w:b/>
              </w:rPr>
            </w:pPr>
          </w:p>
        </w:tc>
        <w:tc>
          <w:tcPr>
            <w:tcW w:w="3420" w:type="dxa"/>
            <w:vAlign w:val="center"/>
          </w:tcPr>
          <w:p w:rsidR="00A77F4C" w:rsidRPr="004F6346" w:rsidRDefault="00A77F4C" w:rsidP="001B6027">
            <w:pPr>
              <w:jc w:val="center"/>
              <w:rPr>
                <w:rFonts w:ascii="TimesNewRomanPSMT" w:hAnsi="TimesNewRomanPSMT" w:cs="TimesNewRomanPSMT"/>
              </w:rPr>
            </w:pPr>
          </w:p>
        </w:tc>
        <w:tc>
          <w:tcPr>
            <w:tcW w:w="5444" w:type="dxa"/>
            <w:gridSpan w:val="3"/>
            <w:vAlign w:val="center"/>
          </w:tcPr>
          <w:p w:rsidR="00A77F4C" w:rsidRPr="004F6346" w:rsidRDefault="00A77F4C" w:rsidP="001B6027">
            <w:pPr>
              <w:jc w:val="center"/>
              <w:rPr>
                <w:rFonts w:ascii="TimesNewRomanPSMT" w:hAnsi="TimesNewRomanPSMT" w:cs="TimesNewRomanPSMT"/>
              </w:rPr>
            </w:pPr>
            <w:r>
              <w:rPr>
                <w:rFonts w:ascii="TimesNewRomanPSMT" w:hAnsi="TimesNewRomanPSMT" w:cs="TimesNewRomanPSMT"/>
              </w:rPr>
              <w:t xml:space="preserve">Mean </w:t>
            </w:r>
            <w:proofErr w:type="spellStart"/>
            <w:r>
              <w:rPr>
                <w:rFonts w:ascii="TimesNewRomanPSMT" w:hAnsi="TimesNewRomanPSMT" w:cs="TimesNewRomanPSMT"/>
              </w:rPr>
              <w:t>Cq</w:t>
            </w:r>
            <w:proofErr w:type="spellEnd"/>
            <w:r>
              <w:rPr>
                <w:rFonts w:ascii="TimesNewRomanPSMT" w:hAnsi="TimesNewRomanPSMT" w:cs="TimesNewRomanPSMT"/>
              </w:rPr>
              <w:t xml:space="preserve"> </w:t>
            </w:r>
            <w:r>
              <w:rPr>
                <w:rFonts w:ascii="Times New Roman" w:hAnsi="Times New Roman" w:cs="Times New Roman"/>
              </w:rPr>
              <w:t>±</w:t>
            </w:r>
            <w:r>
              <w:rPr>
                <w:rFonts w:ascii="TimesNewRomanPSMT" w:hAnsi="TimesNewRomanPSMT" w:cs="TimesNewRomanPSMT"/>
              </w:rPr>
              <w:t xml:space="preserve"> SE (n)</w:t>
            </w:r>
          </w:p>
        </w:tc>
      </w:tr>
      <w:tr w:rsidR="00A77F4C" w:rsidTr="00A77F4C">
        <w:tc>
          <w:tcPr>
            <w:tcW w:w="378" w:type="dxa"/>
            <w:tcBorders>
              <w:bottom w:val="single" w:sz="4" w:space="0" w:color="auto"/>
            </w:tcBorders>
            <w:vAlign w:val="center"/>
          </w:tcPr>
          <w:p w:rsidR="00A77F4C" w:rsidRDefault="00A77F4C" w:rsidP="001B6027">
            <w:pPr>
              <w:jc w:val="center"/>
              <w:rPr>
                <w:rFonts w:ascii="TimesNewRomanPSMT" w:hAnsi="TimesNewRomanPSMT" w:cs="TimesNewRomanPSMT"/>
                <w:b/>
              </w:rPr>
            </w:pPr>
          </w:p>
        </w:tc>
        <w:tc>
          <w:tcPr>
            <w:tcW w:w="3420" w:type="dxa"/>
            <w:tcBorders>
              <w:bottom w:val="single" w:sz="4" w:space="0" w:color="auto"/>
            </w:tcBorders>
            <w:vAlign w:val="center"/>
          </w:tcPr>
          <w:p w:rsidR="00A77F4C" w:rsidRPr="004F6346" w:rsidRDefault="00A77F4C" w:rsidP="001B6027">
            <w:pPr>
              <w:jc w:val="center"/>
              <w:rPr>
                <w:rFonts w:ascii="TimesNewRomanPSMT" w:hAnsi="TimesNewRomanPSMT" w:cs="TimesNewRomanPSMT"/>
              </w:rPr>
            </w:pPr>
            <w:r w:rsidRPr="004F6346">
              <w:rPr>
                <w:rFonts w:ascii="TimesNewRomanPSMT" w:hAnsi="TimesNewRomanPSMT" w:cs="TimesNewRomanPSMT"/>
              </w:rPr>
              <w:t>Treatment</w:t>
            </w:r>
          </w:p>
        </w:tc>
        <w:tc>
          <w:tcPr>
            <w:tcW w:w="1814" w:type="dxa"/>
            <w:tcBorders>
              <w:bottom w:val="single" w:sz="4" w:space="0" w:color="auto"/>
            </w:tcBorders>
            <w:vAlign w:val="center"/>
          </w:tcPr>
          <w:p w:rsidR="00A77F4C" w:rsidRPr="004F6346" w:rsidRDefault="00A77F4C" w:rsidP="001B6027">
            <w:pPr>
              <w:jc w:val="center"/>
              <w:rPr>
                <w:rFonts w:ascii="TimesNewRomanPSMT" w:hAnsi="TimesNewRomanPSMT" w:cs="TimesNewRomanPSMT"/>
              </w:rPr>
            </w:pPr>
            <w:r w:rsidRPr="004F6346">
              <w:rPr>
                <w:rFonts w:ascii="TimesNewRomanPSMT" w:hAnsi="TimesNewRomanPSMT" w:cs="TimesNewRomanPSMT"/>
              </w:rPr>
              <w:t>Years Combined</w:t>
            </w:r>
          </w:p>
        </w:tc>
        <w:tc>
          <w:tcPr>
            <w:tcW w:w="1815" w:type="dxa"/>
            <w:tcBorders>
              <w:bottom w:val="single" w:sz="4" w:space="0" w:color="auto"/>
            </w:tcBorders>
            <w:vAlign w:val="center"/>
          </w:tcPr>
          <w:p w:rsidR="00A77F4C" w:rsidRPr="004F6346" w:rsidRDefault="00A77F4C" w:rsidP="001B6027">
            <w:pPr>
              <w:jc w:val="center"/>
              <w:rPr>
                <w:rFonts w:ascii="TimesNewRomanPSMT" w:hAnsi="TimesNewRomanPSMT" w:cs="TimesNewRomanPSMT"/>
              </w:rPr>
            </w:pPr>
            <w:r w:rsidRPr="004F6346">
              <w:rPr>
                <w:rFonts w:ascii="TimesNewRomanPSMT" w:hAnsi="TimesNewRomanPSMT" w:cs="TimesNewRomanPSMT"/>
              </w:rPr>
              <w:t>2013 data</w:t>
            </w:r>
          </w:p>
        </w:tc>
        <w:tc>
          <w:tcPr>
            <w:tcW w:w="1815" w:type="dxa"/>
            <w:tcBorders>
              <w:bottom w:val="single" w:sz="4" w:space="0" w:color="auto"/>
            </w:tcBorders>
            <w:vAlign w:val="center"/>
          </w:tcPr>
          <w:p w:rsidR="00A77F4C" w:rsidRPr="004F6346" w:rsidRDefault="00A77F4C" w:rsidP="001B6027">
            <w:pPr>
              <w:jc w:val="center"/>
              <w:rPr>
                <w:rFonts w:ascii="TimesNewRomanPSMT" w:hAnsi="TimesNewRomanPSMT" w:cs="TimesNewRomanPSMT"/>
              </w:rPr>
            </w:pPr>
            <w:r w:rsidRPr="004F6346">
              <w:rPr>
                <w:rFonts w:ascii="TimesNewRomanPSMT" w:hAnsi="TimesNewRomanPSMT" w:cs="TimesNewRomanPSMT"/>
              </w:rPr>
              <w:t>2014 data</w:t>
            </w:r>
          </w:p>
        </w:tc>
      </w:tr>
      <w:tr w:rsidR="00CD2202" w:rsidTr="00A77F4C">
        <w:trPr>
          <w:trHeight w:val="572"/>
        </w:trPr>
        <w:tc>
          <w:tcPr>
            <w:tcW w:w="378" w:type="dxa"/>
            <w:vMerge w:val="restart"/>
            <w:tcBorders>
              <w:top w:val="single" w:sz="4" w:space="0" w:color="auto"/>
            </w:tcBorders>
            <w:textDirection w:val="btLr"/>
            <w:vAlign w:val="center"/>
          </w:tcPr>
          <w:p w:rsidR="00CD2202" w:rsidRDefault="00CD2202" w:rsidP="00CD2202">
            <w:pPr>
              <w:ind w:left="113" w:right="113"/>
              <w:jc w:val="center"/>
              <w:rPr>
                <w:rFonts w:ascii="TimesNewRomanPSMT" w:hAnsi="TimesNewRomanPSMT" w:cs="TimesNewRomanPSMT"/>
                <w:i/>
              </w:rPr>
            </w:pPr>
            <w:r>
              <w:rPr>
                <w:rFonts w:ascii="TimesNewRomanPSMT" w:hAnsi="TimesNewRomanPSMT" w:cs="TimesNewRomanPSMT"/>
                <w:i/>
              </w:rPr>
              <w:t>elongation factor-1</w:t>
            </w:r>
          </w:p>
        </w:tc>
        <w:tc>
          <w:tcPr>
            <w:tcW w:w="3420" w:type="dxa"/>
            <w:tcBorders>
              <w:top w:val="single" w:sz="4" w:space="0" w:color="auto"/>
            </w:tcBorders>
            <w:vAlign w:val="center"/>
          </w:tcPr>
          <w:p w:rsidR="00CD2202" w:rsidRDefault="00CD2202" w:rsidP="00CD2202">
            <w:pPr>
              <w:rPr>
                <w:rFonts w:ascii="TimesNewRomanPSMT" w:hAnsi="TimesNewRomanPSMT" w:cs="TimesNewRomanPSMT"/>
              </w:rPr>
            </w:pPr>
            <w:r>
              <w:rPr>
                <w:rFonts w:ascii="TimesNewRomanPSMT" w:hAnsi="TimesNewRomanPSMT" w:cs="TimesNewRomanPSMT"/>
              </w:rPr>
              <w:t>Foundress-reared</w:t>
            </w:r>
          </w:p>
        </w:tc>
        <w:tc>
          <w:tcPr>
            <w:tcW w:w="1814" w:type="dxa"/>
            <w:tcBorders>
              <w:top w:val="single" w:sz="4" w:space="0" w:color="auto"/>
            </w:tcBorders>
            <w:vAlign w:val="center"/>
          </w:tcPr>
          <w:p w:rsidR="00CD2202" w:rsidRPr="004F6346" w:rsidRDefault="00CD2202" w:rsidP="00CD2202">
            <w:pPr>
              <w:jc w:val="right"/>
              <w:rPr>
                <w:rFonts w:ascii="TimesNewRomanPSMT" w:hAnsi="TimesNewRomanPSMT" w:cs="TimesNewRomanPSMT"/>
              </w:rPr>
            </w:pPr>
            <w:r>
              <w:rPr>
                <w:rFonts w:ascii="TimesNewRomanPSMT" w:hAnsi="TimesNewRomanPSMT" w:cs="TimesNewRomanPSMT"/>
              </w:rPr>
              <w:t xml:space="preserve">24.65 </w:t>
            </w:r>
            <w:r>
              <w:rPr>
                <w:rFonts w:ascii="Times New Roman" w:hAnsi="Times New Roman" w:cs="Times New Roman"/>
              </w:rPr>
              <w:t>± 0.32 (21)</w:t>
            </w:r>
          </w:p>
        </w:tc>
        <w:tc>
          <w:tcPr>
            <w:tcW w:w="1815" w:type="dxa"/>
            <w:tcBorders>
              <w:top w:val="single" w:sz="4" w:space="0" w:color="auto"/>
            </w:tcBorders>
            <w:vAlign w:val="center"/>
          </w:tcPr>
          <w:p w:rsidR="00CD2202" w:rsidRPr="004F6346" w:rsidRDefault="00CD2202" w:rsidP="00CD2202">
            <w:pPr>
              <w:jc w:val="right"/>
              <w:rPr>
                <w:rFonts w:ascii="TimesNewRomanPSMT" w:hAnsi="TimesNewRomanPSMT" w:cs="TimesNewRomanPSMT"/>
              </w:rPr>
            </w:pPr>
            <w:r>
              <w:rPr>
                <w:rFonts w:ascii="TimesNewRomanPSMT" w:hAnsi="TimesNewRomanPSMT" w:cs="TimesNewRomanPSMT"/>
              </w:rPr>
              <w:t xml:space="preserve">25.87 </w:t>
            </w:r>
            <w:r>
              <w:rPr>
                <w:rFonts w:ascii="Times New Roman" w:hAnsi="Times New Roman" w:cs="Times New Roman"/>
              </w:rPr>
              <w:t>± 0.96 (5)</w:t>
            </w:r>
          </w:p>
        </w:tc>
        <w:tc>
          <w:tcPr>
            <w:tcW w:w="1815" w:type="dxa"/>
            <w:tcBorders>
              <w:top w:val="single" w:sz="4" w:space="0" w:color="auto"/>
            </w:tcBorders>
            <w:vAlign w:val="center"/>
          </w:tcPr>
          <w:p w:rsidR="00CD2202" w:rsidRPr="004F6346" w:rsidRDefault="00CD2202" w:rsidP="00CD2202">
            <w:pPr>
              <w:jc w:val="right"/>
              <w:rPr>
                <w:rFonts w:ascii="TimesNewRomanPSMT" w:hAnsi="TimesNewRomanPSMT" w:cs="TimesNewRomanPSMT"/>
              </w:rPr>
            </w:pPr>
            <w:r>
              <w:rPr>
                <w:rFonts w:ascii="TimesNewRomanPSMT" w:hAnsi="TimesNewRomanPSMT" w:cs="TimesNewRomanPSMT"/>
              </w:rPr>
              <w:t xml:space="preserve">24.26 </w:t>
            </w:r>
            <w:r>
              <w:rPr>
                <w:rFonts w:ascii="Times New Roman" w:hAnsi="Times New Roman" w:cs="Times New Roman"/>
              </w:rPr>
              <w:t>± 0.24 (16)</w:t>
            </w:r>
          </w:p>
        </w:tc>
      </w:tr>
      <w:tr w:rsidR="00CD2202" w:rsidTr="00A77F4C">
        <w:trPr>
          <w:trHeight w:val="572"/>
        </w:trPr>
        <w:tc>
          <w:tcPr>
            <w:tcW w:w="378" w:type="dxa"/>
            <w:vMerge/>
            <w:textDirection w:val="btLr"/>
            <w:vAlign w:val="center"/>
          </w:tcPr>
          <w:p w:rsidR="00CD2202" w:rsidRDefault="00CD2202" w:rsidP="00CD2202">
            <w:pPr>
              <w:ind w:left="113" w:right="113"/>
              <w:jc w:val="center"/>
              <w:rPr>
                <w:rFonts w:ascii="TimesNewRomanPSMT" w:hAnsi="TimesNewRomanPSMT" w:cs="TimesNewRomanPSMT"/>
                <w:b/>
              </w:rPr>
            </w:pPr>
          </w:p>
        </w:tc>
        <w:tc>
          <w:tcPr>
            <w:tcW w:w="3420" w:type="dxa"/>
            <w:vAlign w:val="center"/>
          </w:tcPr>
          <w:p w:rsidR="00CD2202" w:rsidRPr="008B588E" w:rsidRDefault="00CD2202" w:rsidP="00CD2202">
            <w:pPr>
              <w:rPr>
                <w:rFonts w:ascii="TimesNewRomanPSMT" w:hAnsi="TimesNewRomanPSMT" w:cs="TimesNewRomanPSMT"/>
              </w:rPr>
            </w:pPr>
            <w:r>
              <w:rPr>
                <w:rFonts w:ascii="TimesNewRomanPSMT" w:hAnsi="TimesNewRomanPSMT" w:cs="TimesNewRomanPSMT"/>
              </w:rPr>
              <w:t>No drumming, u</w:t>
            </w:r>
            <w:r w:rsidRPr="008B588E">
              <w:rPr>
                <w:rFonts w:ascii="TimesNewRomanPSMT" w:hAnsi="TimesNewRomanPSMT" w:cs="TimesNewRomanPSMT"/>
              </w:rPr>
              <w:t xml:space="preserve">nrestricted foraging </w:t>
            </w:r>
          </w:p>
        </w:tc>
        <w:tc>
          <w:tcPr>
            <w:tcW w:w="1814" w:type="dxa"/>
            <w:vAlign w:val="center"/>
          </w:tcPr>
          <w:p w:rsidR="00CD2202" w:rsidRPr="004F6346" w:rsidRDefault="00CD2202" w:rsidP="00CD2202">
            <w:pPr>
              <w:jc w:val="right"/>
              <w:rPr>
                <w:rFonts w:ascii="TimesNewRomanPSMT" w:hAnsi="TimesNewRomanPSMT" w:cs="TimesNewRomanPSMT"/>
              </w:rPr>
            </w:pPr>
            <w:r>
              <w:rPr>
                <w:rFonts w:ascii="TimesNewRomanPSMT" w:hAnsi="TimesNewRomanPSMT" w:cs="TimesNewRomanPSMT"/>
              </w:rPr>
              <w:t xml:space="preserve">24.82 </w:t>
            </w:r>
            <w:r>
              <w:rPr>
                <w:rFonts w:ascii="Times New Roman" w:hAnsi="Times New Roman" w:cs="Times New Roman"/>
              </w:rPr>
              <w:t>± 0.19 (9)</w:t>
            </w:r>
          </w:p>
        </w:tc>
        <w:tc>
          <w:tcPr>
            <w:tcW w:w="1815" w:type="dxa"/>
            <w:vAlign w:val="center"/>
          </w:tcPr>
          <w:p w:rsidR="00CD2202" w:rsidRPr="004F6346" w:rsidRDefault="00CD2202" w:rsidP="00CD2202">
            <w:pPr>
              <w:jc w:val="right"/>
              <w:rPr>
                <w:rFonts w:ascii="TimesNewRomanPSMT" w:hAnsi="TimesNewRomanPSMT" w:cs="TimesNewRomanPSMT"/>
              </w:rPr>
            </w:pPr>
            <w:r>
              <w:rPr>
                <w:rFonts w:ascii="TimesNewRomanPSMT" w:hAnsi="TimesNewRomanPSMT" w:cs="TimesNewRomanPSMT"/>
              </w:rPr>
              <w:t xml:space="preserve">24.59 </w:t>
            </w:r>
            <w:r>
              <w:rPr>
                <w:rFonts w:ascii="Times New Roman" w:hAnsi="Times New Roman" w:cs="Times New Roman"/>
              </w:rPr>
              <w:t>± 0.0.26 (5)</w:t>
            </w:r>
          </w:p>
        </w:tc>
        <w:tc>
          <w:tcPr>
            <w:tcW w:w="1815" w:type="dxa"/>
            <w:vAlign w:val="center"/>
          </w:tcPr>
          <w:p w:rsidR="00CD2202" w:rsidRPr="004F6346" w:rsidRDefault="00255C2F" w:rsidP="00CD2202">
            <w:pPr>
              <w:jc w:val="right"/>
              <w:rPr>
                <w:rFonts w:ascii="TimesNewRomanPSMT" w:hAnsi="TimesNewRomanPSMT" w:cs="TimesNewRomanPSMT"/>
              </w:rPr>
            </w:pPr>
            <w:r>
              <w:rPr>
                <w:rFonts w:ascii="TimesNewRomanPSMT" w:hAnsi="TimesNewRomanPSMT" w:cs="TimesNewRomanPSMT"/>
              </w:rPr>
              <w:t>25.11</w:t>
            </w:r>
            <w:r w:rsidR="00CD2202">
              <w:rPr>
                <w:rFonts w:ascii="TimesNewRomanPSMT" w:hAnsi="TimesNewRomanPSMT" w:cs="TimesNewRomanPSMT"/>
              </w:rPr>
              <w:t xml:space="preserve"> </w:t>
            </w:r>
            <w:r>
              <w:rPr>
                <w:rFonts w:ascii="Times New Roman" w:hAnsi="Times New Roman" w:cs="Times New Roman"/>
              </w:rPr>
              <w:t>± 0.21</w:t>
            </w:r>
            <w:r w:rsidR="00CD2202">
              <w:rPr>
                <w:rFonts w:ascii="Times New Roman" w:hAnsi="Times New Roman" w:cs="Times New Roman"/>
              </w:rPr>
              <w:t xml:space="preserve"> (4)</w:t>
            </w:r>
          </w:p>
        </w:tc>
      </w:tr>
      <w:tr w:rsidR="00CD2202" w:rsidTr="00A77F4C">
        <w:trPr>
          <w:trHeight w:val="572"/>
        </w:trPr>
        <w:tc>
          <w:tcPr>
            <w:tcW w:w="378" w:type="dxa"/>
            <w:vMerge/>
            <w:textDirection w:val="btLr"/>
            <w:vAlign w:val="center"/>
          </w:tcPr>
          <w:p w:rsidR="00CD2202" w:rsidRDefault="00CD2202" w:rsidP="00CD2202">
            <w:pPr>
              <w:ind w:left="113" w:right="113"/>
              <w:jc w:val="center"/>
              <w:rPr>
                <w:rFonts w:ascii="TimesNewRomanPSMT" w:hAnsi="TimesNewRomanPSMT" w:cs="TimesNewRomanPSMT"/>
                <w:i/>
              </w:rPr>
            </w:pPr>
          </w:p>
        </w:tc>
        <w:tc>
          <w:tcPr>
            <w:tcW w:w="3420" w:type="dxa"/>
            <w:vAlign w:val="center"/>
          </w:tcPr>
          <w:p w:rsidR="00CD2202" w:rsidRPr="008B588E" w:rsidRDefault="00CD2202" w:rsidP="00CD2202">
            <w:pPr>
              <w:rPr>
                <w:rFonts w:ascii="TimesNewRomanPSMT" w:hAnsi="TimesNewRomanPSMT" w:cs="TimesNewRomanPSMT"/>
              </w:rPr>
            </w:pPr>
            <w:r>
              <w:rPr>
                <w:rFonts w:ascii="TimesNewRomanPSMT" w:hAnsi="TimesNewRomanPSMT" w:cs="TimesNewRomanPSMT"/>
              </w:rPr>
              <w:t>Drumming, unrestricted foraging</w:t>
            </w:r>
          </w:p>
        </w:tc>
        <w:tc>
          <w:tcPr>
            <w:tcW w:w="1814" w:type="dxa"/>
            <w:vAlign w:val="center"/>
          </w:tcPr>
          <w:p w:rsidR="00CD2202" w:rsidRPr="004F6346" w:rsidRDefault="00CD2202" w:rsidP="00CD2202">
            <w:pPr>
              <w:jc w:val="right"/>
              <w:rPr>
                <w:rFonts w:ascii="TimesNewRomanPSMT" w:hAnsi="TimesNewRomanPSMT" w:cs="TimesNewRomanPSMT"/>
              </w:rPr>
            </w:pPr>
            <w:r>
              <w:rPr>
                <w:rFonts w:ascii="TimesNewRomanPSMT" w:hAnsi="TimesNewRomanPSMT" w:cs="TimesNewRomanPSMT"/>
              </w:rPr>
              <w:t xml:space="preserve">25.28 </w:t>
            </w:r>
            <w:r>
              <w:rPr>
                <w:rFonts w:ascii="Times New Roman" w:hAnsi="Times New Roman" w:cs="Times New Roman"/>
              </w:rPr>
              <w:t>± 0.46 (7)</w:t>
            </w:r>
          </w:p>
        </w:tc>
        <w:tc>
          <w:tcPr>
            <w:tcW w:w="1815" w:type="dxa"/>
            <w:vAlign w:val="center"/>
          </w:tcPr>
          <w:p w:rsidR="00CD2202" w:rsidRPr="004F6346" w:rsidRDefault="00CD2202" w:rsidP="00CD2202">
            <w:pPr>
              <w:jc w:val="right"/>
              <w:rPr>
                <w:rFonts w:ascii="TimesNewRomanPSMT" w:hAnsi="TimesNewRomanPSMT" w:cs="TimesNewRomanPSMT"/>
              </w:rPr>
            </w:pPr>
            <w:r>
              <w:rPr>
                <w:rFonts w:ascii="TimesNewRomanPSMT" w:hAnsi="TimesNewRomanPSMT" w:cs="TimesNewRomanPSMT"/>
              </w:rPr>
              <w:t xml:space="preserve">26.05 </w:t>
            </w:r>
            <w:r>
              <w:rPr>
                <w:rFonts w:ascii="Times New Roman" w:hAnsi="Times New Roman" w:cs="Times New Roman"/>
              </w:rPr>
              <w:t>± 0.51 (4)</w:t>
            </w:r>
          </w:p>
        </w:tc>
        <w:tc>
          <w:tcPr>
            <w:tcW w:w="1815" w:type="dxa"/>
            <w:vAlign w:val="center"/>
          </w:tcPr>
          <w:p w:rsidR="00CD2202" w:rsidRPr="004F6346" w:rsidRDefault="00255C2F" w:rsidP="00CD2202">
            <w:pPr>
              <w:jc w:val="right"/>
              <w:rPr>
                <w:rFonts w:ascii="TimesNewRomanPSMT" w:hAnsi="TimesNewRomanPSMT" w:cs="TimesNewRomanPSMT"/>
              </w:rPr>
            </w:pPr>
            <w:r>
              <w:rPr>
                <w:rFonts w:ascii="TimesNewRomanPSMT" w:hAnsi="TimesNewRomanPSMT" w:cs="TimesNewRomanPSMT"/>
              </w:rPr>
              <w:t>24.26</w:t>
            </w:r>
            <w:r w:rsidR="00CD2202">
              <w:rPr>
                <w:rFonts w:ascii="TimesNewRomanPSMT" w:hAnsi="TimesNewRomanPSMT" w:cs="TimesNewRomanPSMT"/>
              </w:rPr>
              <w:t xml:space="preserve"> </w:t>
            </w:r>
            <w:r>
              <w:rPr>
                <w:rFonts w:ascii="Times New Roman" w:hAnsi="Times New Roman" w:cs="Times New Roman"/>
              </w:rPr>
              <w:t>± 0.20</w:t>
            </w:r>
            <w:r w:rsidR="00CD2202">
              <w:rPr>
                <w:rFonts w:ascii="Times New Roman" w:hAnsi="Times New Roman" w:cs="Times New Roman"/>
              </w:rPr>
              <w:t xml:space="preserve"> (3)</w:t>
            </w:r>
          </w:p>
        </w:tc>
      </w:tr>
      <w:tr w:rsidR="00CD2202" w:rsidTr="00A77F4C">
        <w:trPr>
          <w:trHeight w:val="572"/>
        </w:trPr>
        <w:tc>
          <w:tcPr>
            <w:tcW w:w="378" w:type="dxa"/>
            <w:vMerge/>
            <w:textDirection w:val="btLr"/>
            <w:vAlign w:val="center"/>
          </w:tcPr>
          <w:p w:rsidR="00CD2202" w:rsidRDefault="00CD2202" w:rsidP="00CD2202">
            <w:pPr>
              <w:ind w:left="113" w:right="113"/>
              <w:jc w:val="center"/>
              <w:rPr>
                <w:rFonts w:ascii="TimesNewRomanPSMT" w:hAnsi="TimesNewRomanPSMT" w:cs="TimesNewRomanPSMT"/>
                <w:b/>
              </w:rPr>
            </w:pPr>
          </w:p>
        </w:tc>
        <w:tc>
          <w:tcPr>
            <w:tcW w:w="3420" w:type="dxa"/>
            <w:vAlign w:val="center"/>
          </w:tcPr>
          <w:p w:rsidR="00CD2202" w:rsidRPr="008B588E" w:rsidRDefault="00CD2202" w:rsidP="00CD2202">
            <w:pPr>
              <w:rPr>
                <w:rFonts w:ascii="TimesNewRomanPSMT" w:hAnsi="TimesNewRomanPSMT" w:cs="TimesNewRomanPSMT"/>
              </w:rPr>
            </w:pPr>
            <w:r>
              <w:rPr>
                <w:rFonts w:ascii="TimesNewRomanPSMT" w:hAnsi="TimesNewRomanPSMT" w:cs="TimesNewRomanPSMT"/>
              </w:rPr>
              <w:t>No drumming, restricted foraging</w:t>
            </w:r>
          </w:p>
        </w:tc>
        <w:tc>
          <w:tcPr>
            <w:tcW w:w="1814" w:type="dxa"/>
            <w:vAlign w:val="center"/>
          </w:tcPr>
          <w:p w:rsidR="00CD2202" w:rsidRPr="004F6346" w:rsidRDefault="00CD2202" w:rsidP="00CD2202">
            <w:pPr>
              <w:jc w:val="right"/>
              <w:rPr>
                <w:rFonts w:ascii="TimesNewRomanPSMT" w:hAnsi="TimesNewRomanPSMT" w:cs="TimesNewRomanPSMT"/>
              </w:rPr>
            </w:pPr>
            <w:r>
              <w:rPr>
                <w:rFonts w:ascii="TimesNewRomanPSMT" w:hAnsi="TimesNewRomanPSMT" w:cs="TimesNewRomanPSMT"/>
              </w:rPr>
              <w:t xml:space="preserve">25.12 </w:t>
            </w:r>
            <w:r>
              <w:rPr>
                <w:rFonts w:ascii="Times New Roman" w:hAnsi="Times New Roman" w:cs="Times New Roman"/>
              </w:rPr>
              <w:t>± 0.79 (7)</w:t>
            </w:r>
          </w:p>
        </w:tc>
        <w:tc>
          <w:tcPr>
            <w:tcW w:w="1815" w:type="dxa"/>
            <w:shd w:val="clear" w:color="auto" w:fill="D9D9D9" w:themeFill="background1" w:themeFillShade="D9"/>
            <w:vAlign w:val="center"/>
          </w:tcPr>
          <w:p w:rsidR="00CD2202" w:rsidRPr="004F6346" w:rsidRDefault="00CD2202" w:rsidP="00CD2202">
            <w:pPr>
              <w:jc w:val="right"/>
              <w:rPr>
                <w:rFonts w:ascii="TimesNewRomanPSMT" w:hAnsi="TimesNewRomanPSMT" w:cs="TimesNewRomanPSMT"/>
              </w:rPr>
            </w:pPr>
          </w:p>
        </w:tc>
        <w:tc>
          <w:tcPr>
            <w:tcW w:w="1815" w:type="dxa"/>
            <w:vAlign w:val="center"/>
          </w:tcPr>
          <w:p w:rsidR="00CD2202" w:rsidRPr="004F6346" w:rsidRDefault="00255C2F" w:rsidP="00CD2202">
            <w:pPr>
              <w:jc w:val="right"/>
              <w:rPr>
                <w:rFonts w:ascii="TimesNewRomanPSMT" w:hAnsi="TimesNewRomanPSMT" w:cs="TimesNewRomanPSMT"/>
              </w:rPr>
            </w:pPr>
            <w:r>
              <w:rPr>
                <w:rFonts w:ascii="TimesNewRomanPSMT" w:hAnsi="TimesNewRomanPSMT" w:cs="TimesNewRomanPSMT"/>
              </w:rPr>
              <w:t>25.12</w:t>
            </w:r>
            <w:r w:rsidR="00CD2202">
              <w:rPr>
                <w:rFonts w:ascii="TimesNewRomanPSMT" w:hAnsi="TimesNewRomanPSMT" w:cs="TimesNewRomanPSMT"/>
              </w:rPr>
              <w:t xml:space="preserve"> </w:t>
            </w:r>
            <w:r>
              <w:rPr>
                <w:rFonts w:ascii="Times New Roman" w:hAnsi="Times New Roman" w:cs="Times New Roman"/>
              </w:rPr>
              <w:t>± 0.79</w:t>
            </w:r>
            <w:r w:rsidR="00CD2202">
              <w:rPr>
                <w:rFonts w:ascii="Times New Roman" w:hAnsi="Times New Roman" w:cs="Times New Roman"/>
              </w:rPr>
              <w:t xml:space="preserve"> (7)</w:t>
            </w:r>
          </w:p>
        </w:tc>
      </w:tr>
      <w:tr w:rsidR="00CD2202" w:rsidTr="00A77F4C">
        <w:trPr>
          <w:trHeight w:val="572"/>
        </w:trPr>
        <w:tc>
          <w:tcPr>
            <w:tcW w:w="378" w:type="dxa"/>
            <w:vMerge/>
            <w:tcBorders>
              <w:bottom w:val="single" w:sz="4" w:space="0" w:color="auto"/>
            </w:tcBorders>
            <w:textDirection w:val="btLr"/>
            <w:vAlign w:val="center"/>
          </w:tcPr>
          <w:p w:rsidR="00CD2202" w:rsidRDefault="00CD2202" w:rsidP="00CD2202">
            <w:pPr>
              <w:ind w:left="113" w:right="113"/>
              <w:jc w:val="center"/>
              <w:rPr>
                <w:rFonts w:ascii="TimesNewRomanPSMT" w:hAnsi="TimesNewRomanPSMT" w:cs="TimesNewRomanPSMT"/>
                <w:b/>
              </w:rPr>
            </w:pPr>
          </w:p>
        </w:tc>
        <w:tc>
          <w:tcPr>
            <w:tcW w:w="3420" w:type="dxa"/>
            <w:tcBorders>
              <w:bottom w:val="single" w:sz="4" w:space="0" w:color="auto"/>
            </w:tcBorders>
            <w:vAlign w:val="center"/>
          </w:tcPr>
          <w:p w:rsidR="00CD2202" w:rsidRPr="008B588E" w:rsidRDefault="00CD2202" w:rsidP="00CD2202">
            <w:pPr>
              <w:rPr>
                <w:rFonts w:ascii="TimesNewRomanPSMT" w:hAnsi="TimesNewRomanPSMT" w:cs="TimesNewRomanPSMT"/>
              </w:rPr>
            </w:pPr>
            <w:r>
              <w:rPr>
                <w:rFonts w:ascii="TimesNewRomanPSMT" w:hAnsi="TimesNewRomanPSMT" w:cs="TimesNewRomanPSMT"/>
              </w:rPr>
              <w:t>Drumming, restricted foraging</w:t>
            </w:r>
          </w:p>
        </w:tc>
        <w:tc>
          <w:tcPr>
            <w:tcW w:w="1814" w:type="dxa"/>
            <w:tcBorders>
              <w:bottom w:val="single" w:sz="4" w:space="0" w:color="auto"/>
            </w:tcBorders>
            <w:vAlign w:val="center"/>
          </w:tcPr>
          <w:p w:rsidR="00CD2202" w:rsidRPr="004F6346" w:rsidRDefault="00CD2202" w:rsidP="00CD2202">
            <w:pPr>
              <w:jc w:val="right"/>
              <w:rPr>
                <w:rFonts w:ascii="TimesNewRomanPSMT" w:hAnsi="TimesNewRomanPSMT" w:cs="TimesNewRomanPSMT"/>
              </w:rPr>
            </w:pPr>
            <w:r>
              <w:rPr>
                <w:rFonts w:ascii="TimesNewRomanPSMT" w:hAnsi="TimesNewRomanPSMT" w:cs="TimesNewRomanPSMT"/>
              </w:rPr>
              <w:t xml:space="preserve">24.94 </w:t>
            </w:r>
            <w:r>
              <w:rPr>
                <w:rFonts w:ascii="Times New Roman" w:hAnsi="Times New Roman" w:cs="Times New Roman"/>
              </w:rPr>
              <w:t>± 0.51 (3)</w:t>
            </w:r>
          </w:p>
        </w:tc>
        <w:tc>
          <w:tcPr>
            <w:tcW w:w="1815" w:type="dxa"/>
            <w:tcBorders>
              <w:bottom w:val="single" w:sz="4" w:space="0" w:color="auto"/>
            </w:tcBorders>
            <w:shd w:val="clear" w:color="auto" w:fill="D9D9D9" w:themeFill="background1" w:themeFillShade="D9"/>
            <w:vAlign w:val="center"/>
          </w:tcPr>
          <w:p w:rsidR="00CD2202" w:rsidRPr="004F6346" w:rsidRDefault="00CD2202" w:rsidP="00CD2202">
            <w:pPr>
              <w:jc w:val="right"/>
              <w:rPr>
                <w:rFonts w:ascii="TimesNewRomanPSMT" w:hAnsi="TimesNewRomanPSMT" w:cs="TimesNewRomanPSMT"/>
              </w:rPr>
            </w:pPr>
          </w:p>
        </w:tc>
        <w:tc>
          <w:tcPr>
            <w:tcW w:w="1815" w:type="dxa"/>
            <w:tcBorders>
              <w:bottom w:val="single" w:sz="4" w:space="0" w:color="auto"/>
            </w:tcBorders>
            <w:vAlign w:val="center"/>
          </w:tcPr>
          <w:p w:rsidR="00CD2202" w:rsidRPr="004F6346" w:rsidRDefault="00255C2F" w:rsidP="00CD2202">
            <w:pPr>
              <w:jc w:val="right"/>
              <w:rPr>
                <w:rFonts w:ascii="TimesNewRomanPSMT" w:hAnsi="TimesNewRomanPSMT" w:cs="TimesNewRomanPSMT"/>
              </w:rPr>
            </w:pPr>
            <w:r>
              <w:rPr>
                <w:rFonts w:ascii="TimesNewRomanPSMT" w:hAnsi="TimesNewRomanPSMT" w:cs="TimesNewRomanPSMT"/>
              </w:rPr>
              <w:t>24.94</w:t>
            </w:r>
            <w:r w:rsidR="00CD2202">
              <w:rPr>
                <w:rFonts w:ascii="TimesNewRomanPSMT" w:hAnsi="TimesNewRomanPSMT" w:cs="TimesNewRomanPSMT"/>
              </w:rPr>
              <w:t xml:space="preserve"> </w:t>
            </w:r>
            <w:r>
              <w:rPr>
                <w:rFonts w:ascii="Times New Roman" w:hAnsi="Times New Roman" w:cs="Times New Roman"/>
              </w:rPr>
              <w:t>± 0.51</w:t>
            </w:r>
            <w:r w:rsidR="00CD2202">
              <w:rPr>
                <w:rFonts w:ascii="Times New Roman" w:hAnsi="Times New Roman" w:cs="Times New Roman"/>
              </w:rPr>
              <w:t xml:space="preserve"> (3)</w:t>
            </w:r>
          </w:p>
        </w:tc>
      </w:tr>
      <w:tr w:rsidR="00255C2F" w:rsidTr="00A77F4C">
        <w:trPr>
          <w:trHeight w:val="572"/>
        </w:trPr>
        <w:tc>
          <w:tcPr>
            <w:tcW w:w="378" w:type="dxa"/>
            <w:vMerge w:val="restart"/>
            <w:tcBorders>
              <w:top w:val="single" w:sz="4" w:space="0" w:color="auto"/>
            </w:tcBorders>
            <w:textDirection w:val="btLr"/>
            <w:vAlign w:val="center"/>
          </w:tcPr>
          <w:p w:rsidR="00255C2F" w:rsidRDefault="00255C2F" w:rsidP="00255C2F">
            <w:pPr>
              <w:ind w:left="113" w:right="113"/>
              <w:jc w:val="center"/>
              <w:rPr>
                <w:rFonts w:ascii="TimesNewRomanPSMT" w:hAnsi="TimesNewRomanPSMT" w:cs="TimesNewRomanPSMT"/>
                <w:i/>
              </w:rPr>
            </w:pPr>
            <w:r>
              <w:rPr>
                <w:rFonts w:ascii="TimesNewRomanPSMT" w:hAnsi="TimesNewRomanPSMT" w:cs="TimesNewRomanPSMT"/>
                <w:i/>
              </w:rPr>
              <w:t>ribosomal protein-49</w:t>
            </w:r>
          </w:p>
        </w:tc>
        <w:tc>
          <w:tcPr>
            <w:tcW w:w="3420" w:type="dxa"/>
            <w:tcBorders>
              <w:top w:val="single" w:sz="4" w:space="0" w:color="auto"/>
            </w:tcBorders>
            <w:vAlign w:val="center"/>
          </w:tcPr>
          <w:p w:rsidR="00255C2F" w:rsidRDefault="00255C2F" w:rsidP="00255C2F">
            <w:pPr>
              <w:rPr>
                <w:rFonts w:ascii="TimesNewRomanPSMT" w:hAnsi="TimesNewRomanPSMT" w:cs="TimesNewRomanPSMT"/>
              </w:rPr>
            </w:pPr>
            <w:r>
              <w:rPr>
                <w:rFonts w:ascii="TimesNewRomanPSMT" w:hAnsi="TimesNewRomanPSMT" w:cs="TimesNewRomanPSMT"/>
              </w:rPr>
              <w:t>Foundress-reared</w:t>
            </w:r>
          </w:p>
        </w:tc>
        <w:tc>
          <w:tcPr>
            <w:tcW w:w="1814" w:type="dxa"/>
            <w:tcBorders>
              <w:top w:val="single" w:sz="4" w:space="0" w:color="auto"/>
            </w:tcBorders>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32.59 </w:t>
            </w:r>
            <w:r>
              <w:rPr>
                <w:rFonts w:ascii="Times New Roman" w:hAnsi="Times New Roman" w:cs="Times New Roman"/>
              </w:rPr>
              <w:t>± 1.28 (21)</w:t>
            </w:r>
          </w:p>
        </w:tc>
        <w:tc>
          <w:tcPr>
            <w:tcW w:w="1815" w:type="dxa"/>
            <w:tcBorders>
              <w:top w:val="single" w:sz="4" w:space="0" w:color="auto"/>
            </w:tcBorders>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34.23 </w:t>
            </w:r>
            <w:r>
              <w:rPr>
                <w:rFonts w:ascii="Times New Roman" w:hAnsi="Times New Roman" w:cs="Times New Roman"/>
              </w:rPr>
              <w:t>± 0.16 (5)</w:t>
            </w:r>
          </w:p>
        </w:tc>
        <w:tc>
          <w:tcPr>
            <w:tcW w:w="1815" w:type="dxa"/>
            <w:tcBorders>
              <w:top w:val="single" w:sz="4" w:space="0" w:color="auto"/>
            </w:tcBorders>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32.08 </w:t>
            </w:r>
            <w:r>
              <w:rPr>
                <w:rFonts w:ascii="Times New Roman" w:hAnsi="Times New Roman" w:cs="Times New Roman"/>
              </w:rPr>
              <w:t>± 1.67 (16)</w:t>
            </w:r>
          </w:p>
        </w:tc>
      </w:tr>
      <w:tr w:rsidR="00255C2F" w:rsidTr="00A77F4C">
        <w:trPr>
          <w:trHeight w:val="572"/>
        </w:trPr>
        <w:tc>
          <w:tcPr>
            <w:tcW w:w="378" w:type="dxa"/>
            <w:vMerge/>
            <w:textDirection w:val="btLr"/>
            <w:vAlign w:val="center"/>
          </w:tcPr>
          <w:p w:rsidR="00255C2F" w:rsidRDefault="00255C2F" w:rsidP="00255C2F">
            <w:pPr>
              <w:ind w:left="113" w:right="113"/>
              <w:jc w:val="center"/>
              <w:rPr>
                <w:rFonts w:ascii="TimesNewRomanPSMT" w:hAnsi="TimesNewRomanPSMT" w:cs="TimesNewRomanPSMT"/>
                <w:b/>
              </w:rPr>
            </w:pPr>
          </w:p>
        </w:tc>
        <w:tc>
          <w:tcPr>
            <w:tcW w:w="3420" w:type="dxa"/>
            <w:vAlign w:val="center"/>
          </w:tcPr>
          <w:p w:rsidR="00255C2F" w:rsidRDefault="00255C2F" w:rsidP="00255C2F">
            <w:pPr>
              <w:rPr>
                <w:rFonts w:ascii="TimesNewRomanPSMT" w:hAnsi="TimesNewRomanPSMT" w:cs="TimesNewRomanPSMT"/>
                <w:b/>
              </w:rPr>
            </w:pPr>
            <w:r>
              <w:rPr>
                <w:rFonts w:ascii="TimesNewRomanPSMT" w:hAnsi="TimesNewRomanPSMT" w:cs="TimesNewRomanPSMT"/>
              </w:rPr>
              <w:t>No drumming, u</w:t>
            </w:r>
            <w:r w:rsidRPr="008B588E">
              <w:rPr>
                <w:rFonts w:ascii="TimesNewRomanPSMT" w:hAnsi="TimesNewRomanPSMT" w:cs="TimesNewRomanPSMT"/>
              </w:rPr>
              <w:t xml:space="preserve">nrestricted foraging </w:t>
            </w:r>
          </w:p>
        </w:tc>
        <w:tc>
          <w:tcPr>
            <w:tcW w:w="1814" w:type="dxa"/>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33.97 </w:t>
            </w:r>
            <w:r>
              <w:rPr>
                <w:rFonts w:ascii="Times New Roman" w:hAnsi="Times New Roman" w:cs="Times New Roman"/>
              </w:rPr>
              <w:t>± 0.40 (9)</w:t>
            </w:r>
          </w:p>
        </w:tc>
        <w:tc>
          <w:tcPr>
            <w:tcW w:w="1815" w:type="dxa"/>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33.81 </w:t>
            </w:r>
            <w:r>
              <w:rPr>
                <w:rFonts w:ascii="Times New Roman" w:hAnsi="Times New Roman" w:cs="Times New Roman"/>
              </w:rPr>
              <w:t>± 0.74 (5)</w:t>
            </w:r>
          </w:p>
        </w:tc>
        <w:tc>
          <w:tcPr>
            <w:tcW w:w="1815" w:type="dxa"/>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34.16 </w:t>
            </w:r>
            <w:r>
              <w:rPr>
                <w:rFonts w:ascii="Times New Roman" w:hAnsi="Times New Roman" w:cs="Times New Roman"/>
              </w:rPr>
              <w:t>± 0.10 (4)</w:t>
            </w:r>
          </w:p>
        </w:tc>
      </w:tr>
      <w:tr w:rsidR="00255C2F" w:rsidTr="00A77F4C">
        <w:trPr>
          <w:trHeight w:val="572"/>
        </w:trPr>
        <w:tc>
          <w:tcPr>
            <w:tcW w:w="378" w:type="dxa"/>
            <w:vMerge/>
            <w:textDirection w:val="btLr"/>
            <w:vAlign w:val="center"/>
          </w:tcPr>
          <w:p w:rsidR="00255C2F" w:rsidRDefault="00255C2F" w:rsidP="00255C2F">
            <w:pPr>
              <w:ind w:left="113" w:right="113"/>
              <w:jc w:val="center"/>
              <w:rPr>
                <w:rFonts w:ascii="TimesNewRomanPSMT" w:hAnsi="TimesNewRomanPSMT" w:cs="TimesNewRomanPSMT"/>
                <w:i/>
              </w:rPr>
            </w:pPr>
          </w:p>
        </w:tc>
        <w:tc>
          <w:tcPr>
            <w:tcW w:w="3420" w:type="dxa"/>
            <w:vAlign w:val="center"/>
          </w:tcPr>
          <w:p w:rsidR="00255C2F" w:rsidRDefault="00255C2F" w:rsidP="00255C2F">
            <w:pPr>
              <w:rPr>
                <w:rFonts w:ascii="TimesNewRomanPSMT" w:hAnsi="TimesNewRomanPSMT" w:cs="TimesNewRomanPSMT"/>
                <w:b/>
              </w:rPr>
            </w:pPr>
            <w:r>
              <w:rPr>
                <w:rFonts w:ascii="TimesNewRomanPSMT" w:hAnsi="TimesNewRomanPSMT" w:cs="TimesNewRomanPSMT"/>
              </w:rPr>
              <w:t>Drumming, unrestricted foraging</w:t>
            </w:r>
          </w:p>
        </w:tc>
        <w:tc>
          <w:tcPr>
            <w:tcW w:w="1814" w:type="dxa"/>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34.02 </w:t>
            </w:r>
            <w:r>
              <w:rPr>
                <w:rFonts w:ascii="Times New Roman" w:hAnsi="Times New Roman" w:cs="Times New Roman"/>
              </w:rPr>
              <w:t>± 0.35 (7)</w:t>
            </w:r>
          </w:p>
        </w:tc>
        <w:tc>
          <w:tcPr>
            <w:tcW w:w="1815" w:type="dxa"/>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34.53 </w:t>
            </w:r>
            <w:r>
              <w:rPr>
                <w:rFonts w:ascii="Times New Roman" w:hAnsi="Times New Roman" w:cs="Times New Roman"/>
              </w:rPr>
              <w:t>± 0.42 (4)</w:t>
            </w:r>
          </w:p>
        </w:tc>
        <w:tc>
          <w:tcPr>
            <w:tcW w:w="1815" w:type="dxa"/>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33.34 </w:t>
            </w:r>
            <w:r>
              <w:rPr>
                <w:rFonts w:ascii="Times New Roman" w:hAnsi="Times New Roman" w:cs="Times New Roman"/>
              </w:rPr>
              <w:t>± 0.31 (3)</w:t>
            </w:r>
          </w:p>
        </w:tc>
      </w:tr>
      <w:tr w:rsidR="00255C2F" w:rsidTr="00A77F4C">
        <w:trPr>
          <w:trHeight w:val="572"/>
        </w:trPr>
        <w:tc>
          <w:tcPr>
            <w:tcW w:w="378" w:type="dxa"/>
            <w:vMerge/>
            <w:textDirection w:val="btLr"/>
            <w:vAlign w:val="center"/>
          </w:tcPr>
          <w:p w:rsidR="00255C2F" w:rsidRDefault="00255C2F" w:rsidP="00255C2F">
            <w:pPr>
              <w:ind w:left="113" w:right="113"/>
              <w:jc w:val="center"/>
              <w:rPr>
                <w:rFonts w:ascii="TimesNewRomanPSMT" w:hAnsi="TimesNewRomanPSMT" w:cs="TimesNewRomanPSMT"/>
                <w:i/>
              </w:rPr>
            </w:pPr>
          </w:p>
        </w:tc>
        <w:tc>
          <w:tcPr>
            <w:tcW w:w="3420" w:type="dxa"/>
            <w:vAlign w:val="center"/>
          </w:tcPr>
          <w:p w:rsidR="00255C2F" w:rsidRDefault="00255C2F" w:rsidP="00255C2F">
            <w:pPr>
              <w:rPr>
                <w:rFonts w:ascii="TimesNewRomanPSMT" w:hAnsi="TimesNewRomanPSMT" w:cs="TimesNewRomanPSMT"/>
                <w:b/>
              </w:rPr>
            </w:pPr>
            <w:r>
              <w:rPr>
                <w:rFonts w:ascii="TimesNewRomanPSMT" w:hAnsi="TimesNewRomanPSMT" w:cs="TimesNewRomanPSMT"/>
              </w:rPr>
              <w:t>No drumming, restricted foraging</w:t>
            </w:r>
          </w:p>
        </w:tc>
        <w:tc>
          <w:tcPr>
            <w:tcW w:w="1814" w:type="dxa"/>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31.56 </w:t>
            </w:r>
            <w:r>
              <w:rPr>
                <w:rFonts w:ascii="Times New Roman" w:hAnsi="Times New Roman" w:cs="Times New Roman"/>
              </w:rPr>
              <w:t>± 1.70 (7)</w:t>
            </w:r>
          </w:p>
        </w:tc>
        <w:tc>
          <w:tcPr>
            <w:tcW w:w="1815" w:type="dxa"/>
            <w:shd w:val="clear" w:color="auto" w:fill="D9D9D9" w:themeFill="background1" w:themeFillShade="D9"/>
            <w:vAlign w:val="center"/>
          </w:tcPr>
          <w:p w:rsidR="00255C2F" w:rsidRPr="004F6346" w:rsidRDefault="00255C2F" w:rsidP="00255C2F">
            <w:pPr>
              <w:jc w:val="right"/>
              <w:rPr>
                <w:rFonts w:ascii="TimesNewRomanPSMT" w:hAnsi="TimesNewRomanPSMT" w:cs="TimesNewRomanPSMT"/>
              </w:rPr>
            </w:pPr>
          </w:p>
        </w:tc>
        <w:tc>
          <w:tcPr>
            <w:tcW w:w="1815" w:type="dxa"/>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31.56 </w:t>
            </w:r>
            <w:r>
              <w:rPr>
                <w:rFonts w:ascii="Times New Roman" w:hAnsi="Times New Roman" w:cs="Times New Roman"/>
              </w:rPr>
              <w:t>± 1.70 (7)</w:t>
            </w:r>
          </w:p>
        </w:tc>
      </w:tr>
      <w:tr w:rsidR="00255C2F" w:rsidTr="00A77F4C">
        <w:trPr>
          <w:trHeight w:val="572"/>
        </w:trPr>
        <w:tc>
          <w:tcPr>
            <w:tcW w:w="378" w:type="dxa"/>
            <w:vMerge/>
            <w:tcBorders>
              <w:bottom w:val="single" w:sz="4" w:space="0" w:color="auto"/>
            </w:tcBorders>
            <w:textDirection w:val="btLr"/>
            <w:vAlign w:val="center"/>
          </w:tcPr>
          <w:p w:rsidR="00255C2F" w:rsidRDefault="00255C2F" w:rsidP="00255C2F">
            <w:pPr>
              <w:ind w:left="113" w:right="113"/>
              <w:jc w:val="center"/>
              <w:rPr>
                <w:rFonts w:ascii="TimesNewRomanPSMT" w:hAnsi="TimesNewRomanPSMT" w:cs="TimesNewRomanPSMT"/>
                <w:i/>
              </w:rPr>
            </w:pPr>
          </w:p>
        </w:tc>
        <w:tc>
          <w:tcPr>
            <w:tcW w:w="3420" w:type="dxa"/>
            <w:tcBorders>
              <w:bottom w:val="single" w:sz="4" w:space="0" w:color="auto"/>
            </w:tcBorders>
            <w:vAlign w:val="center"/>
          </w:tcPr>
          <w:p w:rsidR="00255C2F" w:rsidRDefault="00255C2F" w:rsidP="00255C2F">
            <w:pPr>
              <w:rPr>
                <w:rFonts w:ascii="TimesNewRomanPSMT" w:hAnsi="TimesNewRomanPSMT" w:cs="TimesNewRomanPSMT"/>
                <w:b/>
              </w:rPr>
            </w:pPr>
            <w:r>
              <w:rPr>
                <w:rFonts w:ascii="TimesNewRomanPSMT" w:hAnsi="TimesNewRomanPSMT" w:cs="TimesNewRomanPSMT"/>
              </w:rPr>
              <w:t>Drumming, restricted foraging</w:t>
            </w:r>
          </w:p>
        </w:tc>
        <w:tc>
          <w:tcPr>
            <w:tcW w:w="1814" w:type="dxa"/>
            <w:tcBorders>
              <w:bottom w:val="single" w:sz="4" w:space="0" w:color="auto"/>
            </w:tcBorders>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34.29 </w:t>
            </w:r>
            <w:r>
              <w:rPr>
                <w:rFonts w:ascii="Times New Roman" w:hAnsi="Times New Roman" w:cs="Times New Roman"/>
              </w:rPr>
              <w:t>± 0.67 (3)</w:t>
            </w:r>
          </w:p>
        </w:tc>
        <w:tc>
          <w:tcPr>
            <w:tcW w:w="1815" w:type="dxa"/>
            <w:tcBorders>
              <w:bottom w:val="single" w:sz="4" w:space="0" w:color="auto"/>
            </w:tcBorders>
            <w:shd w:val="clear" w:color="auto" w:fill="D9D9D9" w:themeFill="background1" w:themeFillShade="D9"/>
            <w:vAlign w:val="center"/>
          </w:tcPr>
          <w:p w:rsidR="00255C2F" w:rsidRPr="004F6346" w:rsidRDefault="00255C2F" w:rsidP="00255C2F">
            <w:pPr>
              <w:jc w:val="right"/>
              <w:rPr>
                <w:rFonts w:ascii="TimesNewRomanPSMT" w:hAnsi="TimesNewRomanPSMT" w:cs="TimesNewRomanPSMT"/>
              </w:rPr>
            </w:pPr>
          </w:p>
        </w:tc>
        <w:tc>
          <w:tcPr>
            <w:tcW w:w="1815" w:type="dxa"/>
            <w:tcBorders>
              <w:bottom w:val="single" w:sz="4" w:space="0" w:color="auto"/>
            </w:tcBorders>
            <w:vAlign w:val="center"/>
          </w:tcPr>
          <w:p w:rsidR="00255C2F" w:rsidRPr="004F6346" w:rsidRDefault="00255C2F" w:rsidP="00255C2F">
            <w:pPr>
              <w:jc w:val="right"/>
              <w:rPr>
                <w:rFonts w:ascii="TimesNewRomanPSMT" w:hAnsi="TimesNewRomanPSMT" w:cs="TimesNewRomanPSMT"/>
              </w:rPr>
            </w:pPr>
            <w:r>
              <w:rPr>
                <w:rFonts w:ascii="TimesNewRomanPSMT" w:hAnsi="TimesNewRomanPSMT" w:cs="TimesNewRomanPSMT"/>
              </w:rPr>
              <w:t xml:space="preserve">34.29 </w:t>
            </w:r>
            <w:r>
              <w:rPr>
                <w:rFonts w:ascii="Times New Roman" w:hAnsi="Times New Roman" w:cs="Times New Roman"/>
              </w:rPr>
              <w:t>± 0.67 (3)</w:t>
            </w:r>
          </w:p>
        </w:tc>
      </w:tr>
    </w:tbl>
    <w:p w:rsidR="002F2CBE" w:rsidRPr="00F90393" w:rsidRDefault="002F2CBE" w:rsidP="00F90393"/>
    <w:sectPr w:rsidR="002F2CBE" w:rsidRPr="00F90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12"/>
    <w:rsid w:val="0006225A"/>
    <w:rsid w:val="0009218E"/>
    <w:rsid w:val="00255C2F"/>
    <w:rsid w:val="002F2CBE"/>
    <w:rsid w:val="003E7412"/>
    <w:rsid w:val="00511A42"/>
    <w:rsid w:val="00621687"/>
    <w:rsid w:val="00666472"/>
    <w:rsid w:val="008027FC"/>
    <w:rsid w:val="00880652"/>
    <w:rsid w:val="00A77F4C"/>
    <w:rsid w:val="00C9047F"/>
    <w:rsid w:val="00CD2202"/>
    <w:rsid w:val="00F903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A72E"/>
  <w15:chartTrackingRefBased/>
  <w15:docId w15:val="{A3FEE3DB-75A6-4F7E-B508-4091D415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C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Jandt</dc:creator>
  <cp:keywords/>
  <dc:description/>
  <cp:lastModifiedBy>Jandt</cp:lastModifiedBy>
  <cp:revision>5</cp:revision>
  <dcterms:created xsi:type="dcterms:W3CDTF">2017-02-20T07:46:00Z</dcterms:created>
  <dcterms:modified xsi:type="dcterms:W3CDTF">2017-03-28T01:39:00Z</dcterms:modified>
</cp:coreProperties>
</file>