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31" w:rsidRPr="00A5065F" w:rsidRDefault="00F31131" w:rsidP="00B715FE">
      <w:pPr>
        <w:spacing w:line="480" w:lineRule="auto"/>
        <w:jc w:val="both"/>
        <w:rPr>
          <w:rFonts w:ascii="Times New Roman" w:hAnsi="Times New Roman"/>
          <w:b/>
          <w:sz w:val="24"/>
          <w:szCs w:val="24"/>
        </w:rPr>
      </w:pPr>
      <w:r>
        <w:rPr>
          <w:rFonts w:ascii="Times New Roman" w:hAnsi="Times New Roman"/>
          <w:b/>
          <w:sz w:val="24"/>
          <w:szCs w:val="24"/>
        </w:rPr>
        <w:t>Profiling of Sputum Inflammatory Mediators in Asthma and Chronic Obstructive Pulmonary Disease</w:t>
      </w:r>
    </w:p>
    <w:p w:rsidR="00F31131" w:rsidRPr="00A5065F" w:rsidRDefault="00F31131" w:rsidP="00B715FE">
      <w:pPr>
        <w:spacing w:line="480" w:lineRule="auto"/>
        <w:jc w:val="both"/>
        <w:rPr>
          <w:rFonts w:ascii="Times New Roman" w:hAnsi="Times New Roman"/>
          <w:sz w:val="24"/>
          <w:szCs w:val="24"/>
          <w:vertAlign w:val="superscript"/>
        </w:rPr>
      </w:pPr>
      <w:r w:rsidRPr="00A5065F">
        <w:rPr>
          <w:rFonts w:ascii="Times New Roman" w:hAnsi="Times New Roman"/>
          <w:sz w:val="24"/>
          <w:szCs w:val="24"/>
        </w:rPr>
        <w:t>M Bafadhel</w:t>
      </w:r>
      <w:r w:rsidRPr="00A5065F">
        <w:rPr>
          <w:rFonts w:ascii="Times New Roman" w:hAnsi="Times New Roman"/>
          <w:sz w:val="24"/>
          <w:szCs w:val="24"/>
          <w:vertAlign w:val="superscript"/>
        </w:rPr>
        <w:t>1</w:t>
      </w:r>
      <w:r w:rsidRPr="00A5065F">
        <w:rPr>
          <w:rFonts w:ascii="Times New Roman" w:hAnsi="Times New Roman"/>
          <w:sz w:val="24"/>
          <w:szCs w:val="24"/>
        </w:rPr>
        <w:t>, M McCormick</w:t>
      </w:r>
      <w:r w:rsidRPr="00A5065F">
        <w:rPr>
          <w:rFonts w:ascii="Times New Roman" w:hAnsi="Times New Roman"/>
          <w:sz w:val="24"/>
          <w:szCs w:val="24"/>
          <w:vertAlign w:val="superscript"/>
        </w:rPr>
        <w:t>2</w:t>
      </w:r>
      <w:r w:rsidRPr="00A5065F">
        <w:rPr>
          <w:rFonts w:ascii="Times New Roman" w:hAnsi="Times New Roman"/>
          <w:sz w:val="24"/>
          <w:szCs w:val="24"/>
        </w:rPr>
        <w:t>, S Saha</w:t>
      </w:r>
      <w:r>
        <w:rPr>
          <w:rFonts w:ascii="Times New Roman" w:hAnsi="Times New Roman"/>
          <w:sz w:val="24"/>
          <w:szCs w:val="24"/>
          <w:vertAlign w:val="superscript"/>
        </w:rPr>
        <w:t>3</w:t>
      </w:r>
      <w:r w:rsidRPr="00A5065F">
        <w:rPr>
          <w:rFonts w:ascii="Times New Roman" w:hAnsi="Times New Roman"/>
          <w:sz w:val="24"/>
          <w:szCs w:val="24"/>
        </w:rPr>
        <w:t>, S McKenna</w:t>
      </w:r>
      <w:r w:rsidRPr="00A5065F">
        <w:rPr>
          <w:rFonts w:ascii="Times New Roman" w:hAnsi="Times New Roman"/>
          <w:sz w:val="24"/>
          <w:szCs w:val="24"/>
          <w:vertAlign w:val="superscript"/>
        </w:rPr>
        <w:t>1</w:t>
      </w:r>
      <w:r w:rsidRPr="00A5065F">
        <w:rPr>
          <w:rFonts w:ascii="Times New Roman" w:hAnsi="Times New Roman"/>
          <w:sz w:val="24"/>
          <w:szCs w:val="24"/>
        </w:rPr>
        <w:t>, M Shelley</w:t>
      </w:r>
      <w:r w:rsidRPr="00A5065F">
        <w:rPr>
          <w:rFonts w:ascii="Times New Roman" w:hAnsi="Times New Roman"/>
          <w:sz w:val="24"/>
          <w:szCs w:val="24"/>
          <w:vertAlign w:val="superscript"/>
        </w:rPr>
        <w:t>1</w:t>
      </w:r>
      <w:r w:rsidRPr="00A5065F">
        <w:rPr>
          <w:rFonts w:ascii="Times New Roman" w:hAnsi="Times New Roman"/>
          <w:sz w:val="24"/>
          <w:szCs w:val="24"/>
        </w:rPr>
        <w:t>, B Hargadon</w:t>
      </w:r>
      <w:r w:rsidRPr="00A5065F">
        <w:rPr>
          <w:rFonts w:ascii="Times New Roman" w:hAnsi="Times New Roman"/>
          <w:sz w:val="24"/>
          <w:szCs w:val="24"/>
          <w:vertAlign w:val="superscript"/>
        </w:rPr>
        <w:t>1</w:t>
      </w:r>
      <w:r w:rsidRPr="00A5065F">
        <w:rPr>
          <w:rFonts w:ascii="Times New Roman" w:hAnsi="Times New Roman"/>
          <w:sz w:val="24"/>
          <w:szCs w:val="24"/>
        </w:rPr>
        <w:t>, V Mistry</w:t>
      </w:r>
      <w:r w:rsidRPr="00A5065F">
        <w:rPr>
          <w:rFonts w:ascii="Times New Roman" w:hAnsi="Times New Roman"/>
          <w:sz w:val="24"/>
          <w:szCs w:val="24"/>
          <w:vertAlign w:val="superscript"/>
        </w:rPr>
        <w:t>1</w:t>
      </w:r>
      <w:r w:rsidRPr="00A5065F">
        <w:rPr>
          <w:rFonts w:ascii="Times New Roman" w:hAnsi="Times New Roman"/>
          <w:sz w:val="24"/>
          <w:szCs w:val="24"/>
        </w:rPr>
        <w:t>, C Reid</w:t>
      </w:r>
      <w:r w:rsidRPr="00A5065F">
        <w:rPr>
          <w:rFonts w:ascii="Times New Roman" w:hAnsi="Times New Roman"/>
          <w:sz w:val="24"/>
          <w:szCs w:val="24"/>
          <w:vertAlign w:val="superscript"/>
        </w:rPr>
        <w:t>1</w:t>
      </w:r>
      <w:r w:rsidRPr="00A5065F">
        <w:rPr>
          <w:rFonts w:ascii="Times New Roman" w:hAnsi="Times New Roman"/>
          <w:sz w:val="24"/>
          <w:szCs w:val="24"/>
        </w:rPr>
        <w:t xml:space="preserve">, </w:t>
      </w:r>
      <w:r>
        <w:rPr>
          <w:rFonts w:ascii="Times New Roman" w:hAnsi="Times New Roman"/>
          <w:sz w:val="24"/>
          <w:szCs w:val="24"/>
        </w:rPr>
        <w:t>D Parker</w:t>
      </w:r>
      <w:r>
        <w:rPr>
          <w:rFonts w:ascii="Times New Roman" w:hAnsi="Times New Roman"/>
          <w:sz w:val="24"/>
          <w:szCs w:val="24"/>
          <w:vertAlign w:val="superscript"/>
        </w:rPr>
        <w:t>1</w:t>
      </w:r>
      <w:r>
        <w:rPr>
          <w:rFonts w:ascii="Times New Roman" w:hAnsi="Times New Roman"/>
          <w:sz w:val="24"/>
          <w:szCs w:val="24"/>
        </w:rPr>
        <w:t xml:space="preserve">, </w:t>
      </w:r>
      <w:r w:rsidRPr="00A5065F">
        <w:rPr>
          <w:rFonts w:ascii="Times New Roman" w:hAnsi="Times New Roman"/>
          <w:sz w:val="24"/>
          <w:szCs w:val="24"/>
        </w:rPr>
        <w:t>P Dodson</w:t>
      </w:r>
      <w:r w:rsidRPr="00A5065F">
        <w:rPr>
          <w:rFonts w:ascii="Times New Roman" w:hAnsi="Times New Roman"/>
          <w:sz w:val="24"/>
          <w:szCs w:val="24"/>
          <w:vertAlign w:val="superscript"/>
        </w:rPr>
        <w:t>2</w:t>
      </w:r>
      <w:r w:rsidRPr="00A5065F">
        <w:rPr>
          <w:rFonts w:ascii="Times New Roman" w:hAnsi="Times New Roman"/>
          <w:sz w:val="24"/>
          <w:szCs w:val="24"/>
        </w:rPr>
        <w:t>, M Jenkins</w:t>
      </w:r>
      <w:r w:rsidRPr="00A5065F">
        <w:rPr>
          <w:rFonts w:ascii="Times New Roman" w:hAnsi="Times New Roman"/>
          <w:sz w:val="24"/>
          <w:szCs w:val="24"/>
          <w:vertAlign w:val="superscript"/>
        </w:rPr>
        <w:t>2</w:t>
      </w:r>
      <w:r w:rsidRPr="00A5065F">
        <w:rPr>
          <w:rFonts w:ascii="Times New Roman" w:hAnsi="Times New Roman"/>
          <w:sz w:val="24"/>
          <w:szCs w:val="24"/>
        </w:rPr>
        <w:t xml:space="preserve">, </w:t>
      </w:r>
      <w:r>
        <w:rPr>
          <w:rFonts w:ascii="Times New Roman" w:hAnsi="Times New Roman"/>
          <w:sz w:val="24"/>
          <w:szCs w:val="24"/>
        </w:rPr>
        <w:t xml:space="preserve">A </w:t>
      </w:r>
      <w:r w:rsidRPr="00396361">
        <w:rPr>
          <w:rFonts w:ascii="Times New Roman" w:hAnsi="Times New Roman"/>
          <w:sz w:val="24"/>
          <w:szCs w:val="24"/>
        </w:rPr>
        <w:t>Lloyd</w:t>
      </w:r>
      <w:r>
        <w:rPr>
          <w:rFonts w:ascii="Times New Roman" w:hAnsi="Times New Roman"/>
          <w:sz w:val="24"/>
          <w:szCs w:val="24"/>
          <w:vertAlign w:val="superscript"/>
        </w:rPr>
        <w:t>2</w:t>
      </w:r>
      <w:r>
        <w:rPr>
          <w:rFonts w:ascii="Times New Roman" w:hAnsi="Times New Roman"/>
          <w:sz w:val="24"/>
          <w:szCs w:val="24"/>
        </w:rPr>
        <w:t xml:space="preserve">, </w:t>
      </w:r>
      <w:r w:rsidRPr="00396361">
        <w:rPr>
          <w:rFonts w:ascii="Times New Roman" w:hAnsi="Times New Roman"/>
          <w:sz w:val="24"/>
          <w:szCs w:val="24"/>
        </w:rPr>
        <w:t>P</w:t>
      </w:r>
      <w:r w:rsidRPr="00A5065F">
        <w:rPr>
          <w:rFonts w:ascii="Times New Roman" w:hAnsi="Times New Roman"/>
          <w:sz w:val="24"/>
          <w:szCs w:val="24"/>
        </w:rPr>
        <w:t xml:space="preserve"> Rugman</w:t>
      </w:r>
      <w:r w:rsidRPr="00A5065F">
        <w:rPr>
          <w:rFonts w:ascii="Times New Roman" w:hAnsi="Times New Roman"/>
          <w:sz w:val="24"/>
          <w:szCs w:val="24"/>
          <w:vertAlign w:val="superscript"/>
        </w:rPr>
        <w:t>2</w:t>
      </w:r>
      <w:r w:rsidRPr="00A5065F">
        <w:rPr>
          <w:rFonts w:ascii="Times New Roman" w:hAnsi="Times New Roman"/>
          <w:sz w:val="24"/>
          <w:szCs w:val="24"/>
        </w:rPr>
        <w:t>, Paul Newbold</w:t>
      </w:r>
      <w:r w:rsidRPr="00A5065F">
        <w:rPr>
          <w:rFonts w:ascii="Times New Roman" w:hAnsi="Times New Roman"/>
          <w:sz w:val="24"/>
          <w:szCs w:val="24"/>
          <w:vertAlign w:val="superscript"/>
        </w:rPr>
        <w:t>2</w:t>
      </w:r>
      <w:r w:rsidRPr="00A5065F">
        <w:rPr>
          <w:rFonts w:ascii="Times New Roman" w:hAnsi="Times New Roman"/>
          <w:sz w:val="24"/>
          <w:szCs w:val="24"/>
        </w:rPr>
        <w:t>, CE Brightling</w:t>
      </w:r>
      <w:r w:rsidRPr="00A5065F">
        <w:rPr>
          <w:rFonts w:ascii="Times New Roman" w:hAnsi="Times New Roman"/>
          <w:sz w:val="24"/>
          <w:szCs w:val="24"/>
          <w:vertAlign w:val="superscript"/>
        </w:rPr>
        <w:t>1</w:t>
      </w:r>
    </w:p>
    <w:p w:rsidR="00F31131" w:rsidRPr="00A5065F" w:rsidRDefault="00F31131" w:rsidP="00B715FE">
      <w:pPr>
        <w:spacing w:line="480" w:lineRule="auto"/>
        <w:jc w:val="both"/>
        <w:rPr>
          <w:rFonts w:ascii="Times New Roman" w:hAnsi="Times New Roman"/>
          <w:sz w:val="24"/>
          <w:szCs w:val="24"/>
        </w:rPr>
      </w:pPr>
      <w:r w:rsidRPr="00A5065F">
        <w:rPr>
          <w:rFonts w:ascii="Times New Roman" w:hAnsi="Times New Roman"/>
          <w:sz w:val="24"/>
          <w:szCs w:val="24"/>
          <w:vertAlign w:val="superscript"/>
        </w:rPr>
        <w:t>1</w:t>
      </w:r>
      <w:r w:rsidRPr="00A5065F">
        <w:rPr>
          <w:rFonts w:ascii="Times New Roman" w:hAnsi="Times New Roman"/>
          <w:sz w:val="24"/>
          <w:szCs w:val="24"/>
        </w:rPr>
        <w:t xml:space="preserve">Institute for Lung Health, </w:t>
      </w:r>
      <w:smartTag w:uri="urn:schemas-microsoft-com:office:smarttags" w:element="place">
        <w:smartTag w:uri="urn:schemas-microsoft-com:office:smarttags" w:element="City">
          <w:r w:rsidRPr="00A5065F">
            <w:rPr>
              <w:rFonts w:ascii="Times New Roman" w:hAnsi="Times New Roman"/>
              <w:sz w:val="24"/>
              <w:szCs w:val="24"/>
            </w:rPr>
            <w:t>University of Leicester</w:t>
          </w:r>
        </w:smartTag>
        <w:r w:rsidRPr="00A5065F">
          <w:rPr>
            <w:rFonts w:ascii="Times New Roman" w:hAnsi="Times New Roman"/>
            <w:sz w:val="24"/>
            <w:szCs w:val="24"/>
          </w:rPr>
          <w:t xml:space="preserve">, </w:t>
        </w:r>
        <w:smartTag w:uri="urn:schemas-microsoft-com:office:smarttags" w:element="country-region">
          <w:r w:rsidRPr="00A5065F">
            <w:rPr>
              <w:rFonts w:ascii="Times New Roman" w:hAnsi="Times New Roman"/>
              <w:sz w:val="24"/>
              <w:szCs w:val="24"/>
            </w:rPr>
            <w:t>United Kingdom</w:t>
          </w:r>
        </w:smartTag>
      </w:smartTag>
    </w:p>
    <w:p w:rsidR="00F31131" w:rsidRDefault="00F31131" w:rsidP="00B715FE">
      <w:pPr>
        <w:spacing w:line="480" w:lineRule="auto"/>
        <w:jc w:val="both"/>
        <w:rPr>
          <w:rFonts w:ascii="Times New Roman" w:hAnsi="Times New Roman"/>
          <w:sz w:val="24"/>
          <w:szCs w:val="24"/>
        </w:rPr>
      </w:pPr>
      <w:r w:rsidRPr="00A5065F">
        <w:rPr>
          <w:rFonts w:ascii="Times New Roman" w:hAnsi="Times New Roman"/>
          <w:sz w:val="24"/>
          <w:szCs w:val="24"/>
          <w:vertAlign w:val="superscript"/>
        </w:rPr>
        <w:t>2</w:t>
      </w:r>
      <w:r w:rsidRPr="00A5065F">
        <w:rPr>
          <w:rFonts w:ascii="Times New Roman" w:hAnsi="Times New Roman"/>
          <w:sz w:val="24"/>
          <w:szCs w:val="24"/>
        </w:rPr>
        <w:t xml:space="preserve">AstraZeneca, Charnwood, </w:t>
      </w:r>
      <w:smartTag w:uri="urn:schemas-microsoft-com:office:smarttags" w:element="place">
        <w:smartTag w:uri="urn:schemas-microsoft-com:office:smarttags" w:element="City">
          <w:r w:rsidRPr="00A5065F">
            <w:rPr>
              <w:rFonts w:ascii="Times New Roman" w:hAnsi="Times New Roman"/>
              <w:sz w:val="24"/>
              <w:szCs w:val="24"/>
            </w:rPr>
            <w:t>Loughborough</w:t>
          </w:r>
        </w:smartTag>
        <w:r w:rsidRPr="00A5065F">
          <w:rPr>
            <w:rFonts w:ascii="Times New Roman" w:hAnsi="Times New Roman"/>
            <w:sz w:val="24"/>
            <w:szCs w:val="24"/>
          </w:rPr>
          <w:t xml:space="preserve">, </w:t>
        </w:r>
        <w:smartTag w:uri="urn:schemas-microsoft-com:office:smarttags" w:element="country-region">
          <w:r w:rsidRPr="00A5065F">
            <w:rPr>
              <w:rFonts w:ascii="Times New Roman" w:hAnsi="Times New Roman"/>
              <w:sz w:val="24"/>
              <w:szCs w:val="24"/>
            </w:rPr>
            <w:t>United Kingdom</w:t>
          </w:r>
        </w:smartTag>
      </w:smartTag>
    </w:p>
    <w:p w:rsidR="00F31131" w:rsidRPr="009A453C" w:rsidRDefault="00F31131" w:rsidP="00B715FE">
      <w:pPr>
        <w:spacing w:line="480" w:lineRule="auto"/>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Sheffield Teaching Hospitals NHS Trust, </w:t>
      </w:r>
      <w:smartTag w:uri="urn:schemas-microsoft-com:office:smarttags" w:element="place">
        <w:smartTag w:uri="urn:schemas-microsoft-com:office:smarttags" w:element="City">
          <w:r>
            <w:rPr>
              <w:rFonts w:ascii="Times New Roman" w:hAnsi="Times New Roman"/>
              <w:sz w:val="24"/>
              <w:szCs w:val="24"/>
            </w:rPr>
            <w:t>Sheffield</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United Kingdom</w:t>
          </w:r>
        </w:smartTag>
      </w:smartTag>
    </w:p>
    <w:p w:rsidR="00F31131" w:rsidRPr="00A5065F" w:rsidRDefault="00F31131" w:rsidP="00B715FE">
      <w:pPr>
        <w:spacing w:line="480" w:lineRule="auto"/>
        <w:jc w:val="both"/>
        <w:rPr>
          <w:rFonts w:ascii="Times New Roman" w:hAnsi="Times New Roman"/>
          <w:sz w:val="24"/>
          <w:szCs w:val="24"/>
        </w:rPr>
      </w:pPr>
    </w:p>
    <w:p w:rsidR="00F31131" w:rsidRPr="00A5065F" w:rsidRDefault="00F31131" w:rsidP="00B715FE">
      <w:pPr>
        <w:spacing w:line="480" w:lineRule="auto"/>
        <w:jc w:val="both"/>
        <w:rPr>
          <w:rFonts w:ascii="Times New Roman" w:hAnsi="Times New Roman"/>
          <w:sz w:val="24"/>
          <w:szCs w:val="24"/>
        </w:rPr>
      </w:pPr>
      <w:r w:rsidRPr="00A5065F">
        <w:rPr>
          <w:rFonts w:ascii="Times New Roman" w:hAnsi="Times New Roman"/>
          <w:sz w:val="24"/>
          <w:szCs w:val="24"/>
        </w:rPr>
        <w:t>Address for correspondence and main site of work:</w:t>
      </w:r>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Professor CE Brightling</w:t>
      </w:r>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Institute for Lung Health, Clinical Sciences Wing</w:t>
      </w:r>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 xml:space="preserve">University Hospitals of Leicester, </w:t>
      </w:r>
      <w:smartTag w:uri="urn:schemas-microsoft-com:office:smarttags" w:element="PostalCode">
        <w:smartTag w:uri="urn:schemas-microsoft-com:office:smarttags" w:element="Street">
          <w:r w:rsidRPr="00A5065F">
            <w:rPr>
              <w:rFonts w:ascii="Times New Roman" w:hAnsi="Times New Roman"/>
              <w:sz w:val="24"/>
              <w:szCs w:val="24"/>
            </w:rPr>
            <w:t>Groby Road</w:t>
          </w:r>
        </w:smartTag>
        <w:r w:rsidRPr="00A5065F">
          <w:rPr>
            <w:rFonts w:ascii="Times New Roman" w:hAnsi="Times New Roman"/>
            <w:sz w:val="24"/>
            <w:szCs w:val="24"/>
          </w:rPr>
          <w:t xml:space="preserve">, </w:t>
        </w:r>
        <w:smartTag w:uri="urn:schemas-microsoft-com:office:smarttags" w:element="PostalCode">
          <w:r w:rsidRPr="00A5065F">
            <w:rPr>
              <w:rFonts w:ascii="Times New Roman" w:hAnsi="Times New Roman"/>
              <w:sz w:val="24"/>
              <w:szCs w:val="24"/>
            </w:rPr>
            <w:t>Leicester</w:t>
          </w:r>
        </w:smartTag>
        <w:r w:rsidRPr="00A5065F">
          <w:rPr>
            <w:rFonts w:ascii="Times New Roman" w:hAnsi="Times New Roman"/>
            <w:sz w:val="24"/>
            <w:szCs w:val="24"/>
          </w:rPr>
          <w:t xml:space="preserve"> </w:t>
        </w:r>
        <w:smartTag w:uri="urn:schemas-microsoft-com:office:smarttags" w:element="PostalCode">
          <w:r w:rsidRPr="00A5065F">
            <w:rPr>
              <w:rFonts w:ascii="Times New Roman" w:hAnsi="Times New Roman"/>
              <w:sz w:val="24"/>
              <w:szCs w:val="24"/>
            </w:rPr>
            <w:t>LE3 9QP</w:t>
          </w:r>
        </w:smartTag>
      </w:smartTag>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Tel:</w:t>
      </w:r>
      <w:r w:rsidRPr="00A5065F">
        <w:rPr>
          <w:rFonts w:ascii="Times New Roman" w:hAnsi="Times New Roman"/>
          <w:sz w:val="24"/>
          <w:szCs w:val="24"/>
        </w:rPr>
        <w:tab/>
        <w:t xml:space="preserve"> + 44 116 258 3998</w:t>
      </w:r>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 xml:space="preserve">Fax: </w:t>
      </w:r>
      <w:r w:rsidRPr="00A5065F">
        <w:rPr>
          <w:rFonts w:ascii="Times New Roman" w:hAnsi="Times New Roman"/>
          <w:sz w:val="24"/>
          <w:szCs w:val="24"/>
        </w:rPr>
        <w:tab/>
        <w:t>+ 44 116 25</w:t>
      </w:r>
      <w:r>
        <w:rPr>
          <w:rFonts w:ascii="Times New Roman" w:hAnsi="Times New Roman"/>
          <w:sz w:val="24"/>
          <w:szCs w:val="24"/>
        </w:rPr>
        <w:t>0 2787</w:t>
      </w:r>
    </w:p>
    <w:p w:rsidR="00F31131" w:rsidRPr="00A5065F" w:rsidRDefault="00F31131" w:rsidP="00B715FE">
      <w:pPr>
        <w:spacing w:line="240" w:lineRule="auto"/>
        <w:jc w:val="both"/>
        <w:rPr>
          <w:rFonts w:ascii="Times New Roman" w:hAnsi="Times New Roman"/>
          <w:sz w:val="24"/>
          <w:szCs w:val="24"/>
        </w:rPr>
      </w:pPr>
      <w:r w:rsidRPr="00A5065F">
        <w:rPr>
          <w:rFonts w:ascii="Times New Roman" w:hAnsi="Times New Roman"/>
          <w:sz w:val="24"/>
          <w:szCs w:val="24"/>
        </w:rPr>
        <w:t>Email:</w:t>
      </w:r>
      <w:r w:rsidRPr="00A5065F">
        <w:rPr>
          <w:rFonts w:ascii="Times New Roman" w:hAnsi="Times New Roman"/>
          <w:sz w:val="24"/>
          <w:szCs w:val="24"/>
        </w:rPr>
        <w:tab/>
        <w:t>ceb17@le.ac.uk</w:t>
      </w:r>
    </w:p>
    <w:p w:rsidR="00F31131" w:rsidRDefault="00F31131" w:rsidP="00B715FE">
      <w:pPr>
        <w:rPr>
          <w:rFonts w:ascii="Times New Roman" w:hAnsi="Times New Roman"/>
          <w:sz w:val="24"/>
          <w:szCs w:val="24"/>
        </w:rPr>
      </w:pPr>
    </w:p>
    <w:p w:rsidR="00F31131" w:rsidRDefault="00F31131" w:rsidP="00B715FE">
      <w:pPr>
        <w:spacing w:line="480" w:lineRule="auto"/>
        <w:rPr>
          <w:rFonts w:ascii="Cambria" w:hAnsi="Cambria"/>
        </w:rPr>
      </w:pPr>
      <w:r>
        <w:rPr>
          <w:rFonts w:ascii="Times New Roman" w:hAnsi="Times New Roman"/>
          <w:i/>
          <w:sz w:val="24"/>
          <w:szCs w:val="24"/>
        </w:rPr>
        <w:t xml:space="preserve">Keywords: COPD; Asthma; Airway Inflammation; Cytokines </w:t>
      </w:r>
      <w:r>
        <w:rPr>
          <w:rFonts w:ascii="Cambria" w:hAnsi="Cambria"/>
        </w:rPr>
        <w:br w:type="page"/>
      </w:r>
    </w:p>
    <w:p w:rsidR="00F31131" w:rsidRPr="000030CC" w:rsidRDefault="00F31131" w:rsidP="00905D75">
      <w:pPr>
        <w:spacing w:line="480" w:lineRule="auto"/>
        <w:jc w:val="both"/>
        <w:rPr>
          <w:rFonts w:ascii="Cambria" w:hAnsi="Cambria"/>
          <w:b/>
        </w:rPr>
      </w:pPr>
      <w:r>
        <w:rPr>
          <w:rFonts w:ascii="Cambria" w:hAnsi="Cambria"/>
          <w:b/>
        </w:rPr>
        <w:t xml:space="preserve">Supplementary </w:t>
      </w:r>
      <w:r w:rsidRPr="000030CC">
        <w:rPr>
          <w:rFonts w:ascii="Cambria" w:hAnsi="Cambria"/>
          <w:b/>
        </w:rPr>
        <w:t xml:space="preserve">Table </w:t>
      </w:r>
      <w:r>
        <w:rPr>
          <w:rFonts w:ascii="Cambria" w:hAnsi="Cambria"/>
          <w:b/>
        </w:rPr>
        <w:t>1</w:t>
      </w:r>
    </w:p>
    <w:p w:rsidR="00F31131" w:rsidRPr="00172784" w:rsidRDefault="00F31131" w:rsidP="00905D75">
      <w:pPr>
        <w:spacing w:line="480" w:lineRule="auto"/>
        <w:jc w:val="both"/>
        <w:rPr>
          <w:rFonts w:ascii="Cambria" w:hAnsi="Cambria"/>
        </w:rPr>
      </w:pPr>
      <w:r w:rsidRPr="00172784">
        <w:rPr>
          <w:rFonts w:ascii="Cambria" w:hAnsi="Cambria"/>
        </w:rPr>
        <w:t xml:space="preserve">Upper and lower limit of detection of measured </w:t>
      </w:r>
      <w:r>
        <w:rPr>
          <w:rFonts w:ascii="Cambria" w:hAnsi="Cambria"/>
        </w:rPr>
        <w:t xml:space="preserve">sputum cytokines and chemokines in COPD and asthma patients </w:t>
      </w:r>
      <w:r w:rsidRPr="00172784">
        <w:rPr>
          <w:rFonts w:ascii="Cambria" w:hAnsi="Cambria"/>
        </w:rPr>
        <w:t>using MSD</w:t>
      </w:r>
      <w:r>
        <w:rPr>
          <w:rFonts w:ascii="Cambria" w:hAnsi="Cambria"/>
        </w:rPr>
        <w:t xml:space="preserve"> and Luminex</w:t>
      </w:r>
      <w:r w:rsidRPr="00172784">
        <w:rPr>
          <w:rFonts w:ascii="Cambria" w:hAnsi="Cambria"/>
        </w:rPr>
        <w:t xml:space="preserve"> platform</w:t>
      </w:r>
      <w:r>
        <w:rPr>
          <w:rFonts w:ascii="Cambria" w:hAnsi="Cambria"/>
        </w:rPr>
        <w:t xml:space="preserve">s </w:t>
      </w:r>
    </w:p>
    <w:tbl>
      <w:tblPr>
        <w:tblW w:w="5574" w:type="dxa"/>
        <w:tblInd w:w="534" w:type="dxa"/>
        <w:tblBorders>
          <w:top w:val="single" w:sz="4" w:space="0" w:color="000000"/>
          <w:bottom w:val="single" w:sz="4" w:space="0" w:color="000000"/>
        </w:tblBorders>
        <w:tblLook w:val="00A0"/>
      </w:tblPr>
      <w:tblGrid>
        <w:gridCol w:w="1687"/>
        <w:gridCol w:w="1948"/>
        <w:gridCol w:w="1939"/>
      </w:tblGrid>
      <w:tr w:rsidR="00F31131" w:rsidRPr="00EA18AF" w:rsidTr="00EA18AF">
        <w:tc>
          <w:tcPr>
            <w:tcW w:w="1687" w:type="dxa"/>
            <w:tcBorders>
              <w:top w:val="single" w:sz="4" w:space="0" w:color="000000"/>
              <w:bottom w:val="nil"/>
              <w:right w:val="nil"/>
            </w:tcBorders>
            <w:shd w:val="pct5" w:color="auto" w:fill="auto"/>
          </w:tcPr>
          <w:p w:rsidR="00F31131" w:rsidRPr="00EA18AF" w:rsidRDefault="00F31131" w:rsidP="00EA18AF">
            <w:pPr>
              <w:spacing w:after="0" w:line="240" w:lineRule="auto"/>
              <w:jc w:val="center"/>
              <w:rPr>
                <w:rFonts w:ascii="Cambria" w:hAnsi="Cambria"/>
                <w:b/>
                <w:sz w:val="20"/>
                <w:szCs w:val="20"/>
              </w:rPr>
            </w:pPr>
          </w:p>
        </w:tc>
        <w:tc>
          <w:tcPr>
            <w:tcW w:w="3887" w:type="dxa"/>
            <w:gridSpan w:val="2"/>
            <w:tcBorders>
              <w:top w:val="single" w:sz="4" w:space="0" w:color="000000"/>
              <w:left w:val="nil"/>
              <w:bottom w:val="nil"/>
            </w:tcBorders>
            <w:shd w:val="pct5" w:color="auto" w:fill="auto"/>
          </w:tcPr>
          <w:p w:rsidR="00F31131" w:rsidRPr="00EA18AF" w:rsidRDefault="00F31131" w:rsidP="00EA18AF">
            <w:pPr>
              <w:spacing w:after="0" w:line="240" w:lineRule="auto"/>
              <w:jc w:val="center"/>
              <w:rPr>
                <w:rFonts w:ascii="Cambria" w:hAnsi="Cambria"/>
                <w:b/>
                <w:sz w:val="20"/>
                <w:szCs w:val="20"/>
              </w:rPr>
            </w:pPr>
            <w:r w:rsidRPr="00EA18AF">
              <w:rPr>
                <w:rFonts w:ascii="Cambria" w:hAnsi="Cambria"/>
                <w:b/>
                <w:sz w:val="20"/>
                <w:szCs w:val="20"/>
              </w:rPr>
              <w:t>Sputum</w:t>
            </w:r>
          </w:p>
        </w:tc>
      </w:tr>
      <w:tr w:rsidR="00F31131" w:rsidRPr="00EA18AF" w:rsidTr="00EA18AF">
        <w:tc>
          <w:tcPr>
            <w:tcW w:w="1687" w:type="dxa"/>
            <w:tcBorders>
              <w:top w:val="nil"/>
              <w:bottom w:val="single" w:sz="4" w:space="0" w:color="auto"/>
              <w:right w:val="nil"/>
            </w:tcBorders>
            <w:shd w:val="pct5" w:color="auto" w:fill="auto"/>
          </w:tcPr>
          <w:p w:rsidR="00F31131" w:rsidRPr="00EA18AF" w:rsidRDefault="00F31131" w:rsidP="00EA18AF">
            <w:pPr>
              <w:spacing w:after="0" w:line="240" w:lineRule="auto"/>
              <w:rPr>
                <w:rFonts w:ascii="Cambria" w:hAnsi="Cambria"/>
                <w:b/>
                <w:sz w:val="20"/>
                <w:szCs w:val="20"/>
              </w:rPr>
            </w:pPr>
            <w:r w:rsidRPr="00EA18AF">
              <w:rPr>
                <w:rFonts w:ascii="Cambria" w:hAnsi="Cambria"/>
                <w:b/>
                <w:sz w:val="20"/>
                <w:szCs w:val="20"/>
              </w:rPr>
              <w:t>pg/ml</w:t>
            </w:r>
          </w:p>
        </w:tc>
        <w:tc>
          <w:tcPr>
            <w:tcW w:w="1948" w:type="dxa"/>
            <w:tcBorders>
              <w:top w:val="nil"/>
              <w:left w:val="nil"/>
              <w:bottom w:val="single" w:sz="4" w:space="0" w:color="auto"/>
            </w:tcBorders>
            <w:shd w:val="pct5" w:color="auto" w:fill="auto"/>
          </w:tcPr>
          <w:p w:rsidR="00F31131" w:rsidRPr="00EA18AF" w:rsidRDefault="00F31131" w:rsidP="00EA18AF">
            <w:pPr>
              <w:spacing w:after="0" w:line="240" w:lineRule="auto"/>
              <w:jc w:val="center"/>
              <w:rPr>
                <w:rFonts w:ascii="Cambria" w:hAnsi="Cambria"/>
                <w:b/>
                <w:sz w:val="20"/>
                <w:szCs w:val="20"/>
              </w:rPr>
            </w:pPr>
            <w:r w:rsidRPr="00EA18AF">
              <w:rPr>
                <w:rFonts w:ascii="Cambria" w:hAnsi="Cambria"/>
                <w:b/>
                <w:sz w:val="20"/>
                <w:szCs w:val="20"/>
              </w:rPr>
              <w:t>Lower limit of quantification</w:t>
            </w:r>
          </w:p>
        </w:tc>
        <w:tc>
          <w:tcPr>
            <w:tcW w:w="1939" w:type="dxa"/>
            <w:tcBorders>
              <w:top w:val="nil"/>
              <w:bottom w:val="single" w:sz="4" w:space="0" w:color="auto"/>
            </w:tcBorders>
            <w:shd w:val="pct5" w:color="auto" w:fill="auto"/>
          </w:tcPr>
          <w:p w:rsidR="00F31131" w:rsidRPr="00EA18AF" w:rsidRDefault="00F31131" w:rsidP="00EA18AF">
            <w:pPr>
              <w:spacing w:after="0" w:line="240" w:lineRule="auto"/>
              <w:jc w:val="center"/>
              <w:rPr>
                <w:rFonts w:ascii="Cambria" w:hAnsi="Cambria"/>
                <w:b/>
                <w:sz w:val="20"/>
                <w:szCs w:val="20"/>
              </w:rPr>
            </w:pPr>
            <w:r w:rsidRPr="00EA18AF">
              <w:rPr>
                <w:rFonts w:ascii="Cambria" w:hAnsi="Cambria"/>
                <w:b/>
                <w:sz w:val="20"/>
                <w:szCs w:val="20"/>
              </w:rPr>
              <w:t>Upper limit of quantification</w:t>
            </w:r>
          </w:p>
        </w:tc>
      </w:tr>
      <w:tr w:rsidR="00F31131" w:rsidRPr="00EA18AF" w:rsidTr="00EA18AF">
        <w:tc>
          <w:tcPr>
            <w:tcW w:w="1687" w:type="dxa"/>
            <w:tcBorders>
              <w:top w:val="single" w:sz="4" w:space="0" w:color="auto"/>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CCL2</w:t>
            </w:r>
          </w:p>
        </w:tc>
        <w:tc>
          <w:tcPr>
            <w:tcW w:w="1948" w:type="dxa"/>
            <w:tcBorders>
              <w:top w:val="single" w:sz="4" w:space="0" w:color="auto"/>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3.20</w:t>
            </w:r>
          </w:p>
        </w:tc>
        <w:tc>
          <w:tcPr>
            <w:tcW w:w="1939" w:type="dxa"/>
            <w:tcBorders>
              <w:top w:val="single" w:sz="4" w:space="0" w:color="auto"/>
            </w:tcBorders>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CCL3</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7.47</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CCL4</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3.20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CCL5</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2.18</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CCL11</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3.20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CCL13</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5.76</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CCL17</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0.47</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CCL26*</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16.00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IFN-γ*</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0.30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CXCL10</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3.20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CXCL11</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0.64</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TNF-</w:t>
            </w:r>
            <w:r w:rsidRPr="00EA18AF">
              <w:rPr>
                <w:rFonts w:ascii="Times New Roman" w:hAnsi="Times New Roman"/>
                <w:sz w:val="20"/>
                <w:szCs w:val="20"/>
              </w:rPr>
              <w:t>α</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1.32</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TNFRI</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16.00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TNFRII</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3.20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IL1-β</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0.13</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IL4*</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0.30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IL5</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0.13</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IL6</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0.13</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IL6-R</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6.61</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IL8</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0.13</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IL10*</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1.15</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IL13*</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10.88</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IL17A*</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0.47</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GMCSF*</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1.32</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VEGF</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16.00</w:t>
            </w:r>
          </w:p>
        </w:tc>
        <w:tc>
          <w:tcPr>
            <w:tcW w:w="1939" w:type="dxa"/>
          </w:tcPr>
          <w:p w:rsidR="00F31131" w:rsidRPr="00EA18AF" w:rsidRDefault="00F31131" w:rsidP="00EA18AF">
            <w:pPr>
              <w:spacing w:after="0" w:line="240" w:lineRule="auto"/>
              <w:jc w:val="center"/>
            </w:pPr>
            <w:r w:rsidRPr="00EA18AF">
              <w:rPr>
                <w:rFonts w:ascii="Cambria" w:hAnsi="Cambria"/>
                <w:sz w:val="20"/>
                <w:szCs w:val="20"/>
              </w:rPr>
              <w:t>10000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MMP1*</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76.17</w:t>
            </w:r>
          </w:p>
        </w:tc>
        <w:tc>
          <w:tcPr>
            <w:tcW w:w="1939" w:type="dxa"/>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39000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MMP2*</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593</w:t>
            </w:r>
          </w:p>
        </w:tc>
        <w:tc>
          <w:tcPr>
            <w:tcW w:w="1939" w:type="dxa"/>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347500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MMP3*</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85.83</w:t>
            </w:r>
          </w:p>
        </w:tc>
        <w:tc>
          <w:tcPr>
            <w:tcW w:w="1939" w:type="dxa"/>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58500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MMP7</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181</w:t>
            </w:r>
          </w:p>
        </w:tc>
        <w:tc>
          <w:tcPr>
            <w:tcW w:w="1939" w:type="dxa"/>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372500</w:t>
            </w:r>
          </w:p>
        </w:tc>
      </w:tr>
      <w:tr w:rsidR="00F31131" w:rsidRPr="00EA18AF" w:rsidTr="00EA18AF">
        <w:tc>
          <w:tcPr>
            <w:tcW w:w="1687" w:type="dxa"/>
            <w:tcBorders>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MMP8</w:t>
            </w:r>
          </w:p>
        </w:tc>
        <w:tc>
          <w:tcPr>
            <w:tcW w:w="1948" w:type="dxa"/>
            <w:tcBorders>
              <w:left w:val="nil"/>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13000</w:t>
            </w:r>
          </w:p>
        </w:tc>
        <w:tc>
          <w:tcPr>
            <w:tcW w:w="1939" w:type="dxa"/>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13400000</w:t>
            </w:r>
          </w:p>
        </w:tc>
      </w:tr>
      <w:tr w:rsidR="00F31131" w:rsidRPr="00EA18AF" w:rsidTr="00EA18AF">
        <w:tc>
          <w:tcPr>
            <w:tcW w:w="1687" w:type="dxa"/>
            <w:tcBorders>
              <w:bottom w:val="single" w:sz="4" w:space="0" w:color="000000"/>
              <w:right w:val="nil"/>
            </w:tcBorders>
          </w:tcPr>
          <w:p w:rsidR="00F31131" w:rsidRPr="00EA18AF" w:rsidRDefault="00F31131" w:rsidP="00EA18AF">
            <w:pPr>
              <w:spacing w:after="0" w:line="240" w:lineRule="auto"/>
              <w:jc w:val="both"/>
              <w:rPr>
                <w:rFonts w:ascii="Cambria" w:hAnsi="Cambria"/>
                <w:sz w:val="20"/>
                <w:szCs w:val="20"/>
              </w:rPr>
            </w:pPr>
            <w:r w:rsidRPr="00EA18AF">
              <w:rPr>
                <w:rFonts w:ascii="Cambria" w:hAnsi="Cambria"/>
                <w:sz w:val="20"/>
                <w:szCs w:val="20"/>
              </w:rPr>
              <w:t>MMP9</w:t>
            </w:r>
          </w:p>
        </w:tc>
        <w:tc>
          <w:tcPr>
            <w:tcW w:w="1948" w:type="dxa"/>
            <w:tcBorders>
              <w:left w:val="nil"/>
              <w:bottom w:val="single" w:sz="4" w:space="0" w:color="000000"/>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433</w:t>
            </w:r>
          </w:p>
        </w:tc>
        <w:tc>
          <w:tcPr>
            <w:tcW w:w="1939" w:type="dxa"/>
            <w:tcBorders>
              <w:bottom w:val="single" w:sz="4" w:space="0" w:color="000000"/>
            </w:tcBorders>
          </w:tcPr>
          <w:p w:rsidR="00F31131" w:rsidRPr="00EA18AF" w:rsidRDefault="00F31131" w:rsidP="00EA18AF">
            <w:pPr>
              <w:spacing w:after="0" w:line="240" w:lineRule="auto"/>
              <w:jc w:val="center"/>
              <w:rPr>
                <w:rFonts w:ascii="Cambria" w:hAnsi="Cambria"/>
                <w:sz w:val="20"/>
                <w:szCs w:val="20"/>
              </w:rPr>
            </w:pPr>
            <w:r w:rsidRPr="00EA18AF">
              <w:rPr>
                <w:rFonts w:ascii="Cambria" w:hAnsi="Cambria"/>
                <w:sz w:val="20"/>
                <w:szCs w:val="20"/>
              </w:rPr>
              <w:t>8800000</w:t>
            </w:r>
          </w:p>
        </w:tc>
      </w:tr>
    </w:tbl>
    <w:p w:rsidR="00F31131" w:rsidRPr="00172784" w:rsidRDefault="00F31131" w:rsidP="00905D75">
      <w:pPr>
        <w:spacing w:line="480" w:lineRule="auto"/>
        <w:rPr>
          <w:rFonts w:ascii="Cambria" w:hAnsi="Cambria"/>
        </w:rPr>
      </w:pPr>
      <w:bookmarkStart w:id="0" w:name="OLE_LINK1"/>
      <w:r>
        <w:rPr>
          <w:rFonts w:ascii="Cambria" w:hAnsi="Cambria"/>
          <w:sz w:val="20"/>
          <w:szCs w:val="20"/>
        </w:rPr>
        <w:t>* Below the limit of quantification &gt; 50% of the time, and not analysed further</w:t>
      </w:r>
    </w:p>
    <w:bookmarkEnd w:id="0"/>
    <w:p w:rsidR="00F31131" w:rsidRDefault="00F31131" w:rsidP="00905D75">
      <w:pPr>
        <w:rPr>
          <w:rFonts w:ascii="Cambria" w:hAnsi="Cambria"/>
          <w:b/>
        </w:rPr>
      </w:pPr>
      <w:r>
        <w:rPr>
          <w:rFonts w:ascii="Cambria" w:hAnsi="Cambria"/>
          <w:b/>
        </w:rPr>
        <w:br w:type="page"/>
      </w:r>
    </w:p>
    <w:p w:rsidR="00F31131" w:rsidRDefault="00F31131" w:rsidP="00F13C2D">
      <w:pPr>
        <w:rPr>
          <w:rFonts w:ascii="Cambria" w:hAnsi="Cambria"/>
          <w:b/>
        </w:rPr>
      </w:pPr>
      <w:r>
        <w:rPr>
          <w:rFonts w:ascii="Cambria" w:hAnsi="Cambria"/>
          <w:b/>
        </w:rPr>
        <w:t>Supplementary Table 2</w:t>
      </w:r>
    </w:p>
    <w:p w:rsidR="00F31131" w:rsidRPr="00BD3211" w:rsidRDefault="00F31131" w:rsidP="00F13C2D">
      <w:pPr>
        <w:rPr>
          <w:rFonts w:ascii="Cambria" w:hAnsi="Cambria"/>
        </w:rPr>
      </w:pPr>
      <w:r>
        <w:rPr>
          <w:rFonts w:ascii="Cambria" w:hAnsi="Cambria"/>
        </w:rPr>
        <w:t>Sputum mediator concentrations in patients with Asthma and COPD</w:t>
      </w:r>
    </w:p>
    <w:tbl>
      <w:tblPr>
        <w:tblW w:w="8790" w:type="dxa"/>
        <w:tblBorders>
          <w:top w:val="single" w:sz="4" w:space="0" w:color="000000"/>
          <w:bottom w:val="single" w:sz="4" w:space="0" w:color="000000"/>
        </w:tblBorders>
        <w:tblLayout w:type="fixed"/>
        <w:tblLook w:val="00A0"/>
      </w:tblPr>
      <w:tblGrid>
        <w:gridCol w:w="2127"/>
        <w:gridCol w:w="2410"/>
        <w:gridCol w:w="2552"/>
        <w:gridCol w:w="1701"/>
      </w:tblGrid>
      <w:tr w:rsidR="00F31131" w:rsidRPr="00EA18AF" w:rsidTr="00EA18AF">
        <w:tc>
          <w:tcPr>
            <w:tcW w:w="2127" w:type="dxa"/>
            <w:tcBorders>
              <w:top w:val="single" w:sz="4" w:space="0" w:color="000000"/>
              <w:bottom w:val="single" w:sz="4" w:space="0" w:color="auto"/>
            </w:tcBorders>
            <w:shd w:val="pct5" w:color="auto" w:fill="auto"/>
          </w:tcPr>
          <w:p w:rsidR="00F31131" w:rsidRPr="00EA18AF" w:rsidRDefault="00F31131" w:rsidP="00EA18AF">
            <w:pPr>
              <w:spacing w:after="0" w:line="360" w:lineRule="auto"/>
              <w:rPr>
                <w:rFonts w:ascii="Cambria" w:hAnsi="Cambria"/>
              </w:rPr>
            </w:pPr>
          </w:p>
        </w:tc>
        <w:tc>
          <w:tcPr>
            <w:tcW w:w="2410" w:type="dxa"/>
            <w:tcBorders>
              <w:top w:val="single" w:sz="4" w:space="0" w:color="000000"/>
              <w:bottom w:val="single" w:sz="4" w:space="0" w:color="auto"/>
            </w:tcBorders>
            <w:shd w:val="pct5" w:color="auto" w:fill="auto"/>
          </w:tcPr>
          <w:p w:rsidR="00F31131" w:rsidRPr="00EA18AF" w:rsidRDefault="00F31131" w:rsidP="00EA18AF">
            <w:pPr>
              <w:spacing w:after="0" w:line="360" w:lineRule="auto"/>
              <w:rPr>
                <w:rFonts w:ascii="Cambria" w:hAnsi="Cambria"/>
                <w:b/>
              </w:rPr>
            </w:pPr>
            <w:r w:rsidRPr="00EA18AF">
              <w:rPr>
                <w:rFonts w:ascii="Cambria" w:hAnsi="Cambria"/>
                <w:b/>
              </w:rPr>
              <w:t>COPD</w:t>
            </w:r>
          </w:p>
        </w:tc>
        <w:tc>
          <w:tcPr>
            <w:tcW w:w="2552" w:type="dxa"/>
            <w:tcBorders>
              <w:top w:val="single" w:sz="4" w:space="0" w:color="000000"/>
              <w:bottom w:val="single" w:sz="4" w:space="0" w:color="auto"/>
            </w:tcBorders>
            <w:shd w:val="pct5" w:color="auto" w:fill="auto"/>
          </w:tcPr>
          <w:p w:rsidR="00F31131" w:rsidRPr="00EA18AF" w:rsidRDefault="00F31131" w:rsidP="00EA18AF">
            <w:pPr>
              <w:spacing w:after="0" w:line="360" w:lineRule="auto"/>
              <w:rPr>
                <w:rFonts w:ascii="Cambria" w:hAnsi="Cambria"/>
                <w:b/>
              </w:rPr>
            </w:pPr>
            <w:r w:rsidRPr="00EA18AF">
              <w:rPr>
                <w:rFonts w:ascii="Cambria" w:hAnsi="Cambria"/>
                <w:b/>
              </w:rPr>
              <w:t>Asthma</w:t>
            </w:r>
          </w:p>
        </w:tc>
        <w:tc>
          <w:tcPr>
            <w:tcW w:w="1701" w:type="dxa"/>
            <w:tcBorders>
              <w:top w:val="single" w:sz="4" w:space="0" w:color="000000"/>
              <w:bottom w:val="single" w:sz="4" w:space="0" w:color="auto"/>
            </w:tcBorders>
            <w:shd w:val="pct5" w:color="auto" w:fill="auto"/>
          </w:tcPr>
          <w:p w:rsidR="00F31131" w:rsidRPr="00EA18AF" w:rsidRDefault="00F31131" w:rsidP="00EA18AF">
            <w:pPr>
              <w:spacing w:after="0" w:line="360" w:lineRule="auto"/>
              <w:rPr>
                <w:rFonts w:ascii="Cambria" w:hAnsi="Cambria"/>
                <w:b/>
              </w:rPr>
            </w:pPr>
            <w:r w:rsidRPr="00EA18AF">
              <w:rPr>
                <w:rFonts w:ascii="Cambria" w:hAnsi="Cambria"/>
                <w:b/>
              </w:rPr>
              <w:t>p-value</w:t>
            </w:r>
          </w:p>
        </w:tc>
      </w:tr>
      <w:tr w:rsidR="00F31131" w:rsidRPr="00EA18AF" w:rsidTr="00EA18AF">
        <w:tc>
          <w:tcPr>
            <w:tcW w:w="2127" w:type="dxa"/>
            <w:tcBorders>
              <w:top w:val="single" w:sz="4" w:space="0" w:color="auto"/>
            </w:tcBorders>
          </w:tcPr>
          <w:p w:rsidR="00F31131" w:rsidRPr="00EA18AF" w:rsidRDefault="00F31131" w:rsidP="00EA18AF">
            <w:pPr>
              <w:spacing w:after="0" w:line="360" w:lineRule="auto"/>
              <w:jc w:val="both"/>
              <w:rPr>
                <w:rFonts w:ascii="Cambria" w:hAnsi="Cambria"/>
              </w:rPr>
            </w:pPr>
            <w:r w:rsidRPr="00EA18AF">
              <w:rPr>
                <w:rFonts w:ascii="Cambria" w:hAnsi="Cambria"/>
              </w:rPr>
              <w:t xml:space="preserve">CCL2 </w:t>
            </w:r>
          </w:p>
        </w:tc>
        <w:tc>
          <w:tcPr>
            <w:tcW w:w="2410" w:type="dxa"/>
            <w:tcBorders>
              <w:top w:val="single" w:sz="4" w:space="0" w:color="auto"/>
            </w:tcBorders>
          </w:tcPr>
          <w:p w:rsidR="00F31131" w:rsidRPr="00EA18AF" w:rsidRDefault="00F31131" w:rsidP="00EA18AF">
            <w:pPr>
              <w:spacing w:after="0" w:line="360" w:lineRule="auto"/>
              <w:rPr>
                <w:rFonts w:ascii="Times New Roman" w:hAnsi="Times New Roman"/>
              </w:rPr>
            </w:pPr>
            <w:r w:rsidRPr="00EA18AF">
              <w:rPr>
                <w:rFonts w:ascii="Times New Roman" w:hAnsi="Times New Roman"/>
              </w:rPr>
              <w:t>454 [295 to 699]</w:t>
            </w:r>
          </w:p>
        </w:tc>
        <w:tc>
          <w:tcPr>
            <w:tcW w:w="2552" w:type="dxa"/>
            <w:tcBorders>
              <w:top w:val="single" w:sz="4" w:space="0" w:color="auto"/>
            </w:tcBorders>
          </w:tcPr>
          <w:p w:rsidR="00F31131" w:rsidRPr="00EA18AF" w:rsidRDefault="00F31131" w:rsidP="00EA18AF">
            <w:pPr>
              <w:spacing w:after="0" w:line="360" w:lineRule="auto"/>
              <w:rPr>
                <w:rFonts w:ascii="Times New Roman" w:hAnsi="Times New Roman"/>
              </w:rPr>
            </w:pPr>
            <w:r w:rsidRPr="00EA18AF">
              <w:rPr>
                <w:rFonts w:ascii="Times New Roman" w:hAnsi="Times New Roman"/>
              </w:rPr>
              <w:t>393 [284 to543]</w:t>
            </w:r>
          </w:p>
        </w:tc>
        <w:tc>
          <w:tcPr>
            <w:tcW w:w="1701" w:type="dxa"/>
            <w:tcBorders>
              <w:top w:val="single" w:sz="4" w:space="0" w:color="auto"/>
            </w:tcBorders>
          </w:tcPr>
          <w:p w:rsidR="00F31131" w:rsidRPr="00EA18AF" w:rsidRDefault="00F31131" w:rsidP="00EA18AF">
            <w:pPr>
              <w:spacing w:after="0" w:line="360" w:lineRule="auto"/>
              <w:rPr>
                <w:rFonts w:ascii="Times New Roman" w:hAnsi="Times New Roman"/>
              </w:rPr>
            </w:pPr>
            <w:r w:rsidRPr="00EA18AF">
              <w:rPr>
                <w:rFonts w:ascii="Times New Roman" w:hAnsi="Times New Roman"/>
              </w:rPr>
              <w:t>0.60</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CCL3</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92.9 [50.7 to 170.2]</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77.1 [48.7 to 122.1]</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0.63</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CCL4</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903 [501 to 1630]</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974 [490 to 1938]</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0.88</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CCL5</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3.8 [2.9 to 5.1]</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4.8 [3.5 to 6.7]</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0.35</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CCL11</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56.0 [31.8 to 98.5]</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66.5 [42.3 to 104.6]</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0.64</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CCL13</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15.7 [9.7 to 25.4]</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16.2 [12.1 to 21.6]</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0.92</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CCL17</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12.1 [6.7 to 21.8]</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16.7 [10.9 to 25.4]</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0.38</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CXCL10</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177 [88 to 356]</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253 [141 to 455]</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0.45</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CXCL11</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9.4 [4.1 to 21.6]</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18.3 [9.5 to 35.3]</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0.23</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TNF-α</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9.6 [4.4 to 20.6]</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4.9 [2.8 to 8.4]</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0.16</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TNFRI</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2254 [1536 to 3308]</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1095 [708 to 1694]</w:t>
            </w:r>
          </w:p>
        </w:tc>
        <w:tc>
          <w:tcPr>
            <w:tcW w:w="1701" w:type="dxa"/>
          </w:tcPr>
          <w:p w:rsidR="00F31131" w:rsidRPr="00EA18AF" w:rsidRDefault="00F31131" w:rsidP="00EA18AF">
            <w:pPr>
              <w:spacing w:after="0" w:line="360" w:lineRule="auto"/>
              <w:rPr>
                <w:rFonts w:ascii="Times New Roman" w:hAnsi="Times New Roman"/>
                <w:b/>
              </w:rPr>
            </w:pPr>
            <w:r w:rsidRPr="00EA18AF">
              <w:rPr>
                <w:rFonts w:ascii="Times New Roman" w:hAnsi="Times New Roman"/>
                <w:b/>
              </w:rPr>
              <w:t>0.03</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TNFRII</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505 [323 to 790]</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198 [116 to 337]</w:t>
            </w:r>
          </w:p>
        </w:tc>
        <w:tc>
          <w:tcPr>
            <w:tcW w:w="1701" w:type="dxa"/>
          </w:tcPr>
          <w:p w:rsidR="00F31131" w:rsidRPr="00EA18AF" w:rsidRDefault="00F31131" w:rsidP="00EA18AF">
            <w:pPr>
              <w:spacing w:after="0" w:line="360" w:lineRule="auto"/>
              <w:rPr>
                <w:rFonts w:ascii="Times New Roman" w:hAnsi="Times New Roman"/>
                <w:b/>
              </w:rPr>
            </w:pPr>
            <w:r w:rsidRPr="00EA18AF">
              <w:rPr>
                <w:rFonts w:ascii="Times New Roman" w:hAnsi="Times New Roman"/>
                <w:b/>
              </w:rPr>
              <w:t>0.02</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IL1-β</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194 [80 to 475]</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74 [40 to 137]</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0.08</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IL5</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0.8 [0.5 to 1.2]</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1.3 [0.8 to 2.1]</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0.14</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IL6</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351 [188 to 654]</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188 [115 to 308]</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0.13</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IL6-R</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204 [142 to 294]</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130 [77 to 221]</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0.23</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IL8</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4709 [3314 to 6690]</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1803 [979 to 3322]</w:t>
            </w:r>
          </w:p>
        </w:tc>
        <w:tc>
          <w:tcPr>
            <w:tcW w:w="1701" w:type="dxa"/>
          </w:tcPr>
          <w:p w:rsidR="00F31131" w:rsidRPr="00EA18AF" w:rsidRDefault="00F31131" w:rsidP="00EA18AF">
            <w:pPr>
              <w:spacing w:after="0" w:line="360" w:lineRule="auto"/>
              <w:rPr>
                <w:rFonts w:ascii="Times New Roman" w:hAnsi="Times New Roman"/>
                <w:b/>
              </w:rPr>
            </w:pPr>
            <w:r w:rsidRPr="00EA18AF">
              <w:rPr>
                <w:rFonts w:ascii="Times New Roman" w:hAnsi="Times New Roman"/>
                <w:b/>
              </w:rPr>
              <w:t>0.01</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VEGF</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1794 [1467 to 2196]</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1445 [1098 to 1902]</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0.27</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MMP7*</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26.8 [18.9 to 37.9]</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15.6 [9.0 to 27.1]</w:t>
            </w:r>
          </w:p>
        </w:tc>
        <w:tc>
          <w:tcPr>
            <w:tcW w:w="1701"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0.17</w:t>
            </w:r>
          </w:p>
        </w:tc>
      </w:tr>
      <w:tr w:rsidR="00F31131" w:rsidRPr="00EA18AF" w:rsidTr="00EA18AF">
        <w:tc>
          <w:tcPr>
            <w:tcW w:w="2127" w:type="dxa"/>
          </w:tcPr>
          <w:p w:rsidR="00F31131" w:rsidRPr="00EA18AF" w:rsidRDefault="00F31131" w:rsidP="00EA18AF">
            <w:pPr>
              <w:spacing w:after="0" w:line="360" w:lineRule="auto"/>
              <w:jc w:val="both"/>
              <w:rPr>
                <w:rFonts w:ascii="Cambria" w:hAnsi="Cambria"/>
              </w:rPr>
            </w:pPr>
            <w:r w:rsidRPr="00EA18AF">
              <w:rPr>
                <w:rFonts w:ascii="Cambria" w:hAnsi="Cambria"/>
              </w:rPr>
              <w:t>MMP8*</w:t>
            </w:r>
          </w:p>
        </w:tc>
        <w:tc>
          <w:tcPr>
            <w:tcW w:w="2410"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257 [133 to 495]</w:t>
            </w:r>
          </w:p>
        </w:tc>
        <w:tc>
          <w:tcPr>
            <w:tcW w:w="2552" w:type="dxa"/>
          </w:tcPr>
          <w:p w:rsidR="00F31131" w:rsidRPr="00EA18AF" w:rsidRDefault="00F31131" w:rsidP="00EA18AF">
            <w:pPr>
              <w:spacing w:after="0" w:line="360" w:lineRule="auto"/>
              <w:rPr>
                <w:rFonts w:ascii="Times New Roman" w:hAnsi="Times New Roman"/>
              </w:rPr>
            </w:pPr>
            <w:r w:rsidRPr="00EA18AF">
              <w:rPr>
                <w:rFonts w:ascii="Times New Roman" w:hAnsi="Times New Roman"/>
              </w:rPr>
              <w:t>94 [55 to 160]</w:t>
            </w:r>
          </w:p>
        </w:tc>
        <w:tc>
          <w:tcPr>
            <w:tcW w:w="1701" w:type="dxa"/>
          </w:tcPr>
          <w:p w:rsidR="00F31131" w:rsidRPr="00EA18AF" w:rsidRDefault="00F31131" w:rsidP="00EA18AF">
            <w:pPr>
              <w:spacing w:after="0" w:line="360" w:lineRule="auto"/>
              <w:rPr>
                <w:rFonts w:ascii="Times New Roman" w:hAnsi="Times New Roman"/>
                <w:b/>
              </w:rPr>
            </w:pPr>
            <w:r w:rsidRPr="00EA18AF">
              <w:rPr>
                <w:rFonts w:ascii="Times New Roman" w:hAnsi="Times New Roman"/>
                <w:b/>
              </w:rPr>
              <w:t>0.03</w:t>
            </w:r>
          </w:p>
        </w:tc>
      </w:tr>
      <w:tr w:rsidR="00F31131" w:rsidRPr="00EA18AF" w:rsidTr="00EA18AF">
        <w:tc>
          <w:tcPr>
            <w:tcW w:w="2127" w:type="dxa"/>
            <w:tcBorders>
              <w:bottom w:val="single" w:sz="4" w:space="0" w:color="000000"/>
            </w:tcBorders>
          </w:tcPr>
          <w:p w:rsidR="00F31131" w:rsidRPr="00EA18AF" w:rsidRDefault="00F31131" w:rsidP="00EA18AF">
            <w:pPr>
              <w:spacing w:after="0" w:line="360" w:lineRule="auto"/>
              <w:jc w:val="both"/>
              <w:rPr>
                <w:rFonts w:ascii="Cambria" w:hAnsi="Cambria"/>
              </w:rPr>
            </w:pPr>
            <w:r w:rsidRPr="00EA18AF">
              <w:rPr>
                <w:rFonts w:ascii="Cambria" w:hAnsi="Cambria"/>
              </w:rPr>
              <w:t>MMP9*</w:t>
            </w:r>
          </w:p>
        </w:tc>
        <w:tc>
          <w:tcPr>
            <w:tcW w:w="2410" w:type="dxa"/>
            <w:tcBorders>
              <w:bottom w:val="single" w:sz="4" w:space="0" w:color="000000"/>
            </w:tcBorders>
          </w:tcPr>
          <w:p w:rsidR="00F31131" w:rsidRPr="00EA18AF" w:rsidRDefault="00F31131" w:rsidP="00EA18AF">
            <w:pPr>
              <w:spacing w:after="0" w:line="360" w:lineRule="auto"/>
              <w:rPr>
                <w:rFonts w:ascii="Times New Roman" w:hAnsi="Times New Roman"/>
              </w:rPr>
            </w:pPr>
            <w:r w:rsidRPr="00EA18AF">
              <w:rPr>
                <w:rFonts w:ascii="Times New Roman" w:hAnsi="Times New Roman"/>
              </w:rPr>
              <w:t>1002 [550 to 1828]</w:t>
            </w:r>
          </w:p>
        </w:tc>
        <w:tc>
          <w:tcPr>
            <w:tcW w:w="2552" w:type="dxa"/>
            <w:tcBorders>
              <w:bottom w:val="single" w:sz="4" w:space="0" w:color="000000"/>
            </w:tcBorders>
          </w:tcPr>
          <w:p w:rsidR="00F31131" w:rsidRPr="00EA18AF" w:rsidRDefault="00F31131" w:rsidP="00EA18AF">
            <w:pPr>
              <w:spacing w:after="0" w:line="360" w:lineRule="auto"/>
              <w:rPr>
                <w:rFonts w:ascii="Times New Roman" w:hAnsi="Times New Roman"/>
              </w:rPr>
            </w:pPr>
            <w:r w:rsidRPr="00EA18AF">
              <w:rPr>
                <w:rFonts w:ascii="Times New Roman" w:hAnsi="Times New Roman"/>
              </w:rPr>
              <w:t>336 [196 to 575]</w:t>
            </w:r>
          </w:p>
        </w:tc>
        <w:tc>
          <w:tcPr>
            <w:tcW w:w="1701" w:type="dxa"/>
            <w:tcBorders>
              <w:bottom w:val="single" w:sz="4" w:space="0" w:color="000000"/>
            </w:tcBorders>
          </w:tcPr>
          <w:p w:rsidR="00F31131" w:rsidRPr="00EA18AF" w:rsidRDefault="00F31131" w:rsidP="00EA18AF">
            <w:pPr>
              <w:spacing w:after="0" w:line="360" w:lineRule="auto"/>
              <w:rPr>
                <w:rFonts w:ascii="Times New Roman" w:hAnsi="Times New Roman"/>
                <w:b/>
              </w:rPr>
            </w:pPr>
            <w:r w:rsidRPr="00EA18AF">
              <w:rPr>
                <w:rFonts w:ascii="Times New Roman" w:hAnsi="Times New Roman"/>
                <w:b/>
              </w:rPr>
              <w:t>0.01</w:t>
            </w:r>
          </w:p>
        </w:tc>
      </w:tr>
    </w:tbl>
    <w:p w:rsidR="00F31131" w:rsidRDefault="00F31131" w:rsidP="003E5A76">
      <w:pPr>
        <w:spacing w:line="480" w:lineRule="auto"/>
        <w:rPr>
          <w:rFonts w:ascii="Times New Roman" w:hAnsi="Times New Roman"/>
          <w:sz w:val="24"/>
        </w:rPr>
      </w:pPr>
      <w:r w:rsidRPr="00B723C1">
        <w:rPr>
          <w:rFonts w:ascii="Cambria" w:hAnsi="Cambria"/>
        </w:rPr>
        <w:t>Data</w:t>
      </w:r>
      <w:r>
        <w:rPr>
          <w:rFonts w:ascii="Cambria" w:hAnsi="Cambria"/>
          <w:b/>
        </w:rPr>
        <w:t xml:space="preserve"> </w:t>
      </w:r>
      <w:r>
        <w:rPr>
          <w:rFonts w:ascii="Cambria" w:hAnsi="Cambria"/>
        </w:rPr>
        <w:t xml:space="preserve">presented as geometric mean (95% confidence interval), units in pg/ml unless stated otherwise, </w:t>
      </w:r>
      <w:r>
        <w:rPr>
          <w:rFonts w:ascii="Cambria" w:hAnsi="Cambria"/>
          <w:b/>
        </w:rPr>
        <w:t>*</w:t>
      </w:r>
      <w:r w:rsidRPr="003D4A1C">
        <w:rPr>
          <w:rFonts w:ascii="Cambria" w:hAnsi="Cambria"/>
        </w:rPr>
        <w:t>ng/ml</w:t>
      </w:r>
      <w:r>
        <w:rPr>
          <w:rFonts w:ascii="Cambria" w:hAnsi="Cambria"/>
          <w:b/>
        </w:rPr>
        <w:br w:type="page"/>
      </w:r>
      <w:r>
        <w:rPr>
          <w:rFonts w:ascii="Times New Roman" w:hAnsi="Times New Roman"/>
          <w:sz w:val="24"/>
        </w:rPr>
        <w:t>Figure Legends</w:t>
      </w:r>
    </w:p>
    <w:p w:rsidR="00F31131" w:rsidRDefault="00F31131" w:rsidP="003E5A76">
      <w:pPr>
        <w:spacing w:line="480" w:lineRule="auto"/>
        <w:rPr>
          <w:rFonts w:ascii="Times New Roman" w:hAnsi="Times New Roman"/>
          <w:sz w:val="24"/>
        </w:rPr>
      </w:pPr>
      <w:r>
        <w:rPr>
          <w:rFonts w:ascii="Times New Roman" w:hAnsi="Times New Roman"/>
          <w:sz w:val="24"/>
        </w:rPr>
        <w:t>Figure 1</w:t>
      </w:r>
    </w:p>
    <w:p w:rsidR="00F31131" w:rsidRDefault="00F31131">
      <w:pPr>
        <w:spacing w:line="480" w:lineRule="auto"/>
        <w:jc w:val="both"/>
        <w:rPr>
          <w:rFonts w:ascii="Cambria" w:hAnsi="Cambria"/>
        </w:rPr>
      </w:pPr>
      <w:r>
        <w:rPr>
          <w:rFonts w:ascii="Cambria" w:hAnsi="Cambria"/>
        </w:rPr>
        <w:t>Bar chart representing recovery from exogenous spike of mediators to a) sputum plug which is then treated with either D-PBS or DTT and b) D-PBS treated sputum and buffer control samples (n=4). Asterisked analytes considered to be valid assays with a recovery of &gt;80% from sputum compared to buffer. Horizontal and error bars set at mean and standard error of the mean.</w:t>
      </w:r>
    </w:p>
    <w:p w:rsidR="00F31131" w:rsidRDefault="00F31131">
      <w:pPr>
        <w:spacing w:line="480" w:lineRule="auto"/>
        <w:jc w:val="both"/>
        <w:rPr>
          <w:rFonts w:ascii="Cambria" w:hAnsi="Cambria"/>
        </w:rPr>
      </w:pPr>
    </w:p>
    <w:p w:rsidR="00F31131" w:rsidRDefault="00F31131">
      <w:pPr>
        <w:spacing w:line="480" w:lineRule="auto"/>
        <w:jc w:val="both"/>
        <w:rPr>
          <w:rFonts w:ascii="Cambria" w:hAnsi="Cambria"/>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5pt;width:451.1pt;height:388.8pt;z-index:251658240">
            <v:imagedata r:id="rId6" o:title=""/>
            <w10:wrap type="square"/>
          </v:shape>
        </w:pict>
      </w:r>
    </w:p>
    <w:p w:rsidR="00F31131" w:rsidRDefault="00F31131">
      <w:pPr>
        <w:spacing w:line="480" w:lineRule="auto"/>
        <w:jc w:val="both"/>
        <w:rPr>
          <w:rFonts w:ascii="Cambria" w:hAnsi="Cambria"/>
        </w:rPr>
      </w:pPr>
    </w:p>
    <w:p w:rsidR="00F31131" w:rsidRDefault="00F31131">
      <w:pPr>
        <w:spacing w:line="480" w:lineRule="auto"/>
        <w:jc w:val="both"/>
        <w:rPr>
          <w:rFonts w:ascii="Cambria" w:hAnsi="Cambria"/>
        </w:rPr>
      </w:pPr>
    </w:p>
    <w:p w:rsidR="00F31131" w:rsidRDefault="00F31131">
      <w:pPr>
        <w:spacing w:line="480" w:lineRule="auto"/>
        <w:jc w:val="both"/>
        <w:rPr>
          <w:rFonts w:ascii="Times New Roman" w:hAnsi="Times New Roman"/>
          <w:sz w:val="24"/>
          <w:szCs w:val="24"/>
        </w:rPr>
      </w:pPr>
      <w:r w:rsidRPr="00A5065F">
        <w:rPr>
          <w:rFonts w:ascii="Times New Roman" w:hAnsi="Times New Roman"/>
          <w:sz w:val="24"/>
          <w:szCs w:val="24"/>
        </w:rPr>
        <w:t xml:space="preserve">Figure </w:t>
      </w:r>
      <w:r>
        <w:rPr>
          <w:rFonts w:ascii="Times New Roman" w:hAnsi="Times New Roman"/>
          <w:sz w:val="24"/>
          <w:szCs w:val="24"/>
        </w:rPr>
        <w:t>2</w:t>
      </w:r>
    </w:p>
    <w:p w:rsidR="00F31131" w:rsidRDefault="00F31131" w:rsidP="00883C80">
      <w:pPr>
        <w:spacing w:line="480" w:lineRule="auto"/>
        <w:jc w:val="both"/>
        <w:rPr>
          <w:rFonts w:ascii="Cambria" w:hAnsi="Cambria"/>
        </w:rPr>
      </w:pPr>
      <w:r w:rsidRPr="00A5065F">
        <w:rPr>
          <w:rFonts w:ascii="Times New Roman" w:hAnsi="Times New Roman"/>
          <w:sz w:val="24"/>
          <w:szCs w:val="24"/>
        </w:rPr>
        <w:t>Bar chart comparing measured sputum mediators in asthma and COPD patients with eosinophilic airway inflammatory (top), and non eosinophilic airway inflammatory (bottom) phenotypes. Horizontal and error bars set at geometric mean and 95% confidence interval</w:t>
      </w:r>
    </w:p>
    <w:p w:rsidR="00F31131" w:rsidRDefault="00F31131">
      <w:pPr>
        <w:rPr>
          <w:rFonts w:ascii="Times New Roman" w:hAnsi="Times New Roman"/>
          <w:sz w:val="24"/>
        </w:rPr>
      </w:pPr>
      <w:r>
        <w:rPr>
          <w:noProof/>
          <w:lang w:val="de-CH" w:eastAsia="de-CH"/>
        </w:rPr>
        <w:pict>
          <v:shape id="_x0000_s1027" type="#_x0000_t75" style="position:absolute;margin-left:-9pt;margin-top:31.8pt;width:450.75pt;height:469.9pt;z-index:251659264">
            <v:imagedata r:id="rId7" o:title=""/>
            <w10:wrap type="square"/>
          </v:shape>
        </w:pict>
      </w:r>
    </w:p>
    <w:sectPr w:rsidR="00F31131" w:rsidSect="00AB11A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31" w:rsidRDefault="00F31131" w:rsidP="00905D75">
      <w:pPr>
        <w:spacing w:after="0" w:line="240" w:lineRule="auto"/>
      </w:pPr>
      <w:r>
        <w:separator/>
      </w:r>
    </w:p>
  </w:endnote>
  <w:endnote w:type="continuationSeparator" w:id="0">
    <w:p w:rsidR="00F31131" w:rsidRDefault="00F31131" w:rsidP="0090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1" w:rsidRDefault="00F31131">
    <w:pPr>
      <w:pStyle w:val="Footer"/>
      <w:jc w:val="right"/>
    </w:pPr>
    <w:fldSimple w:instr=" PAGE   \* MERGEFORMAT ">
      <w:r>
        <w:rPr>
          <w:noProof/>
        </w:rPr>
        <w:t>1</w:t>
      </w:r>
    </w:fldSimple>
  </w:p>
  <w:p w:rsidR="00F31131" w:rsidRDefault="00F31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31" w:rsidRDefault="00F31131" w:rsidP="00905D75">
      <w:pPr>
        <w:spacing w:after="0" w:line="240" w:lineRule="auto"/>
      </w:pPr>
      <w:r>
        <w:separator/>
      </w:r>
    </w:p>
  </w:footnote>
  <w:footnote w:type="continuationSeparator" w:id="0">
    <w:p w:rsidR="00F31131" w:rsidRDefault="00F31131" w:rsidP="00905D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D75"/>
    <w:rsid w:val="000030CC"/>
    <w:rsid w:val="000174A8"/>
    <w:rsid w:val="00033884"/>
    <w:rsid w:val="000552BC"/>
    <w:rsid w:val="0005740C"/>
    <w:rsid w:val="000D6A59"/>
    <w:rsid w:val="000E2791"/>
    <w:rsid w:val="00172784"/>
    <w:rsid w:val="001771D4"/>
    <w:rsid w:val="00196884"/>
    <w:rsid w:val="00220295"/>
    <w:rsid w:val="0023600A"/>
    <w:rsid w:val="00241734"/>
    <w:rsid w:val="002559F9"/>
    <w:rsid w:val="002B2F2E"/>
    <w:rsid w:val="002F6F91"/>
    <w:rsid w:val="00305581"/>
    <w:rsid w:val="003079A0"/>
    <w:rsid w:val="00396361"/>
    <w:rsid w:val="003D4A1C"/>
    <w:rsid w:val="003E5A76"/>
    <w:rsid w:val="00411448"/>
    <w:rsid w:val="0042603A"/>
    <w:rsid w:val="0044419B"/>
    <w:rsid w:val="004559A1"/>
    <w:rsid w:val="00463BC7"/>
    <w:rsid w:val="004A59F0"/>
    <w:rsid w:val="0051426D"/>
    <w:rsid w:val="00554856"/>
    <w:rsid w:val="005738CB"/>
    <w:rsid w:val="005E6906"/>
    <w:rsid w:val="005F40ED"/>
    <w:rsid w:val="00635525"/>
    <w:rsid w:val="006664C6"/>
    <w:rsid w:val="00680F52"/>
    <w:rsid w:val="006C484E"/>
    <w:rsid w:val="006C5248"/>
    <w:rsid w:val="00706D28"/>
    <w:rsid w:val="00737135"/>
    <w:rsid w:val="007519CF"/>
    <w:rsid w:val="007B609C"/>
    <w:rsid w:val="0081606A"/>
    <w:rsid w:val="0082450A"/>
    <w:rsid w:val="008776E0"/>
    <w:rsid w:val="00883C80"/>
    <w:rsid w:val="00905D75"/>
    <w:rsid w:val="00921B5C"/>
    <w:rsid w:val="0092703B"/>
    <w:rsid w:val="009452D3"/>
    <w:rsid w:val="00964BBE"/>
    <w:rsid w:val="00967CA7"/>
    <w:rsid w:val="009A453C"/>
    <w:rsid w:val="009C210A"/>
    <w:rsid w:val="009D7780"/>
    <w:rsid w:val="009F1671"/>
    <w:rsid w:val="00A15983"/>
    <w:rsid w:val="00A21792"/>
    <w:rsid w:val="00A5065F"/>
    <w:rsid w:val="00A85631"/>
    <w:rsid w:val="00AB11A9"/>
    <w:rsid w:val="00B12ED1"/>
    <w:rsid w:val="00B55F99"/>
    <w:rsid w:val="00B715FE"/>
    <w:rsid w:val="00B723C1"/>
    <w:rsid w:val="00B8420B"/>
    <w:rsid w:val="00B9363C"/>
    <w:rsid w:val="00BD3211"/>
    <w:rsid w:val="00BE4BAB"/>
    <w:rsid w:val="00BF269B"/>
    <w:rsid w:val="00C55740"/>
    <w:rsid w:val="00C902A0"/>
    <w:rsid w:val="00CA571F"/>
    <w:rsid w:val="00CC61EF"/>
    <w:rsid w:val="00CE40CC"/>
    <w:rsid w:val="00CE67A5"/>
    <w:rsid w:val="00D562F9"/>
    <w:rsid w:val="00D66C51"/>
    <w:rsid w:val="00DC1B9B"/>
    <w:rsid w:val="00DC3522"/>
    <w:rsid w:val="00DC38F6"/>
    <w:rsid w:val="00DC6AD2"/>
    <w:rsid w:val="00E152A2"/>
    <w:rsid w:val="00E81B6A"/>
    <w:rsid w:val="00E81F7A"/>
    <w:rsid w:val="00E874D4"/>
    <w:rsid w:val="00EA18AF"/>
    <w:rsid w:val="00ED2491"/>
    <w:rsid w:val="00EF0A2F"/>
    <w:rsid w:val="00F13C2D"/>
    <w:rsid w:val="00F24258"/>
    <w:rsid w:val="00F31131"/>
    <w:rsid w:val="00F42EBE"/>
    <w:rsid w:val="00F54B0A"/>
    <w:rsid w:val="00F6543B"/>
    <w:rsid w:val="00F70386"/>
    <w:rsid w:val="00FE5EC8"/>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5"/>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5D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05D75"/>
    <w:rPr>
      <w:rFonts w:cs="Times New Roman"/>
    </w:rPr>
  </w:style>
  <w:style w:type="paragraph" w:styleId="Footer">
    <w:name w:val="footer"/>
    <w:basedOn w:val="Normal"/>
    <w:link w:val="FooterChar"/>
    <w:uiPriority w:val="99"/>
    <w:rsid w:val="00905D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5D75"/>
    <w:rPr>
      <w:rFonts w:cs="Times New Roman"/>
    </w:rPr>
  </w:style>
  <w:style w:type="table" w:styleId="TableGrid">
    <w:name w:val="Table Grid"/>
    <w:basedOn w:val="TableNormal"/>
    <w:uiPriority w:val="99"/>
    <w:rsid w:val="00905D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884"/>
    <w:rPr>
      <w:rFonts w:ascii="Tahoma" w:hAnsi="Tahoma" w:cs="Tahoma"/>
      <w:sz w:val="16"/>
      <w:szCs w:val="16"/>
    </w:rPr>
  </w:style>
  <w:style w:type="character" w:styleId="CommentReference">
    <w:name w:val="annotation reference"/>
    <w:basedOn w:val="DefaultParagraphFont"/>
    <w:uiPriority w:val="99"/>
    <w:semiHidden/>
    <w:rsid w:val="00D66C51"/>
    <w:rPr>
      <w:rFonts w:cs="Times New Roman"/>
      <w:sz w:val="16"/>
      <w:szCs w:val="16"/>
    </w:rPr>
  </w:style>
  <w:style w:type="paragraph" w:styleId="CommentText">
    <w:name w:val="annotation text"/>
    <w:basedOn w:val="Normal"/>
    <w:link w:val="CommentTextChar"/>
    <w:uiPriority w:val="99"/>
    <w:semiHidden/>
    <w:rsid w:val="00D66C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6C51"/>
    <w:rPr>
      <w:rFonts w:cs="Times New Roman"/>
      <w:sz w:val="20"/>
      <w:szCs w:val="20"/>
    </w:rPr>
  </w:style>
  <w:style w:type="paragraph" w:styleId="CommentSubject">
    <w:name w:val="annotation subject"/>
    <w:basedOn w:val="CommentText"/>
    <w:next w:val="CommentText"/>
    <w:link w:val="CommentSubjectChar"/>
    <w:uiPriority w:val="99"/>
    <w:semiHidden/>
    <w:rsid w:val="00D66C51"/>
    <w:rPr>
      <w:b/>
      <w:bCs/>
    </w:rPr>
  </w:style>
  <w:style w:type="character" w:customStyle="1" w:styleId="CommentSubjectChar">
    <w:name w:val="Comment Subject Char"/>
    <w:basedOn w:val="CommentTextChar"/>
    <w:link w:val="CommentSubject"/>
    <w:uiPriority w:val="99"/>
    <w:semiHidden/>
    <w:locked/>
    <w:rsid w:val="00D66C51"/>
    <w:rPr>
      <w:b/>
      <w:bCs/>
    </w:rPr>
  </w:style>
  <w:style w:type="paragraph" w:styleId="PlainText">
    <w:name w:val="Plain Text"/>
    <w:basedOn w:val="Normal"/>
    <w:link w:val="PlainTextChar"/>
    <w:uiPriority w:val="99"/>
    <w:semiHidden/>
    <w:rsid w:val="009D7780"/>
    <w:pPr>
      <w:spacing w:after="0" w:line="240" w:lineRule="auto"/>
    </w:pPr>
    <w:rPr>
      <w:rFonts w:ascii="Consolas" w:eastAsia="Times New Roman" w:hAnsi="Consolas"/>
      <w:sz w:val="21"/>
      <w:szCs w:val="21"/>
      <w:lang w:eastAsia="zh-CN"/>
    </w:rPr>
  </w:style>
  <w:style w:type="character" w:customStyle="1" w:styleId="PlainTextChar">
    <w:name w:val="Plain Text Char"/>
    <w:basedOn w:val="DefaultParagraphFont"/>
    <w:link w:val="PlainText"/>
    <w:uiPriority w:val="99"/>
    <w:semiHidden/>
    <w:locked/>
    <w:rsid w:val="009D7780"/>
    <w:rPr>
      <w:rFonts w:ascii="Consolas" w:hAnsi="Consolas" w:cs="Times New Roman"/>
      <w:sz w:val="21"/>
      <w:szCs w:val="21"/>
      <w:lang w:eastAsia="zh-CN"/>
    </w:rPr>
  </w:style>
</w:styles>
</file>

<file path=word/webSettings.xml><?xml version="1.0" encoding="utf-8"?>
<w:webSettings xmlns:r="http://schemas.openxmlformats.org/officeDocument/2006/relationships" xmlns:w="http://schemas.openxmlformats.org/wordprocessingml/2006/main">
  <w:divs>
    <w:div w:id="1976718366">
      <w:marLeft w:val="0"/>
      <w:marRight w:val="0"/>
      <w:marTop w:val="0"/>
      <w:marBottom w:val="0"/>
      <w:divBdr>
        <w:top w:val="none" w:sz="0" w:space="0" w:color="auto"/>
        <w:left w:val="none" w:sz="0" w:space="0" w:color="auto"/>
        <w:bottom w:val="none" w:sz="0" w:space="0" w:color="auto"/>
        <w:right w:val="none" w:sz="0" w:space="0" w:color="auto"/>
      </w:divBdr>
    </w:div>
    <w:div w:id="1976718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486</Words>
  <Characters>3062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of Sputum Inflammatory Mediators in Asthma and Chronic Obstructive Pulmonary Disease</dc:title>
  <dc:subject/>
  <dc:creator>Tarim</dc:creator>
  <cp:keywords/>
  <dc:description/>
  <cp:lastModifiedBy>S. Karger AG</cp:lastModifiedBy>
  <cp:revision>2</cp:revision>
  <cp:lastPrinted>2010-11-03T11:16:00Z</cp:lastPrinted>
  <dcterms:created xsi:type="dcterms:W3CDTF">2011-09-02T12:15:00Z</dcterms:created>
  <dcterms:modified xsi:type="dcterms:W3CDTF">2011-09-02T12:15:00Z</dcterms:modified>
</cp:coreProperties>
</file>