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E8" w:rsidRPr="003624E8" w:rsidRDefault="003624E8" w:rsidP="008A07F6">
      <w:pPr>
        <w:spacing w:line="360" w:lineRule="auto"/>
        <w:jc w:val="left"/>
        <w:rPr>
          <w:rFonts w:ascii="Arial" w:hAnsi="Arial" w:cs="Arial"/>
          <w:b/>
          <w:i/>
          <w:sz w:val="28"/>
          <w:shd w:val="pct15" w:color="auto" w:fill="FFFFFF"/>
        </w:rPr>
      </w:pPr>
      <w:r w:rsidRPr="003624E8">
        <w:rPr>
          <w:rFonts w:ascii="Arial" w:hAnsi="Arial" w:cs="Arial" w:hint="eastAsia"/>
          <w:b/>
          <w:i/>
          <w:sz w:val="28"/>
          <w:shd w:val="pct15" w:color="auto" w:fill="FFFFFF"/>
        </w:rPr>
        <w:t>Online Supplement</w:t>
      </w:r>
    </w:p>
    <w:p w:rsidR="003624E8" w:rsidRPr="003A622D" w:rsidRDefault="003624E8" w:rsidP="003624E8">
      <w:pPr>
        <w:adjustRightInd w:val="0"/>
        <w:spacing w:line="480" w:lineRule="auto"/>
        <w:jc w:val="center"/>
        <w:rPr>
          <w:rFonts w:ascii="Cambria" w:hAnsi="Cambria" w:cs="Arial"/>
          <w:b/>
          <w:sz w:val="32"/>
          <w:szCs w:val="20"/>
        </w:rPr>
      </w:pPr>
      <w:r w:rsidRPr="003A622D">
        <w:rPr>
          <w:rFonts w:ascii="Cambria" w:hAnsi="Cambria" w:cs="Arial"/>
          <w:b/>
          <w:sz w:val="32"/>
          <w:szCs w:val="20"/>
        </w:rPr>
        <w:t xml:space="preserve">Long-term </w:t>
      </w:r>
      <w:r>
        <w:rPr>
          <w:rFonts w:ascii="Cambria" w:hAnsi="Cambria" w:cs="Arial" w:hint="eastAsia"/>
          <w:b/>
          <w:sz w:val="32"/>
          <w:szCs w:val="20"/>
        </w:rPr>
        <w:t xml:space="preserve">Natural </w:t>
      </w:r>
      <w:r w:rsidRPr="003A622D">
        <w:rPr>
          <w:rFonts w:ascii="Cambria" w:hAnsi="Cambria" w:cs="Arial"/>
          <w:b/>
          <w:sz w:val="32"/>
          <w:szCs w:val="20"/>
        </w:rPr>
        <w:t xml:space="preserve">History of Intracranial </w:t>
      </w:r>
      <w:r>
        <w:rPr>
          <w:rFonts w:ascii="Cambria" w:hAnsi="Cambria" w:cs="Arial" w:hint="eastAsia"/>
          <w:b/>
          <w:sz w:val="32"/>
          <w:szCs w:val="20"/>
        </w:rPr>
        <w:t xml:space="preserve">Arterial </w:t>
      </w:r>
      <w:r w:rsidRPr="003A622D">
        <w:rPr>
          <w:rFonts w:ascii="Cambria" w:hAnsi="Cambria" w:cs="Arial"/>
          <w:b/>
          <w:sz w:val="32"/>
          <w:szCs w:val="20"/>
        </w:rPr>
        <w:t>Stenosis</w:t>
      </w:r>
      <w:r>
        <w:rPr>
          <w:rFonts w:ascii="Cambria" w:hAnsi="Cambria" w:cs="Arial" w:hint="eastAsia"/>
          <w:b/>
          <w:sz w:val="32"/>
          <w:szCs w:val="20"/>
        </w:rPr>
        <w:t>: an MRA follow-up study</w:t>
      </w:r>
    </w:p>
    <w:p w:rsidR="003624E8" w:rsidRPr="0084784D" w:rsidRDefault="003624E8" w:rsidP="003624E8">
      <w:pPr>
        <w:adjustRightInd w:val="0"/>
        <w:spacing w:line="480" w:lineRule="auto"/>
        <w:jc w:val="left"/>
        <w:rPr>
          <w:rFonts w:ascii="Verdana" w:hAnsi="Verdana"/>
          <w:szCs w:val="20"/>
        </w:rPr>
      </w:pPr>
    </w:p>
    <w:p w:rsidR="003624E8" w:rsidRPr="00B35335" w:rsidRDefault="003624E8" w:rsidP="003624E8">
      <w:pPr>
        <w:spacing w:line="480" w:lineRule="auto"/>
        <w:jc w:val="center"/>
        <w:rPr>
          <w:rFonts w:ascii="Verdana" w:hAnsi="Verdana"/>
          <w:i/>
        </w:rPr>
      </w:pPr>
      <w:r w:rsidRPr="00B35335">
        <w:rPr>
          <w:rFonts w:ascii="Verdana" w:hAnsi="Verdana" w:hint="eastAsia"/>
          <w:i/>
        </w:rPr>
        <w:t>Wi-Sun Ryu, MD</w:t>
      </w:r>
      <w:r w:rsidRPr="00B35335">
        <w:rPr>
          <w:rFonts w:ascii="Verdana" w:hAnsi="Verdana" w:hint="eastAsia"/>
          <w:i/>
          <w:vertAlign w:val="superscript"/>
        </w:rPr>
        <w:t>1</w:t>
      </w:r>
      <w:r w:rsidRPr="00B35335">
        <w:rPr>
          <w:rFonts w:ascii="Verdana" w:hAnsi="Verdana" w:hint="eastAsia"/>
          <w:i/>
        </w:rPr>
        <w:t>; Sang-Soon Park, MD</w:t>
      </w:r>
      <w:r w:rsidRPr="00B35335">
        <w:rPr>
          <w:rFonts w:ascii="Verdana" w:hAnsi="Verdana" w:hint="eastAsia"/>
          <w:i/>
          <w:vertAlign w:val="superscript"/>
        </w:rPr>
        <w:t>2</w:t>
      </w:r>
      <w:r w:rsidRPr="00B35335">
        <w:rPr>
          <w:rFonts w:ascii="Verdana" w:hAnsi="Verdana" w:hint="eastAsia"/>
          <w:i/>
        </w:rPr>
        <w:t>; Young</w:t>
      </w:r>
      <w:r w:rsidRPr="00B35335">
        <w:rPr>
          <w:rFonts w:ascii="Verdana" w:hAnsi="Verdana" w:hint="eastAsia"/>
          <w:i/>
          <w:lang w:val="en-GB"/>
        </w:rPr>
        <w:t>-Seo</w:t>
      </w:r>
      <w:r w:rsidRPr="00B35335">
        <w:rPr>
          <w:rFonts w:ascii="Verdana" w:hAnsi="Verdana" w:hint="eastAsia"/>
          <w:i/>
        </w:rPr>
        <w:t xml:space="preserve"> Kim, MD</w:t>
      </w:r>
      <w:r w:rsidRPr="00B35335">
        <w:rPr>
          <w:rFonts w:ascii="Verdana" w:hAnsi="Verdana" w:hint="eastAsia"/>
          <w:i/>
          <w:vertAlign w:val="superscript"/>
        </w:rPr>
        <w:t>3</w:t>
      </w:r>
      <w:r w:rsidRPr="00B35335">
        <w:rPr>
          <w:rFonts w:ascii="Verdana" w:hAnsi="Verdana" w:hint="eastAsia"/>
          <w:i/>
        </w:rPr>
        <w:t>; Su-Ho Lee, MD</w:t>
      </w:r>
      <w:r w:rsidRPr="00B35335">
        <w:rPr>
          <w:rFonts w:ascii="Verdana" w:hAnsi="Verdana" w:hint="eastAsia"/>
          <w:i/>
          <w:vertAlign w:val="superscript"/>
        </w:rPr>
        <w:t>4</w:t>
      </w:r>
      <w:r w:rsidRPr="00B35335">
        <w:rPr>
          <w:rFonts w:ascii="Verdana" w:hAnsi="Verdana" w:hint="eastAsia"/>
          <w:i/>
        </w:rPr>
        <w:t xml:space="preserve">; </w:t>
      </w:r>
      <w:r w:rsidRPr="00B35335">
        <w:rPr>
          <w:rFonts w:ascii="Verdana" w:hAnsi="Verdana"/>
          <w:i/>
        </w:rPr>
        <w:t>Kyusik Kang,</w:t>
      </w:r>
      <w:r w:rsidRPr="00B35335">
        <w:rPr>
          <w:rFonts w:ascii="Verdana" w:hAnsi="Verdana" w:hint="eastAsia"/>
          <w:i/>
        </w:rPr>
        <w:t xml:space="preserve"> MD, PhD</w:t>
      </w:r>
      <w:r w:rsidRPr="00B35335">
        <w:rPr>
          <w:rFonts w:ascii="Verdana" w:hAnsi="Verdana" w:hint="eastAsia"/>
          <w:i/>
          <w:vertAlign w:val="superscript"/>
        </w:rPr>
        <w:t>5</w:t>
      </w:r>
      <w:r w:rsidRPr="00B35335">
        <w:rPr>
          <w:rFonts w:ascii="Verdana" w:hAnsi="Verdana" w:hint="eastAsia"/>
          <w:i/>
        </w:rPr>
        <w:t>;</w:t>
      </w:r>
      <w:r w:rsidRPr="00B35335">
        <w:rPr>
          <w:rFonts w:ascii="Verdana" w:hAnsi="Verdana"/>
          <w:i/>
        </w:rPr>
        <w:t xml:space="preserve"> Chulho Kim,</w:t>
      </w:r>
      <w:r w:rsidRPr="00B35335">
        <w:rPr>
          <w:rFonts w:ascii="Verdana" w:hAnsi="Verdana" w:hint="eastAsia"/>
          <w:i/>
        </w:rPr>
        <w:t xml:space="preserve"> MD</w:t>
      </w:r>
      <w:r w:rsidRPr="00B35335">
        <w:rPr>
          <w:rFonts w:ascii="Verdana" w:hAnsi="Verdana" w:hint="eastAsia"/>
          <w:i/>
          <w:vertAlign w:val="superscript"/>
        </w:rPr>
        <w:t>6</w:t>
      </w:r>
      <w:r w:rsidRPr="00B35335">
        <w:rPr>
          <w:rFonts w:ascii="Verdana" w:hAnsi="Verdana" w:hint="eastAsia"/>
          <w:i/>
        </w:rPr>
        <w:t>;</w:t>
      </w:r>
      <w:r w:rsidRPr="00B35335">
        <w:rPr>
          <w:rFonts w:ascii="Verdana" w:hAnsi="Verdana"/>
          <w:i/>
        </w:rPr>
        <w:t xml:space="preserve"> Chul-Ho Sohn,</w:t>
      </w:r>
      <w:r w:rsidRPr="00B35335">
        <w:rPr>
          <w:rFonts w:ascii="Verdana" w:hAnsi="Verdana" w:hint="eastAsia"/>
          <w:i/>
        </w:rPr>
        <w:t xml:space="preserve"> MD, PhD</w:t>
      </w:r>
      <w:r w:rsidRPr="00B35335">
        <w:rPr>
          <w:rFonts w:ascii="Verdana" w:hAnsi="Verdana" w:hint="eastAsia"/>
          <w:i/>
          <w:vertAlign w:val="superscript"/>
        </w:rPr>
        <w:t>7</w:t>
      </w:r>
      <w:r w:rsidRPr="00B35335">
        <w:rPr>
          <w:rFonts w:ascii="Verdana" w:hAnsi="Verdana" w:hint="eastAsia"/>
          <w:i/>
        </w:rPr>
        <w:t xml:space="preserve">; </w:t>
      </w:r>
      <w:r w:rsidRPr="00B35335">
        <w:rPr>
          <w:rFonts w:ascii="Verdana" w:hAnsi="Verdana"/>
          <w:i/>
        </w:rPr>
        <w:t>Seung-Hoon Lee,</w:t>
      </w:r>
      <w:r w:rsidRPr="00B35335">
        <w:rPr>
          <w:rFonts w:ascii="Verdana" w:hAnsi="Verdana" w:hint="eastAsia"/>
          <w:i/>
          <w:vertAlign w:val="superscript"/>
        </w:rPr>
        <w:t xml:space="preserve"> </w:t>
      </w:r>
      <w:r w:rsidRPr="00B35335">
        <w:rPr>
          <w:rFonts w:ascii="Verdana" w:hAnsi="Verdana" w:hint="eastAsia"/>
          <w:i/>
        </w:rPr>
        <w:t>MD, PhD</w:t>
      </w:r>
      <w:r w:rsidRPr="00B35335">
        <w:rPr>
          <w:rFonts w:ascii="Verdana" w:hAnsi="Verdana" w:hint="eastAsia"/>
          <w:i/>
          <w:vertAlign w:val="superscript"/>
        </w:rPr>
        <w:t>8</w:t>
      </w:r>
      <w:r w:rsidRPr="00B35335">
        <w:rPr>
          <w:rFonts w:ascii="Verdana" w:hAnsi="Verdana" w:hint="eastAsia"/>
          <w:i/>
        </w:rPr>
        <w:t xml:space="preserve">; </w:t>
      </w:r>
      <w:r w:rsidRPr="00B35335">
        <w:rPr>
          <w:rFonts w:ascii="Verdana" w:hAnsi="Verdana"/>
          <w:i/>
        </w:rPr>
        <w:t>Byung-Woo Yoon</w:t>
      </w:r>
      <w:r w:rsidRPr="00B35335">
        <w:rPr>
          <w:rFonts w:ascii="Verdana" w:hAnsi="Verdana" w:hint="eastAsia"/>
          <w:i/>
        </w:rPr>
        <w:t>, MD, PhD</w:t>
      </w:r>
      <w:r w:rsidRPr="00B35335">
        <w:rPr>
          <w:rFonts w:ascii="Verdana" w:hAnsi="Verdana" w:hint="eastAsia"/>
          <w:i/>
          <w:vertAlign w:val="superscript"/>
        </w:rPr>
        <w:t>8</w:t>
      </w:r>
    </w:p>
    <w:p w:rsidR="00B35335" w:rsidRDefault="00B35335" w:rsidP="008A07F6">
      <w:pPr>
        <w:spacing w:line="360" w:lineRule="auto"/>
        <w:jc w:val="left"/>
        <w:rPr>
          <w:rFonts w:ascii="Arial" w:hAnsi="Arial" w:cs="Arial"/>
          <w:b/>
          <w:i/>
          <w:sz w:val="28"/>
        </w:rPr>
      </w:pPr>
    </w:p>
    <w:p w:rsidR="00B35335" w:rsidRDefault="00B35335" w:rsidP="008A07F6">
      <w:pPr>
        <w:spacing w:line="360" w:lineRule="auto"/>
        <w:jc w:val="left"/>
        <w:rPr>
          <w:rFonts w:ascii="Arial" w:hAnsi="Arial" w:cs="Arial"/>
          <w:b/>
          <w:i/>
          <w:sz w:val="28"/>
        </w:rPr>
      </w:pPr>
    </w:p>
    <w:p w:rsidR="00B35335" w:rsidRDefault="00B35335" w:rsidP="008A07F6">
      <w:pPr>
        <w:spacing w:line="360" w:lineRule="auto"/>
        <w:jc w:val="left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br w:type="page"/>
      </w:r>
    </w:p>
    <w:p w:rsidR="00901AC9" w:rsidRPr="008A07F6" w:rsidRDefault="008A07F6" w:rsidP="008A07F6">
      <w:pPr>
        <w:spacing w:line="360" w:lineRule="auto"/>
        <w:jc w:val="left"/>
        <w:rPr>
          <w:rFonts w:ascii="Arial" w:hAnsi="Arial" w:cs="Arial"/>
          <w:b/>
          <w:i/>
          <w:sz w:val="28"/>
        </w:rPr>
      </w:pPr>
      <w:r w:rsidRPr="008A07F6">
        <w:rPr>
          <w:rFonts w:ascii="Arial" w:hAnsi="Arial" w:cs="Arial"/>
          <w:b/>
          <w:i/>
          <w:sz w:val="28"/>
        </w:rPr>
        <w:lastRenderedPageBreak/>
        <w:t xml:space="preserve">Supplemental Tables </w:t>
      </w:r>
    </w:p>
    <w:p w:rsidR="000A0623" w:rsidRPr="000A0623" w:rsidRDefault="000A0623" w:rsidP="000A0623">
      <w:pPr>
        <w:spacing w:line="480" w:lineRule="auto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 w:hint="eastAsia"/>
          <w:b/>
          <w:sz w:val="24"/>
          <w:szCs w:val="22"/>
        </w:rPr>
        <w:t>Supplemental t</w:t>
      </w:r>
      <w:r w:rsidRPr="000A0623">
        <w:rPr>
          <w:rFonts w:ascii="Arial" w:hAnsi="Arial" w:cs="Arial"/>
          <w:b/>
          <w:sz w:val="24"/>
          <w:szCs w:val="22"/>
        </w:rPr>
        <w:t xml:space="preserve">able </w:t>
      </w:r>
      <w:r>
        <w:rPr>
          <w:rFonts w:ascii="Arial" w:hAnsi="Arial" w:cs="Arial" w:hint="eastAsia"/>
          <w:b/>
          <w:sz w:val="24"/>
          <w:szCs w:val="22"/>
        </w:rPr>
        <w:t>1</w:t>
      </w:r>
      <w:r w:rsidRPr="000A0623">
        <w:rPr>
          <w:rFonts w:ascii="Arial" w:hAnsi="Arial" w:cs="Arial"/>
          <w:b/>
          <w:sz w:val="24"/>
          <w:szCs w:val="22"/>
        </w:rPr>
        <w:t>. Potential predictors of intracranial arterial stenosis progression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1660"/>
        <w:gridCol w:w="2857"/>
        <w:gridCol w:w="789"/>
      </w:tblGrid>
      <w:tr w:rsidR="000A0623" w:rsidRPr="000A0623" w:rsidTr="000A0623">
        <w:trPr>
          <w:trHeight w:val="20"/>
        </w:trPr>
        <w:tc>
          <w:tcPr>
            <w:tcW w:w="188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Progression (n=13)</w:t>
            </w:r>
          </w:p>
        </w:tc>
        <w:tc>
          <w:tcPr>
            <w:tcW w:w="168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Stationary or regression (n=89)</w:t>
            </w:r>
          </w:p>
        </w:tc>
        <w:tc>
          <w:tcPr>
            <w:tcW w:w="46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Age, y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69.4 ± 9.7</w:t>
            </w: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62.6 ± 9.3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 xml:space="preserve">Male, % 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8 (61.5)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46 (51.7)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 xml:space="preserve">Hypertension, % 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12 (92.3)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73 (82.0)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0.69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Diabetes mellitus, %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5 (38.5)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40 (44.9)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Smoking habit, %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 (15.4)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24 (27.0)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0.51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Coronary artery disease, %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4 (30.8)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26 (29.2)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1.00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Hyperlipidemia, %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8 (61.5)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55 (61.8)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Body mass index, Kg/m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25.3 ± 2.6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24.9 ± 2.9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Duration of follow-up,yr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5.7 ± 1.1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5.7 ± 0.8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 xml:space="preserve">Antiplatelet  drug use, % 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12 (92.3)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72 (80.9)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0.46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 xml:space="preserve">Anticoagulation use, % 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 (7.7)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 (2.2)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0.34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 xml:space="preserve">Statin use, % 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4 (30.8)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34 (38.2)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0.76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 xml:space="preserve">Anti-HT drug use, % 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11 (84.6)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58 (65.2)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0.21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Multiple stenosis, %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6 (46.2)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52 (58.4)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Symptomatic stenosis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8 (61.5)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29 (32.6)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 xml:space="preserve">Initial MRA 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0.67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ind w:leftChars="200" w:left="400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1T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4 (30.8)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21 (23.6)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ind w:leftChars="200" w:left="400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1.5T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8 (61.5)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54 (60.7)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ind w:leftChars="200" w:left="400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3T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 (7.7)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14 (15.7)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Follow-up MRA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0.67</w:t>
            </w:r>
            <w:r w:rsidRPr="000A0623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ind w:leftChars="200" w:left="400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lastRenderedPageBreak/>
              <w:t>1.5T</w:t>
            </w:r>
          </w:p>
        </w:tc>
        <w:tc>
          <w:tcPr>
            <w:tcW w:w="97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2 (15.4)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11 (12.4)</w:t>
            </w:r>
          </w:p>
        </w:tc>
        <w:tc>
          <w:tcPr>
            <w:tcW w:w="4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0A0623" w:rsidRPr="000A0623" w:rsidTr="000A0623">
        <w:trPr>
          <w:trHeight w:val="20"/>
        </w:trPr>
        <w:tc>
          <w:tcPr>
            <w:tcW w:w="1880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ind w:leftChars="200" w:left="400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3T</w:t>
            </w:r>
          </w:p>
        </w:tc>
        <w:tc>
          <w:tcPr>
            <w:tcW w:w="976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11 (84.6)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23">
              <w:rPr>
                <w:rFonts w:ascii="Arial" w:hAnsi="Arial" w:cs="Arial"/>
                <w:sz w:val="22"/>
                <w:szCs w:val="22"/>
              </w:rPr>
              <w:t>78 (87.6)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623" w:rsidRPr="000A0623" w:rsidRDefault="000A0623" w:rsidP="00CE249C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</w:tbl>
    <w:p w:rsidR="000A0623" w:rsidRDefault="000A0623" w:rsidP="000A0623">
      <w:pPr>
        <w:spacing w:line="480" w:lineRule="auto"/>
        <w:rPr>
          <w:rFonts w:ascii="Arial" w:hAnsi="Arial" w:cs="Arial"/>
          <w:sz w:val="22"/>
          <w:szCs w:val="22"/>
        </w:rPr>
      </w:pPr>
      <w:r w:rsidRPr="000A0623">
        <w:rPr>
          <w:rFonts w:ascii="Arial" w:hAnsi="Arial" w:cs="Arial"/>
          <w:sz w:val="22"/>
          <w:szCs w:val="22"/>
          <w:vertAlign w:val="superscript"/>
        </w:rPr>
        <w:t>a</w:t>
      </w:r>
      <w:r w:rsidRPr="000A0623">
        <w:rPr>
          <w:rFonts w:ascii="Arial" w:hAnsi="Arial" w:cs="Arial"/>
          <w:sz w:val="22"/>
          <w:szCs w:val="22"/>
        </w:rPr>
        <w:t xml:space="preserve"> Fisher’s exact test was used. </w:t>
      </w:r>
    </w:p>
    <w:p w:rsidR="000A0623" w:rsidRDefault="000A0623" w:rsidP="000A0623">
      <w:pPr>
        <w:spacing w:line="480" w:lineRule="auto"/>
        <w:rPr>
          <w:rFonts w:ascii="Arial" w:hAnsi="Arial" w:cs="Arial"/>
          <w:sz w:val="22"/>
          <w:szCs w:val="22"/>
        </w:rPr>
      </w:pPr>
    </w:p>
    <w:p w:rsidR="000A0623" w:rsidRDefault="000A0623" w:rsidP="000A0623">
      <w:pPr>
        <w:spacing w:line="480" w:lineRule="auto"/>
        <w:rPr>
          <w:rFonts w:ascii="Arial" w:hAnsi="Arial" w:cs="Arial"/>
          <w:sz w:val="22"/>
          <w:szCs w:val="22"/>
        </w:rPr>
      </w:pPr>
    </w:p>
    <w:p w:rsidR="008A07F6" w:rsidRDefault="008A07F6" w:rsidP="000A0623">
      <w:pPr>
        <w:spacing w:line="480" w:lineRule="auto"/>
        <w:rPr>
          <w:rFonts w:ascii="Arial" w:hAnsi="Arial" w:cs="Arial"/>
          <w:b/>
          <w:sz w:val="24"/>
        </w:rPr>
      </w:pPr>
      <w:r w:rsidRPr="008A07F6">
        <w:rPr>
          <w:rFonts w:ascii="Arial" w:hAnsi="Arial" w:cs="Arial"/>
          <w:b/>
          <w:sz w:val="24"/>
        </w:rPr>
        <w:t>Supplemental Table</w:t>
      </w:r>
      <w:r w:rsidR="000A0623">
        <w:rPr>
          <w:rFonts w:ascii="Arial" w:hAnsi="Arial" w:cs="Arial" w:hint="eastAsia"/>
          <w:b/>
          <w:sz w:val="24"/>
        </w:rPr>
        <w:t xml:space="preserve"> 2</w:t>
      </w:r>
      <w:r w:rsidRPr="008A07F6">
        <w:rPr>
          <w:rFonts w:ascii="Arial" w:hAnsi="Arial" w:cs="Arial"/>
          <w:sz w:val="24"/>
        </w:rPr>
        <w:t xml:space="preserve">. </w:t>
      </w:r>
      <w:r w:rsidRPr="008A07F6">
        <w:rPr>
          <w:rFonts w:ascii="Arial" w:hAnsi="Arial" w:cs="Arial"/>
          <w:b/>
          <w:sz w:val="24"/>
        </w:rPr>
        <w:t>Interval change of concomitant asymptomatic stenosis according to progression of symptomatic stenosis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320"/>
        <w:gridCol w:w="2430"/>
      </w:tblGrid>
      <w:tr w:rsidR="008A07F6" w:rsidRPr="009B720A" w:rsidTr="009E558B">
        <w:trPr>
          <w:trHeight w:val="1405"/>
        </w:trPr>
        <w:tc>
          <w:tcPr>
            <w:tcW w:w="34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7F6" w:rsidRPr="009B720A" w:rsidRDefault="008A07F6" w:rsidP="009E5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7F6" w:rsidRDefault="008A07F6" w:rsidP="009E55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Progression (n=8)</w:t>
            </w:r>
          </w:p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6 arteries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7F6" w:rsidRDefault="008A07F6" w:rsidP="009E55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Stationary or regression (n=29)</w:t>
            </w:r>
          </w:p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31 arteries</w:t>
            </w:r>
          </w:p>
        </w:tc>
      </w:tr>
      <w:tr w:rsidR="008A07F6" w:rsidRPr="009B720A" w:rsidTr="009E558B">
        <w:trPr>
          <w:trHeight w:val="633"/>
        </w:trPr>
        <w:tc>
          <w:tcPr>
            <w:tcW w:w="3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7F6" w:rsidRPr="009B720A" w:rsidRDefault="008A07F6" w:rsidP="009E5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Change of</w:t>
            </w:r>
            <w:r w:rsidR="00007D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720A">
              <w:rPr>
                <w:rFonts w:ascii="Arial" w:hAnsi="Arial" w:cs="Arial"/>
                <w:sz w:val="22"/>
                <w:szCs w:val="22"/>
              </w:rPr>
              <w:t>stenosis,%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7F6" w:rsidRPr="009B720A" w:rsidTr="009E558B">
        <w:trPr>
          <w:trHeight w:val="633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7F6" w:rsidRPr="009B720A" w:rsidRDefault="008A07F6" w:rsidP="009E558B">
            <w:pPr>
              <w:rPr>
                <w:rFonts w:ascii="Arial" w:hAnsi="Arial" w:cs="Arial"/>
                <w:sz w:val="22"/>
                <w:szCs w:val="22"/>
              </w:rPr>
            </w:pPr>
            <w:r w:rsidRPr="009B720A">
              <w:rPr>
                <w:rFonts w:ascii="Arial" w:hAnsi="Arial" w:cs="Arial"/>
                <w:sz w:val="22"/>
                <w:szCs w:val="22"/>
              </w:rPr>
              <w:t xml:space="preserve">    Regression, n(%)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 (17)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11 (36)</w:t>
            </w:r>
          </w:p>
        </w:tc>
      </w:tr>
      <w:tr w:rsidR="008A07F6" w:rsidRPr="009B720A" w:rsidTr="009E558B">
        <w:trPr>
          <w:trHeight w:val="633"/>
        </w:trPr>
        <w:tc>
          <w:tcPr>
            <w:tcW w:w="34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7F6" w:rsidRPr="009B720A" w:rsidRDefault="008A07F6" w:rsidP="009E558B">
            <w:pPr>
              <w:rPr>
                <w:rFonts w:ascii="Arial" w:hAnsi="Arial" w:cs="Arial"/>
                <w:sz w:val="22"/>
                <w:szCs w:val="22"/>
              </w:rPr>
            </w:pPr>
            <w:r w:rsidRPr="009B720A">
              <w:rPr>
                <w:rFonts w:ascii="Arial" w:hAnsi="Arial" w:cs="Arial"/>
                <w:sz w:val="22"/>
                <w:szCs w:val="22"/>
              </w:rPr>
              <w:t xml:space="preserve">    Stationary, n(%)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 (83)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19 (61)</w:t>
            </w:r>
          </w:p>
        </w:tc>
      </w:tr>
      <w:tr w:rsidR="008A07F6" w:rsidRPr="009B720A" w:rsidTr="009E558B">
        <w:trPr>
          <w:trHeight w:val="633"/>
        </w:trPr>
        <w:tc>
          <w:tcPr>
            <w:tcW w:w="34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7F6" w:rsidRPr="009B720A" w:rsidRDefault="008A07F6" w:rsidP="009E558B">
            <w:pPr>
              <w:rPr>
                <w:rFonts w:ascii="Arial" w:hAnsi="Arial" w:cs="Arial"/>
                <w:sz w:val="22"/>
                <w:szCs w:val="22"/>
              </w:rPr>
            </w:pPr>
            <w:r w:rsidRPr="009B720A">
              <w:rPr>
                <w:rFonts w:ascii="Arial" w:hAnsi="Arial" w:cs="Arial"/>
                <w:sz w:val="22"/>
                <w:szCs w:val="22"/>
              </w:rPr>
              <w:t xml:space="preserve">    Progression, n(%)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7F6" w:rsidRPr="009B720A" w:rsidRDefault="008A07F6" w:rsidP="009E5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 (3)</w:t>
            </w:r>
          </w:p>
        </w:tc>
      </w:tr>
    </w:tbl>
    <w:p w:rsidR="008A07F6" w:rsidRDefault="008A07F6" w:rsidP="008A07F6">
      <w:pPr>
        <w:spacing w:line="360" w:lineRule="auto"/>
        <w:jc w:val="left"/>
        <w:rPr>
          <w:rFonts w:ascii="Arial" w:hAnsi="Arial" w:cs="Arial"/>
          <w:sz w:val="24"/>
        </w:rPr>
        <w:sectPr w:rsidR="008A07F6" w:rsidSect="0017748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A07F6" w:rsidRPr="008A07F6" w:rsidRDefault="008A07F6" w:rsidP="008A07F6">
      <w:pPr>
        <w:spacing w:line="360" w:lineRule="auto"/>
        <w:jc w:val="left"/>
        <w:rPr>
          <w:rFonts w:ascii="Arial" w:hAnsi="Arial" w:cs="Arial"/>
          <w:b/>
          <w:i/>
          <w:sz w:val="28"/>
        </w:rPr>
      </w:pPr>
      <w:r w:rsidRPr="008A07F6">
        <w:rPr>
          <w:rFonts w:ascii="Arial" w:hAnsi="Arial" w:cs="Arial" w:hint="eastAsia"/>
          <w:b/>
          <w:i/>
          <w:sz w:val="28"/>
        </w:rPr>
        <w:lastRenderedPageBreak/>
        <w:t>Supplemental Figures</w:t>
      </w:r>
    </w:p>
    <w:p w:rsidR="008A07F6" w:rsidRPr="008A07F6" w:rsidRDefault="008A07F6" w:rsidP="008A07F6">
      <w:pPr>
        <w:spacing w:line="360" w:lineRule="auto"/>
        <w:jc w:val="left"/>
        <w:rPr>
          <w:rFonts w:ascii="Arial" w:hAnsi="Arial" w:cs="Arial"/>
          <w:b/>
          <w:sz w:val="24"/>
        </w:rPr>
      </w:pPr>
      <w:r w:rsidRPr="008A07F6">
        <w:rPr>
          <w:rFonts w:ascii="Arial" w:hAnsi="Arial" w:cs="Arial" w:hint="eastAsia"/>
          <w:b/>
          <w:sz w:val="24"/>
        </w:rPr>
        <w:t xml:space="preserve">Supplemental Figure 1. Flow sheet of study </w:t>
      </w:r>
    </w:p>
    <w:p w:rsidR="00576713" w:rsidRDefault="00576713" w:rsidP="00576713">
      <w:pPr>
        <w:jc w:val="left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</w:rPr>
        <w:drawing>
          <wp:inline distT="0" distB="0" distL="0" distR="0" wp14:anchorId="603121BA" wp14:editId="57E7BCDA">
            <wp:extent cx="6593506" cy="4552950"/>
            <wp:effectExtent l="0" t="0" r="0" b="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81" cy="4558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76713" w:rsidRDefault="00576713" w:rsidP="00576713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</w:rPr>
        <w:sectPr w:rsidR="00576713" w:rsidSect="008A071B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8A07F6" w:rsidRPr="008A07F6" w:rsidRDefault="008A07F6" w:rsidP="008A07F6">
      <w:pPr>
        <w:spacing w:line="360" w:lineRule="auto"/>
        <w:jc w:val="left"/>
        <w:rPr>
          <w:rFonts w:ascii="Arial" w:hAnsi="Arial" w:cs="Arial"/>
          <w:b/>
          <w:sz w:val="24"/>
        </w:rPr>
      </w:pPr>
      <w:r w:rsidRPr="008A07F6">
        <w:rPr>
          <w:rFonts w:ascii="Arial" w:hAnsi="Arial" w:cs="Arial" w:hint="eastAsia"/>
          <w:b/>
          <w:sz w:val="24"/>
        </w:rPr>
        <w:lastRenderedPageBreak/>
        <w:t>Supplemental Figure 2. Distribution of propensity score in symptomatic and asymptomatic participants</w:t>
      </w:r>
    </w:p>
    <w:p w:rsidR="008A07F6" w:rsidRDefault="0042105F" w:rsidP="008A07F6">
      <w:p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noProof/>
          <w:sz w:val="24"/>
        </w:rPr>
        <w:drawing>
          <wp:inline distT="0" distB="0" distL="0" distR="0" wp14:anchorId="31F7D6EA" wp14:editId="0BFC960B">
            <wp:extent cx="5114544" cy="6315456"/>
            <wp:effectExtent l="19050" t="0" r="0" b="0"/>
            <wp:docPr id="4" name="그림 3" descr="그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63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5F" w:rsidRPr="008A07F6" w:rsidRDefault="0042105F" w:rsidP="008A07F6">
      <w:p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X-axis indicates propensity score. </w:t>
      </w:r>
    </w:p>
    <w:sectPr w:rsidR="0042105F" w:rsidRPr="008A07F6" w:rsidSect="00177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7B" w:rsidRDefault="004F307B" w:rsidP="000A0623">
      <w:r>
        <w:separator/>
      </w:r>
    </w:p>
  </w:endnote>
  <w:endnote w:type="continuationSeparator" w:id="0">
    <w:p w:rsidR="004F307B" w:rsidRDefault="004F307B" w:rsidP="000A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7B" w:rsidRDefault="004F307B" w:rsidP="000A0623">
      <w:r>
        <w:separator/>
      </w:r>
    </w:p>
  </w:footnote>
  <w:footnote w:type="continuationSeparator" w:id="0">
    <w:p w:rsidR="004F307B" w:rsidRDefault="004F307B" w:rsidP="000A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A2F7D"/>
    <w:multiLevelType w:val="hybridMultilevel"/>
    <w:tmpl w:val="F1782742"/>
    <w:lvl w:ilvl="0" w:tplc="6AF8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6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2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6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E3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8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5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B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8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9936CF"/>
    <w:multiLevelType w:val="hybridMultilevel"/>
    <w:tmpl w:val="E8A4587E"/>
    <w:lvl w:ilvl="0" w:tplc="6974F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8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07B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8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C7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2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6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E"/>
    <w:rsid w:val="00007DB6"/>
    <w:rsid w:val="000A0623"/>
    <w:rsid w:val="00177489"/>
    <w:rsid w:val="002024E9"/>
    <w:rsid w:val="002323EF"/>
    <w:rsid w:val="003624E8"/>
    <w:rsid w:val="0042105F"/>
    <w:rsid w:val="004F307B"/>
    <w:rsid w:val="00576713"/>
    <w:rsid w:val="0080312D"/>
    <w:rsid w:val="008A07F6"/>
    <w:rsid w:val="00901AC9"/>
    <w:rsid w:val="00A36D7A"/>
    <w:rsid w:val="00A75779"/>
    <w:rsid w:val="00B35335"/>
    <w:rsid w:val="00CF71AE"/>
    <w:rsid w:val="00E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D5E676-B220-404F-956A-CB07252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8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07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rsid w:val="000A062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0A0623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rsid w:val="000A06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0A0623"/>
    <w:rPr>
      <w:rFonts w:ascii="바탕"/>
      <w:kern w:val="2"/>
      <w:szCs w:val="24"/>
    </w:rPr>
  </w:style>
  <w:style w:type="paragraph" w:styleId="NormalWeb">
    <w:name w:val="Normal (Web)"/>
    <w:basedOn w:val="Normal"/>
    <w:uiPriority w:val="99"/>
    <w:unhideWhenUsed/>
    <w:rsid w:val="003624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ListParagraph">
    <w:name w:val="List Paragraph"/>
    <w:basedOn w:val="Normal"/>
    <w:uiPriority w:val="34"/>
    <w:qFormat/>
    <w:rsid w:val="003624E8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서울대학교병원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Wi-Sun Ryu</dc:creator>
  <cp:lastModifiedBy>Ryu Wi-Sun</cp:lastModifiedBy>
  <cp:revision>2</cp:revision>
  <dcterms:created xsi:type="dcterms:W3CDTF">2014-03-11T08:29:00Z</dcterms:created>
  <dcterms:modified xsi:type="dcterms:W3CDTF">2014-03-11T08:29:00Z</dcterms:modified>
</cp:coreProperties>
</file>