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0D" w:rsidRPr="00985DAE" w:rsidRDefault="00C4210D" w:rsidP="00985DAE">
      <w:pPr>
        <w:spacing w:line="360" w:lineRule="auto"/>
        <w:jc w:val="both"/>
        <w:rPr>
          <w:rFonts w:ascii="Times New Roman" w:hAnsi="Times New Roman" w:cs="Times New Roman"/>
          <w:b/>
          <w:sz w:val="20"/>
          <w:szCs w:val="20"/>
          <w:lang w:val="en-US"/>
        </w:rPr>
      </w:pPr>
    </w:p>
    <w:p w:rsidR="00C4210D" w:rsidRPr="00985DAE" w:rsidRDefault="00C4210D" w:rsidP="00985DAE">
      <w:pPr>
        <w:spacing w:line="360" w:lineRule="auto"/>
        <w:jc w:val="both"/>
        <w:rPr>
          <w:rFonts w:ascii="Times New Roman" w:hAnsi="Times New Roman" w:cs="Times New Roman"/>
          <w:b/>
          <w:sz w:val="20"/>
          <w:szCs w:val="20"/>
          <w:lang w:val="en-US"/>
        </w:rPr>
      </w:pPr>
    </w:p>
    <w:p w:rsidR="00381D34" w:rsidRPr="00985DAE" w:rsidRDefault="00381D34" w:rsidP="00985DAE">
      <w:pPr>
        <w:spacing w:line="360" w:lineRule="auto"/>
        <w:jc w:val="center"/>
        <w:rPr>
          <w:rFonts w:ascii="Times New Roman" w:hAnsi="Times New Roman" w:cs="Times New Roman"/>
          <w:b/>
          <w:sz w:val="20"/>
          <w:szCs w:val="20"/>
          <w:u w:val="single"/>
          <w:lang w:val="en-US"/>
        </w:rPr>
      </w:pPr>
    </w:p>
    <w:p w:rsidR="00381D34" w:rsidRPr="00985DAE" w:rsidRDefault="00381D34" w:rsidP="00985DAE">
      <w:pPr>
        <w:spacing w:line="360" w:lineRule="auto"/>
        <w:jc w:val="center"/>
        <w:rPr>
          <w:rFonts w:ascii="Times New Roman" w:hAnsi="Times New Roman" w:cs="Times New Roman"/>
          <w:b/>
          <w:sz w:val="20"/>
          <w:szCs w:val="20"/>
          <w:u w:val="single"/>
          <w:lang w:val="en-US"/>
        </w:rPr>
      </w:pPr>
    </w:p>
    <w:p w:rsidR="00381D34" w:rsidRPr="00985DAE" w:rsidRDefault="00381D34" w:rsidP="00985DAE">
      <w:pPr>
        <w:spacing w:line="360" w:lineRule="auto"/>
        <w:jc w:val="center"/>
        <w:rPr>
          <w:rFonts w:ascii="Times New Roman" w:hAnsi="Times New Roman" w:cs="Times New Roman"/>
          <w:b/>
          <w:sz w:val="20"/>
          <w:szCs w:val="20"/>
          <w:u w:val="single"/>
          <w:lang w:val="en-US"/>
        </w:rPr>
      </w:pPr>
    </w:p>
    <w:p w:rsidR="00674067" w:rsidRPr="00985DAE" w:rsidRDefault="00272296" w:rsidP="00985DAE">
      <w:pPr>
        <w:spacing w:line="360" w:lineRule="auto"/>
        <w:jc w:val="center"/>
        <w:rPr>
          <w:rFonts w:ascii="Times New Roman" w:hAnsi="Times New Roman" w:cs="Times New Roman"/>
          <w:b/>
          <w:sz w:val="20"/>
          <w:szCs w:val="20"/>
          <w:u w:val="single"/>
          <w:lang w:val="en-US"/>
        </w:rPr>
      </w:pPr>
      <w:r w:rsidRPr="00985DAE">
        <w:rPr>
          <w:rFonts w:ascii="Times New Roman" w:hAnsi="Times New Roman" w:cs="Times New Roman"/>
          <w:b/>
          <w:sz w:val="20"/>
          <w:szCs w:val="20"/>
          <w:u w:val="single"/>
          <w:lang w:val="en-US"/>
        </w:rPr>
        <w:t>SUPPLEMENT</w:t>
      </w:r>
      <w:r w:rsidR="00BD0EAE">
        <w:rPr>
          <w:rFonts w:ascii="Times New Roman" w:hAnsi="Times New Roman" w:cs="Times New Roman"/>
          <w:b/>
          <w:sz w:val="20"/>
          <w:szCs w:val="20"/>
          <w:u w:val="single"/>
          <w:lang w:val="en-US"/>
        </w:rPr>
        <w:t>A</w:t>
      </w:r>
      <w:r w:rsidR="0021529B">
        <w:rPr>
          <w:rFonts w:ascii="Times New Roman" w:hAnsi="Times New Roman" w:cs="Times New Roman"/>
          <w:b/>
          <w:sz w:val="20"/>
          <w:szCs w:val="20"/>
          <w:u w:val="single"/>
          <w:lang w:val="en-US"/>
        </w:rPr>
        <w:t>RY</w:t>
      </w:r>
      <w:r w:rsidR="00BD0EAE">
        <w:rPr>
          <w:rFonts w:ascii="Times New Roman" w:hAnsi="Times New Roman" w:cs="Times New Roman"/>
          <w:b/>
          <w:sz w:val="20"/>
          <w:szCs w:val="20"/>
          <w:u w:val="single"/>
          <w:lang w:val="en-US"/>
        </w:rPr>
        <w:t xml:space="preserve"> DATA</w:t>
      </w:r>
    </w:p>
    <w:p w:rsidR="00662CE0" w:rsidRPr="00662CE0" w:rsidRDefault="00662CE0" w:rsidP="00662CE0">
      <w:pPr>
        <w:spacing w:line="480" w:lineRule="auto"/>
        <w:jc w:val="center"/>
        <w:rPr>
          <w:rFonts w:ascii="Times New Roman" w:hAnsi="Times New Roman" w:cs="Times New Roman"/>
          <w:b/>
          <w:sz w:val="20"/>
          <w:szCs w:val="24"/>
          <w:lang w:val="en-US"/>
        </w:rPr>
      </w:pPr>
      <w:r w:rsidRPr="00662CE0">
        <w:rPr>
          <w:rFonts w:ascii="Times New Roman" w:hAnsi="Times New Roman" w:cs="Times New Roman"/>
          <w:b/>
          <w:sz w:val="20"/>
          <w:szCs w:val="24"/>
          <w:lang w:val="en-US"/>
        </w:rPr>
        <w:t>Functional Outcome After Primary Endovascular Therapy Or IV Thrombolysis Alone for Stroke. An Observational, Comparative Effectiveness Study</w:t>
      </w:r>
    </w:p>
    <w:p w:rsidR="00674067" w:rsidRPr="0021529B" w:rsidRDefault="0021529B" w:rsidP="006336D2">
      <w:pPr>
        <w:spacing w:line="360" w:lineRule="auto"/>
        <w:rPr>
          <w:rFonts w:ascii="Times New Roman" w:hAnsi="Times New Roman" w:cs="Times New Roman"/>
          <w:b/>
          <w:sz w:val="20"/>
          <w:szCs w:val="20"/>
          <w:lang w:val="en-US"/>
        </w:rPr>
      </w:pPr>
      <w:r w:rsidRPr="0021529B">
        <w:rPr>
          <w:rFonts w:ascii="Times New Roman" w:hAnsi="Times New Roman" w:cs="Times New Roman"/>
          <w:sz w:val="24"/>
          <w:szCs w:val="24"/>
          <w:lang w:val="en-US"/>
        </w:rPr>
        <w:t>S. Abilleira, A. Ribera,</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 xml:space="preserve">A. </w:t>
      </w:r>
      <w:proofErr w:type="spellStart"/>
      <w:r w:rsidRPr="0021529B">
        <w:rPr>
          <w:rFonts w:ascii="Times New Roman" w:hAnsi="Times New Roman" w:cs="Times New Roman"/>
          <w:sz w:val="24"/>
          <w:szCs w:val="24"/>
          <w:lang w:val="en-US"/>
        </w:rPr>
        <w:t>Dávalos</w:t>
      </w:r>
      <w:proofErr w:type="spellEnd"/>
      <w:r w:rsidRPr="0021529B">
        <w:rPr>
          <w:rFonts w:ascii="Times New Roman" w:hAnsi="Times New Roman" w:cs="Times New Roman"/>
          <w:sz w:val="24"/>
          <w:szCs w:val="24"/>
          <w:lang w:val="en-US"/>
        </w:rPr>
        <w:t>,</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M. Ribó,</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A. Chamorro,</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P. Cardona, C.A. Molina,</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 xml:space="preserve">A. </w:t>
      </w:r>
      <w:proofErr w:type="spellStart"/>
      <w:r w:rsidRPr="0021529B">
        <w:rPr>
          <w:rFonts w:ascii="Times New Roman" w:hAnsi="Times New Roman" w:cs="Times New Roman"/>
          <w:sz w:val="24"/>
          <w:szCs w:val="24"/>
          <w:lang w:val="en-US"/>
        </w:rPr>
        <w:t>Martínez-Yélamos</w:t>
      </w:r>
      <w:proofErr w:type="spellEnd"/>
      <w:r w:rsidRPr="0021529B">
        <w:rPr>
          <w:rFonts w:ascii="Times New Roman" w:hAnsi="Times New Roman" w:cs="Times New Roman"/>
          <w:sz w:val="24"/>
          <w:szCs w:val="24"/>
          <w:lang w:val="en-US"/>
        </w:rPr>
        <w:t>,</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X. Urra,</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L. Dorado,</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 xml:space="preserve">J. Roquer, J. Martí-Fàbregas, L. </w:t>
      </w:r>
      <w:proofErr w:type="spellStart"/>
      <w:r w:rsidRPr="0021529B">
        <w:rPr>
          <w:rFonts w:ascii="Times New Roman" w:hAnsi="Times New Roman" w:cs="Times New Roman"/>
          <w:sz w:val="24"/>
          <w:szCs w:val="24"/>
          <w:lang w:val="en-US"/>
        </w:rPr>
        <w:t>Aja</w:t>
      </w:r>
      <w:proofErr w:type="spellEnd"/>
      <w:r w:rsidRPr="0021529B">
        <w:rPr>
          <w:rFonts w:ascii="Times New Roman" w:hAnsi="Times New Roman" w:cs="Times New Roman"/>
          <w:sz w:val="24"/>
          <w:szCs w:val="24"/>
          <w:lang w:val="en-US"/>
        </w:rPr>
        <w:t>, A. Tomasello,</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 xml:space="preserve">C. </w:t>
      </w:r>
      <w:proofErr w:type="spellStart"/>
      <w:r w:rsidRPr="0021529B">
        <w:rPr>
          <w:rFonts w:ascii="Times New Roman" w:hAnsi="Times New Roman" w:cs="Times New Roman"/>
          <w:sz w:val="24"/>
          <w:szCs w:val="24"/>
          <w:lang w:val="en-US"/>
        </w:rPr>
        <w:t>Castaño</w:t>
      </w:r>
      <w:proofErr w:type="spellEnd"/>
      <w:r w:rsidRPr="0021529B">
        <w:rPr>
          <w:rFonts w:ascii="Times New Roman" w:hAnsi="Times New Roman" w:cs="Times New Roman"/>
          <w:sz w:val="24"/>
          <w:szCs w:val="24"/>
          <w:lang w:val="en-US"/>
        </w:rPr>
        <w:t>,</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 xml:space="preserve">J. </w:t>
      </w:r>
      <w:proofErr w:type="spellStart"/>
      <w:r w:rsidRPr="0021529B">
        <w:rPr>
          <w:rFonts w:ascii="Times New Roman" w:hAnsi="Times New Roman" w:cs="Times New Roman"/>
          <w:sz w:val="24"/>
          <w:szCs w:val="24"/>
          <w:lang w:val="en-US"/>
        </w:rPr>
        <w:t>Blasco</w:t>
      </w:r>
      <w:proofErr w:type="spellEnd"/>
      <w:r w:rsidRPr="0021529B">
        <w:rPr>
          <w:rFonts w:ascii="Times New Roman" w:hAnsi="Times New Roman" w:cs="Times New Roman"/>
          <w:sz w:val="24"/>
          <w:szCs w:val="24"/>
          <w:lang w:val="en-US"/>
        </w:rPr>
        <w:t xml:space="preserve">, D. Cánovas, M. Castellanos, J. Krupinski, L. </w:t>
      </w:r>
      <w:proofErr w:type="spellStart"/>
      <w:r w:rsidRPr="0021529B">
        <w:rPr>
          <w:rFonts w:ascii="Times New Roman" w:hAnsi="Times New Roman" w:cs="Times New Roman"/>
          <w:sz w:val="24"/>
          <w:szCs w:val="24"/>
          <w:lang w:val="en-US"/>
        </w:rPr>
        <w:t>Guimaraens</w:t>
      </w:r>
      <w:proofErr w:type="spellEnd"/>
      <w:r w:rsidRPr="0021529B">
        <w:rPr>
          <w:rFonts w:ascii="Times New Roman" w:hAnsi="Times New Roman" w:cs="Times New Roman"/>
          <w:sz w:val="24"/>
          <w:szCs w:val="24"/>
          <w:lang w:val="en-US"/>
        </w:rPr>
        <w:t>, J. Perendreu,</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X. Ustrell, F. Purroy,</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 xml:space="preserve">M. </w:t>
      </w:r>
      <w:proofErr w:type="spellStart"/>
      <w:r w:rsidRPr="0021529B">
        <w:rPr>
          <w:rFonts w:ascii="Times New Roman" w:hAnsi="Times New Roman" w:cs="Times New Roman"/>
          <w:sz w:val="24"/>
          <w:szCs w:val="24"/>
          <w:lang w:val="en-US"/>
        </w:rPr>
        <w:t>Gómez</w:t>
      </w:r>
      <w:proofErr w:type="spellEnd"/>
      <w:r w:rsidRPr="0021529B">
        <w:rPr>
          <w:rFonts w:ascii="Times New Roman" w:hAnsi="Times New Roman" w:cs="Times New Roman"/>
          <w:sz w:val="24"/>
          <w:szCs w:val="24"/>
          <w:lang w:val="en-US"/>
        </w:rPr>
        <w:t>-Choco, J.J. Baiges,</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D. Cocho, J. Saura,</w:t>
      </w:r>
      <w:r w:rsidRPr="0021529B">
        <w:rPr>
          <w:rFonts w:ascii="Times New Roman" w:hAnsi="Times New Roman" w:cs="Times New Roman"/>
          <w:color w:val="FF0000"/>
          <w:sz w:val="24"/>
          <w:szCs w:val="24"/>
          <w:lang w:val="en-US"/>
        </w:rPr>
        <w:t xml:space="preserve"> </w:t>
      </w:r>
      <w:r w:rsidRPr="0021529B">
        <w:rPr>
          <w:rFonts w:ascii="Times New Roman" w:hAnsi="Times New Roman" w:cs="Times New Roman"/>
          <w:sz w:val="24"/>
          <w:szCs w:val="24"/>
          <w:lang w:val="en-US"/>
        </w:rPr>
        <w:t>M. Gallofré.</w:t>
      </w:r>
    </w:p>
    <w:p w:rsidR="00C4210D" w:rsidRPr="00985DAE" w:rsidRDefault="00C4210D" w:rsidP="00985DAE">
      <w:pPr>
        <w:spacing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br w:type="page"/>
      </w:r>
    </w:p>
    <w:p w:rsidR="00BD0EAE" w:rsidRPr="00985DAE" w:rsidRDefault="008B2EDD" w:rsidP="00985DAE">
      <w:pPr>
        <w:spacing w:after="0"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lastRenderedPageBreak/>
        <w:t>APPENDIX</w:t>
      </w:r>
    </w:p>
    <w:p w:rsidR="006336D2" w:rsidRDefault="006336D2" w:rsidP="00985DAE">
      <w:pPr>
        <w:spacing w:after="0" w:line="360" w:lineRule="auto"/>
        <w:rPr>
          <w:rFonts w:ascii="Times New Roman" w:hAnsi="Times New Roman" w:cs="Times New Roman"/>
          <w:i/>
          <w:sz w:val="20"/>
          <w:szCs w:val="20"/>
          <w:lang w:val="en-US"/>
        </w:rPr>
      </w:pPr>
    </w:p>
    <w:p w:rsidR="000C7A48" w:rsidRPr="00BD0EAE" w:rsidRDefault="000C7A48" w:rsidP="00985DAE">
      <w:pPr>
        <w:spacing w:after="0" w:line="360" w:lineRule="auto"/>
        <w:rPr>
          <w:rFonts w:ascii="Times New Roman" w:hAnsi="Times New Roman" w:cs="Times New Roman"/>
          <w:i/>
          <w:sz w:val="20"/>
          <w:szCs w:val="20"/>
          <w:lang w:val="en-US"/>
        </w:rPr>
      </w:pPr>
      <w:r w:rsidRPr="00BD0EAE">
        <w:rPr>
          <w:rFonts w:ascii="Times New Roman" w:hAnsi="Times New Roman" w:cs="Times New Roman"/>
          <w:i/>
          <w:sz w:val="20"/>
          <w:szCs w:val="20"/>
          <w:lang w:val="en-US"/>
        </w:rPr>
        <w:t>The Catalan Stroke Code and Reperfusion Consortium members are:</w:t>
      </w:r>
    </w:p>
    <w:p w:rsidR="006336D2" w:rsidRDefault="006336D2" w:rsidP="00985DAE">
      <w:pPr>
        <w:spacing w:after="0" w:line="360" w:lineRule="auto"/>
        <w:rPr>
          <w:rFonts w:ascii="Times New Roman" w:hAnsi="Times New Roman" w:cs="Times New Roman"/>
          <w:sz w:val="20"/>
          <w:szCs w:val="20"/>
          <w:lang w:val="en-US"/>
        </w:rPr>
      </w:pPr>
    </w:p>
    <w:p w:rsidR="000C7A48" w:rsidRPr="00985DAE" w:rsidRDefault="000C7A48" w:rsidP="00985DAE">
      <w:pPr>
        <w:spacing w:after="0" w:line="360" w:lineRule="auto"/>
        <w:rPr>
          <w:rFonts w:ascii="Times New Roman" w:hAnsi="Times New Roman" w:cs="Times New Roman"/>
          <w:sz w:val="20"/>
          <w:szCs w:val="20"/>
          <w:lang w:val="en-US"/>
        </w:rPr>
      </w:pPr>
      <w:r w:rsidRPr="00985DAE">
        <w:rPr>
          <w:rFonts w:ascii="Times New Roman" w:hAnsi="Times New Roman" w:cs="Times New Roman"/>
          <w:sz w:val="20"/>
          <w:szCs w:val="20"/>
          <w:lang w:val="en-US"/>
        </w:rPr>
        <w:t xml:space="preserve">Jordi Sanahuja, Francisco Purroy (Hospital Arnau de </w:t>
      </w:r>
      <w:proofErr w:type="spellStart"/>
      <w:r w:rsidRPr="00985DAE">
        <w:rPr>
          <w:rFonts w:ascii="Times New Roman" w:hAnsi="Times New Roman" w:cs="Times New Roman"/>
          <w:sz w:val="20"/>
          <w:szCs w:val="20"/>
          <w:lang w:val="en-US"/>
        </w:rPr>
        <w:t>Vilanova</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Lleida</w:t>
      </w:r>
      <w:proofErr w:type="spellEnd"/>
      <w:r w:rsidRPr="00985DAE">
        <w:rPr>
          <w:rFonts w:ascii="Times New Roman" w:hAnsi="Times New Roman" w:cs="Times New Roman"/>
          <w:sz w:val="20"/>
          <w:szCs w:val="20"/>
          <w:lang w:val="en-US"/>
        </w:rPr>
        <w:t xml:space="preserve">, Spain); </w:t>
      </w:r>
      <w:proofErr w:type="spellStart"/>
      <w:r w:rsidRPr="00985DAE">
        <w:rPr>
          <w:rFonts w:ascii="Times New Roman" w:hAnsi="Times New Roman" w:cs="Times New Roman"/>
          <w:sz w:val="20"/>
          <w:szCs w:val="20"/>
          <w:lang w:val="en-US"/>
        </w:rPr>
        <w:t>Joaquín</w:t>
      </w:r>
      <w:proofErr w:type="spellEnd"/>
      <w:r w:rsidRPr="00985DAE">
        <w:rPr>
          <w:rFonts w:ascii="Times New Roman" w:hAnsi="Times New Roman" w:cs="Times New Roman"/>
          <w:sz w:val="20"/>
          <w:szCs w:val="20"/>
          <w:lang w:val="en-US"/>
        </w:rPr>
        <w:t xml:space="preserve"> Serena, Mar Castellanos, Yolanda Silva, Cecile van Eendenburg (Hospital Josep </w:t>
      </w:r>
      <w:proofErr w:type="spellStart"/>
      <w:r w:rsidRPr="00985DAE">
        <w:rPr>
          <w:rFonts w:ascii="Times New Roman" w:hAnsi="Times New Roman" w:cs="Times New Roman"/>
          <w:sz w:val="20"/>
          <w:szCs w:val="20"/>
          <w:lang w:val="en-US"/>
        </w:rPr>
        <w:t>Trueta</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Girona</w:t>
      </w:r>
      <w:proofErr w:type="spellEnd"/>
      <w:r w:rsidRPr="00985DAE">
        <w:rPr>
          <w:rFonts w:ascii="Times New Roman" w:hAnsi="Times New Roman" w:cs="Times New Roman"/>
          <w:sz w:val="20"/>
          <w:szCs w:val="20"/>
          <w:lang w:val="en-US"/>
        </w:rPr>
        <w:t xml:space="preserve">, Spain); Anna </w:t>
      </w:r>
      <w:proofErr w:type="spellStart"/>
      <w:r w:rsidRPr="00985DAE">
        <w:rPr>
          <w:rFonts w:ascii="Times New Roman" w:hAnsi="Times New Roman" w:cs="Times New Roman"/>
          <w:sz w:val="20"/>
          <w:szCs w:val="20"/>
          <w:lang w:val="en-US"/>
        </w:rPr>
        <w:t>Pellisé</w:t>
      </w:r>
      <w:proofErr w:type="spellEnd"/>
      <w:r w:rsidRPr="00985DAE">
        <w:rPr>
          <w:rFonts w:ascii="Times New Roman" w:hAnsi="Times New Roman" w:cs="Times New Roman"/>
          <w:sz w:val="20"/>
          <w:szCs w:val="20"/>
          <w:lang w:val="en-US"/>
        </w:rPr>
        <w:t xml:space="preserve">, Xavier Ustrell, Rafael </w:t>
      </w:r>
      <w:proofErr w:type="spellStart"/>
      <w:r w:rsidRPr="00985DAE">
        <w:rPr>
          <w:rFonts w:ascii="Times New Roman" w:hAnsi="Times New Roman" w:cs="Times New Roman"/>
          <w:sz w:val="20"/>
          <w:szCs w:val="20"/>
          <w:lang w:val="en-US"/>
        </w:rPr>
        <w:t>Marés</w:t>
      </w:r>
      <w:proofErr w:type="spellEnd"/>
      <w:r w:rsidRPr="00985DAE">
        <w:rPr>
          <w:rFonts w:ascii="Times New Roman" w:hAnsi="Times New Roman" w:cs="Times New Roman"/>
          <w:sz w:val="20"/>
          <w:szCs w:val="20"/>
          <w:lang w:val="en-US"/>
        </w:rPr>
        <w:t xml:space="preserve"> (Hospital Joan XXIII, Tarragona, Spain); </w:t>
      </w:r>
      <w:proofErr w:type="spellStart"/>
      <w:r w:rsidRPr="00985DAE">
        <w:rPr>
          <w:rFonts w:ascii="Times New Roman" w:hAnsi="Times New Roman" w:cs="Times New Roman"/>
          <w:sz w:val="20"/>
          <w:szCs w:val="20"/>
          <w:lang w:val="en-US"/>
        </w:rPr>
        <w:t>Juanjo</w:t>
      </w:r>
      <w:proofErr w:type="spellEnd"/>
      <w:r w:rsidRPr="00985DAE">
        <w:rPr>
          <w:rFonts w:ascii="Times New Roman" w:hAnsi="Times New Roman" w:cs="Times New Roman"/>
          <w:sz w:val="20"/>
          <w:szCs w:val="20"/>
          <w:lang w:val="en-US"/>
        </w:rPr>
        <w:t xml:space="preserve"> Baiges, </w:t>
      </w:r>
      <w:proofErr w:type="spellStart"/>
      <w:r w:rsidRPr="00985DAE">
        <w:rPr>
          <w:rFonts w:ascii="Times New Roman" w:hAnsi="Times New Roman" w:cs="Times New Roman"/>
          <w:sz w:val="20"/>
          <w:szCs w:val="20"/>
          <w:lang w:val="en-US"/>
        </w:rPr>
        <w:t>Moisés</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Garcés</w:t>
      </w:r>
      <w:proofErr w:type="spellEnd"/>
      <w:r w:rsidRPr="00985DAE">
        <w:rPr>
          <w:rFonts w:ascii="Times New Roman" w:hAnsi="Times New Roman" w:cs="Times New Roman"/>
          <w:sz w:val="20"/>
          <w:szCs w:val="20"/>
          <w:lang w:val="en-US"/>
        </w:rPr>
        <w:t xml:space="preserve"> (Hospital Verge de la </w:t>
      </w:r>
      <w:proofErr w:type="spellStart"/>
      <w:r w:rsidRPr="00985DAE">
        <w:rPr>
          <w:rFonts w:ascii="Times New Roman" w:hAnsi="Times New Roman" w:cs="Times New Roman"/>
          <w:sz w:val="20"/>
          <w:szCs w:val="20"/>
          <w:lang w:val="en-US"/>
        </w:rPr>
        <w:t>Cinta</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Tortosa</w:t>
      </w:r>
      <w:proofErr w:type="spellEnd"/>
      <w:r w:rsidRPr="00985DAE">
        <w:rPr>
          <w:rFonts w:ascii="Times New Roman" w:hAnsi="Times New Roman" w:cs="Times New Roman"/>
          <w:sz w:val="20"/>
          <w:szCs w:val="20"/>
          <w:lang w:val="en-US"/>
        </w:rPr>
        <w:t xml:space="preserve">, Spain); </w:t>
      </w:r>
      <w:proofErr w:type="spellStart"/>
      <w:r w:rsidRPr="00985DAE">
        <w:rPr>
          <w:rFonts w:ascii="Times New Roman" w:hAnsi="Times New Roman" w:cs="Times New Roman"/>
          <w:sz w:val="20"/>
          <w:szCs w:val="20"/>
          <w:lang w:val="en-US"/>
        </w:rPr>
        <w:t>Júlia</w:t>
      </w:r>
      <w:proofErr w:type="spellEnd"/>
      <w:r w:rsidRPr="00985DAE">
        <w:rPr>
          <w:rFonts w:ascii="Times New Roman" w:hAnsi="Times New Roman" w:cs="Times New Roman"/>
          <w:sz w:val="20"/>
          <w:szCs w:val="20"/>
          <w:lang w:val="en-US"/>
        </w:rPr>
        <w:t xml:space="preserve"> Saura, Josep Maria Soler </w:t>
      </w:r>
      <w:proofErr w:type="spellStart"/>
      <w:r w:rsidRPr="00985DAE">
        <w:rPr>
          <w:rFonts w:ascii="Times New Roman" w:hAnsi="Times New Roman" w:cs="Times New Roman"/>
          <w:sz w:val="20"/>
          <w:szCs w:val="20"/>
          <w:lang w:val="en-US"/>
        </w:rPr>
        <w:t>Insa</w:t>
      </w:r>
      <w:proofErr w:type="spellEnd"/>
      <w:r w:rsidRPr="00985DAE">
        <w:rPr>
          <w:rFonts w:ascii="Times New Roman" w:hAnsi="Times New Roman" w:cs="Times New Roman"/>
          <w:sz w:val="20"/>
          <w:szCs w:val="20"/>
          <w:lang w:val="en-US"/>
        </w:rPr>
        <w:t xml:space="preserve"> (Fundació </w:t>
      </w:r>
      <w:proofErr w:type="spellStart"/>
      <w:r w:rsidRPr="00985DAE">
        <w:rPr>
          <w:rFonts w:ascii="Times New Roman" w:hAnsi="Times New Roman" w:cs="Times New Roman"/>
          <w:sz w:val="20"/>
          <w:szCs w:val="20"/>
          <w:lang w:val="en-US"/>
        </w:rPr>
        <w:t>Althaia</w:t>
      </w:r>
      <w:proofErr w:type="spellEnd"/>
      <w:r w:rsidRPr="00985DAE">
        <w:rPr>
          <w:rFonts w:ascii="Times New Roman" w:hAnsi="Times New Roman" w:cs="Times New Roman"/>
          <w:sz w:val="20"/>
          <w:szCs w:val="20"/>
          <w:lang w:val="en-US"/>
        </w:rPr>
        <w:t xml:space="preserve">, Manresa, Spain); Josep Maria </w:t>
      </w:r>
      <w:proofErr w:type="spellStart"/>
      <w:r w:rsidRPr="00985DAE">
        <w:rPr>
          <w:rFonts w:ascii="Times New Roman" w:hAnsi="Times New Roman" w:cs="Times New Roman"/>
          <w:sz w:val="20"/>
          <w:szCs w:val="20"/>
          <w:lang w:val="en-US"/>
        </w:rPr>
        <w:t>Aragonés</w:t>
      </w:r>
      <w:proofErr w:type="spellEnd"/>
      <w:r w:rsidRPr="00985DAE">
        <w:rPr>
          <w:rFonts w:ascii="Times New Roman" w:hAnsi="Times New Roman" w:cs="Times New Roman"/>
          <w:sz w:val="20"/>
          <w:szCs w:val="20"/>
          <w:lang w:val="en-US"/>
        </w:rPr>
        <w:t xml:space="preserve"> (Hospital General de Vic, Vic, Spain); Pilar </w:t>
      </w:r>
      <w:proofErr w:type="spellStart"/>
      <w:r w:rsidRPr="00985DAE">
        <w:rPr>
          <w:rFonts w:ascii="Times New Roman" w:hAnsi="Times New Roman" w:cs="Times New Roman"/>
          <w:sz w:val="20"/>
          <w:szCs w:val="20"/>
          <w:lang w:val="en-US"/>
        </w:rPr>
        <w:t>Otermín</w:t>
      </w:r>
      <w:proofErr w:type="spellEnd"/>
      <w:r w:rsidRPr="00985DAE">
        <w:rPr>
          <w:rFonts w:ascii="Times New Roman" w:hAnsi="Times New Roman" w:cs="Times New Roman"/>
          <w:sz w:val="20"/>
          <w:szCs w:val="20"/>
          <w:lang w:val="en-US"/>
        </w:rPr>
        <w:t xml:space="preserve">, Dolores Cocho (Fundació </w:t>
      </w:r>
      <w:proofErr w:type="spellStart"/>
      <w:r w:rsidRPr="00985DAE">
        <w:rPr>
          <w:rFonts w:ascii="Times New Roman" w:hAnsi="Times New Roman" w:cs="Times New Roman"/>
          <w:sz w:val="20"/>
          <w:szCs w:val="20"/>
          <w:lang w:val="en-US"/>
        </w:rPr>
        <w:t>Asil</w:t>
      </w:r>
      <w:proofErr w:type="spellEnd"/>
      <w:r w:rsidRPr="00985DAE">
        <w:rPr>
          <w:rFonts w:ascii="Times New Roman" w:hAnsi="Times New Roman" w:cs="Times New Roman"/>
          <w:sz w:val="20"/>
          <w:szCs w:val="20"/>
          <w:lang w:val="en-US"/>
        </w:rPr>
        <w:t xml:space="preserve"> de </w:t>
      </w:r>
      <w:proofErr w:type="spellStart"/>
      <w:r w:rsidRPr="00985DAE">
        <w:rPr>
          <w:rFonts w:ascii="Times New Roman" w:hAnsi="Times New Roman" w:cs="Times New Roman"/>
          <w:sz w:val="20"/>
          <w:szCs w:val="20"/>
          <w:lang w:val="en-US"/>
        </w:rPr>
        <w:t>Granollers</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Granollers</w:t>
      </w:r>
      <w:proofErr w:type="spellEnd"/>
      <w:r w:rsidRPr="00985DAE">
        <w:rPr>
          <w:rFonts w:ascii="Times New Roman" w:hAnsi="Times New Roman" w:cs="Times New Roman"/>
          <w:sz w:val="20"/>
          <w:szCs w:val="20"/>
          <w:lang w:val="en-US"/>
        </w:rPr>
        <w:t>, Spain); Ernest Palomeras (</w:t>
      </w:r>
      <w:proofErr w:type="spellStart"/>
      <w:r w:rsidRPr="00985DAE">
        <w:rPr>
          <w:rFonts w:ascii="Times New Roman" w:hAnsi="Times New Roman" w:cs="Times New Roman"/>
          <w:sz w:val="20"/>
          <w:szCs w:val="20"/>
          <w:lang w:val="en-US"/>
        </w:rPr>
        <w:t>Consorci</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Sanitari</w:t>
      </w:r>
      <w:proofErr w:type="spellEnd"/>
      <w:r w:rsidRPr="00985DAE">
        <w:rPr>
          <w:rFonts w:ascii="Times New Roman" w:hAnsi="Times New Roman" w:cs="Times New Roman"/>
          <w:sz w:val="20"/>
          <w:szCs w:val="20"/>
          <w:lang w:val="en-US"/>
        </w:rPr>
        <w:t xml:space="preserve"> del </w:t>
      </w:r>
      <w:proofErr w:type="spellStart"/>
      <w:r w:rsidRPr="00985DAE">
        <w:rPr>
          <w:rFonts w:ascii="Times New Roman" w:hAnsi="Times New Roman" w:cs="Times New Roman"/>
          <w:sz w:val="20"/>
          <w:szCs w:val="20"/>
          <w:lang w:val="en-US"/>
        </w:rPr>
        <w:t>Maresme</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Mataró</w:t>
      </w:r>
      <w:proofErr w:type="spellEnd"/>
      <w:r w:rsidRPr="00985DAE">
        <w:rPr>
          <w:rFonts w:ascii="Times New Roman" w:hAnsi="Times New Roman" w:cs="Times New Roman"/>
          <w:sz w:val="20"/>
          <w:szCs w:val="20"/>
          <w:lang w:val="en-US"/>
        </w:rPr>
        <w:t xml:space="preserve">, Spain); Antoni </w:t>
      </w:r>
      <w:proofErr w:type="spellStart"/>
      <w:r w:rsidRPr="00985DAE">
        <w:rPr>
          <w:rFonts w:ascii="Times New Roman" w:hAnsi="Times New Roman" w:cs="Times New Roman"/>
          <w:sz w:val="20"/>
          <w:szCs w:val="20"/>
          <w:lang w:val="en-US"/>
        </w:rPr>
        <w:t>Dávalos</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Mònica</w:t>
      </w:r>
      <w:proofErr w:type="spellEnd"/>
      <w:r w:rsidRPr="00985DAE">
        <w:rPr>
          <w:rFonts w:ascii="Times New Roman" w:hAnsi="Times New Roman" w:cs="Times New Roman"/>
          <w:sz w:val="20"/>
          <w:szCs w:val="20"/>
          <w:lang w:val="en-US"/>
        </w:rPr>
        <w:t xml:space="preserve"> Millán, Natalia Pérez de la Ossa, Meritxell Gomis, Elena López-Cancio, Laura Dorado, </w:t>
      </w:r>
      <w:proofErr w:type="spellStart"/>
      <w:r w:rsidRPr="00985DAE">
        <w:rPr>
          <w:rFonts w:ascii="Times New Roman" w:hAnsi="Times New Roman" w:cs="Times New Roman"/>
          <w:sz w:val="20"/>
          <w:szCs w:val="20"/>
          <w:lang w:val="en-US"/>
        </w:rPr>
        <w:t>Aitzíber</w:t>
      </w:r>
      <w:proofErr w:type="spellEnd"/>
      <w:r w:rsidRPr="00985DAE">
        <w:rPr>
          <w:rFonts w:ascii="Times New Roman" w:hAnsi="Times New Roman" w:cs="Times New Roman"/>
          <w:sz w:val="20"/>
          <w:szCs w:val="20"/>
          <w:lang w:val="en-US"/>
        </w:rPr>
        <w:t xml:space="preserve"> Aleu, Carlos </w:t>
      </w:r>
      <w:proofErr w:type="spellStart"/>
      <w:r w:rsidRPr="00985DAE">
        <w:rPr>
          <w:rFonts w:ascii="Times New Roman" w:hAnsi="Times New Roman" w:cs="Times New Roman"/>
          <w:sz w:val="20"/>
          <w:szCs w:val="20"/>
          <w:lang w:val="en-US"/>
        </w:rPr>
        <w:t>Castaño</w:t>
      </w:r>
      <w:proofErr w:type="spellEnd"/>
      <w:r w:rsidRPr="00985DAE">
        <w:rPr>
          <w:rFonts w:ascii="Times New Roman" w:hAnsi="Times New Roman" w:cs="Times New Roman"/>
          <w:sz w:val="20"/>
          <w:szCs w:val="20"/>
          <w:lang w:val="en-US"/>
        </w:rPr>
        <w:t xml:space="preserve">, Pablo García-Bermejo (Hospital Germans Trias i </w:t>
      </w:r>
      <w:proofErr w:type="spellStart"/>
      <w:r w:rsidRPr="00985DAE">
        <w:rPr>
          <w:rFonts w:ascii="Times New Roman" w:hAnsi="Times New Roman" w:cs="Times New Roman"/>
          <w:sz w:val="20"/>
          <w:szCs w:val="20"/>
          <w:lang w:val="en-US"/>
        </w:rPr>
        <w:t>Pujol</w:t>
      </w:r>
      <w:proofErr w:type="spellEnd"/>
      <w:r w:rsidRPr="00985DAE">
        <w:rPr>
          <w:rFonts w:ascii="Times New Roman" w:hAnsi="Times New Roman" w:cs="Times New Roman"/>
          <w:sz w:val="20"/>
          <w:szCs w:val="20"/>
          <w:lang w:val="en-US"/>
        </w:rPr>
        <w:t xml:space="preserve">, Badalona, Spain); José </w:t>
      </w:r>
      <w:proofErr w:type="spellStart"/>
      <w:r w:rsidRPr="00985DAE">
        <w:rPr>
          <w:rFonts w:ascii="Times New Roman" w:hAnsi="Times New Roman" w:cs="Times New Roman"/>
          <w:sz w:val="20"/>
          <w:szCs w:val="20"/>
          <w:lang w:val="en-US"/>
        </w:rPr>
        <w:t>Álvarez-Sabín</w:t>
      </w:r>
      <w:proofErr w:type="spellEnd"/>
      <w:r w:rsidRPr="00985DAE">
        <w:rPr>
          <w:rFonts w:ascii="Times New Roman" w:hAnsi="Times New Roman" w:cs="Times New Roman"/>
          <w:sz w:val="20"/>
          <w:szCs w:val="20"/>
          <w:lang w:val="en-US"/>
        </w:rPr>
        <w:t xml:space="preserve">, Marc Ribó, Marta Rubiera, Esteban Santamarina, Jorge </w:t>
      </w:r>
      <w:proofErr w:type="spellStart"/>
      <w:r w:rsidRPr="00985DAE">
        <w:rPr>
          <w:rFonts w:ascii="Times New Roman" w:hAnsi="Times New Roman" w:cs="Times New Roman"/>
          <w:sz w:val="20"/>
          <w:szCs w:val="20"/>
          <w:lang w:val="en-US"/>
        </w:rPr>
        <w:t>Pagola</w:t>
      </w:r>
      <w:proofErr w:type="spellEnd"/>
      <w:r w:rsidRPr="00985DAE">
        <w:rPr>
          <w:rFonts w:ascii="Times New Roman" w:hAnsi="Times New Roman" w:cs="Times New Roman"/>
          <w:sz w:val="20"/>
          <w:szCs w:val="20"/>
          <w:lang w:val="en-US"/>
        </w:rPr>
        <w:t xml:space="preserve">, Carlos Molina, Alejandro Tomasello, Pilar Coscojuela (Hospital </w:t>
      </w:r>
      <w:proofErr w:type="spellStart"/>
      <w:r w:rsidRPr="00985DAE">
        <w:rPr>
          <w:rFonts w:ascii="Times New Roman" w:hAnsi="Times New Roman" w:cs="Times New Roman"/>
          <w:sz w:val="20"/>
          <w:szCs w:val="20"/>
          <w:lang w:val="en-US"/>
        </w:rPr>
        <w:t>Vall</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d’Hebron</w:t>
      </w:r>
      <w:proofErr w:type="spellEnd"/>
      <w:r w:rsidRPr="00985DAE">
        <w:rPr>
          <w:rFonts w:ascii="Times New Roman" w:hAnsi="Times New Roman" w:cs="Times New Roman"/>
          <w:sz w:val="20"/>
          <w:szCs w:val="20"/>
          <w:lang w:val="en-US"/>
        </w:rPr>
        <w:t xml:space="preserve">, Barcelona, Spain); Antonio </w:t>
      </w:r>
      <w:proofErr w:type="spellStart"/>
      <w:r w:rsidRPr="00985DAE">
        <w:rPr>
          <w:rFonts w:ascii="Times New Roman" w:hAnsi="Times New Roman" w:cs="Times New Roman"/>
          <w:sz w:val="20"/>
          <w:szCs w:val="20"/>
          <w:lang w:val="en-US"/>
        </w:rPr>
        <w:t>Martínez-Yélamos</w:t>
      </w:r>
      <w:proofErr w:type="spellEnd"/>
      <w:r w:rsidRPr="00985DAE">
        <w:rPr>
          <w:rFonts w:ascii="Times New Roman" w:hAnsi="Times New Roman" w:cs="Times New Roman"/>
          <w:sz w:val="20"/>
          <w:szCs w:val="20"/>
          <w:lang w:val="en-US"/>
        </w:rPr>
        <w:t xml:space="preserve">, Pere Cardona, Helena Quesada, Lluis Cano, Maria Angeles de Miquel, Lucia </w:t>
      </w:r>
      <w:proofErr w:type="spellStart"/>
      <w:r w:rsidRPr="00985DAE">
        <w:rPr>
          <w:rFonts w:ascii="Times New Roman" w:hAnsi="Times New Roman" w:cs="Times New Roman"/>
          <w:sz w:val="20"/>
          <w:szCs w:val="20"/>
          <w:lang w:val="en-US"/>
        </w:rPr>
        <w:t>Aja</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Paloma</w:t>
      </w:r>
      <w:proofErr w:type="spellEnd"/>
      <w:r w:rsidRPr="00985DAE">
        <w:rPr>
          <w:rFonts w:ascii="Times New Roman" w:hAnsi="Times New Roman" w:cs="Times New Roman"/>
          <w:sz w:val="20"/>
          <w:szCs w:val="20"/>
          <w:lang w:val="en-US"/>
        </w:rPr>
        <w:t xml:space="preserve"> Mora (Hospital de Bellvitge, </w:t>
      </w:r>
      <w:proofErr w:type="spellStart"/>
      <w:r w:rsidRPr="00985DAE">
        <w:rPr>
          <w:rFonts w:ascii="Times New Roman" w:hAnsi="Times New Roman" w:cs="Times New Roman"/>
          <w:sz w:val="20"/>
          <w:szCs w:val="20"/>
          <w:lang w:val="en-US"/>
        </w:rPr>
        <w:t>L’Hospitalet</w:t>
      </w:r>
      <w:proofErr w:type="spellEnd"/>
      <w:r w:rsidRPr="00985DAE">
        <w:rPr>
          <w:rFonts w:ascii="Times New Roman" w:hAnsi="Times New Roman" w:cs="Times New Roman"/>
          <w:sz w:val="20"/>
          <w:szCs w:val="20"/>
          <w:lang w:val="en-US"/>
        </w:rPr>
        <w:t xml:space="preserve"> de </w:t>
      </w:r>
      <w:proofErr w:type="spellStart"/>
      <w:r w:rsidRPr="00985DAE">
        <w:rPr>
          <w:rFonts w:ascii="Times New Roman" w:hAnsi="Times New Roman" w:cs="Times New Roman"/>
          <w:sz w:val="20"/>
          <w:szCs w:val="20"/>
          <w:lang w:val="en-US"/>
        </w:rPr>
        <w:t>Llobregat</w:t>
      </w:r>
      <w:proofErr w:type="spellEnd"/>
      <w:r w:rsidRPr="00985DAE">
        <w:rPr>
          <w:rFonts w:ascii="Times New Roman" w:hAnsi="Times New Roman" w:cs="Times New Roman"/>
          <w:sz w:val="20"/>
          <w:szCs w:val="20"/>
          <w:lang w:val="en-US"/>
        </w:rPr>
        <w:t xml:space="preserve">, Spain); Ángel Chamorro, </w:t>
      </w:r>
      <w:proofErr w:type="spellStart"/>
      <w:r w:rsidRPr="00985DAE">
        <w:rPr>
          <w:rFonts w:ascii="Times New Roman" w:hAnsi="Times New Roman" w:cs="Times New Roman"/>
          <w:sz w:val="20"/>
          <w:szCs w:val="20"/>
          <w:lang w:val="en-US"/>
        </w:rPr>
        <w:t>Víctor</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Obach</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Álvaro</w:t>
      </w:r>
      <w:proofErr w:type="spellEnd"/>
      <w:r w:rsidRPr="00985DAE">
        <w:rPr>
          <w:rFonts w:ascii="Times New Roman" w:hAnsi="Times New Roman" w:cs="Times New Roman"/>
          <w:sz w:val="20"/>
          <w:szCs w:val="20"/>
          <w:lang w:val="en-US"/>
        </w:rPr>
        <w:t xml:space="preserve"> Cervera, Sergio </w:t>
      </w:r>
      <w:proofErr w:type="spellStart"/>
      <w:r w:rsidRPr="00985DAE">
        <w:rPr>
          <w:rFonts w:ascii="Times New Roman" w:hAnsi="Times New Roman" w:cs="Times New Roman"/>
          <w:sz w:val="20"/>
          <w:szCs w:val="20"/>
          <w:lang w:val="en-US"/>
        </w:rPr>
        <w:t>Amaro</w:t>
      </w:r>
      <w:proofErr w:type="spellEnd"/>
      <w:r w:rsidRPr="00985DAE">
        <w:rPr>
          <w:rFonts w:ascii="Times New Roman" w:hAnsi="Times New Roman" w:cs="Times New Roman"/>
          <w:sz w:val="20"/>
          <w:szCs w:val="20"/>
          <w:lang w:val="en-US"/>
        </w:rPr>
        <w:t xml:space="preserve">, Xabier Urra, Juan M. Macho, Jordi </w:t>
      </w:r>
      <w:proofErr w:type="spellStart"/>
      <w:r w:rsidRPr="00985DAE">
        <w:rPr>
          <w:rFonts w:ascii="Times New Roman" w:hAnsi="Times New Roman" w:cs="Times New Roman"/>
          <w:sz w:val="20"/>
          <w:szCs w:val="20"/>
          <w:lang w:val="en-US"/>
        </w:rPr>
        <w:t>Blasco</w:t>
      </w:r>
      <w:proofErr w:type="spellEnd"/>
      <w:r w:rsidRPr="00985DAE">
        <w:rPr>
          <w:rFonts w:ascii="Times New Roman" w:hAnsi="Times New Roman" w:cs="Times New Roman"/>
          <w:sz w:val="20"/>
          <w:szCs w:val="20"/>
          <w:lang w:val="en-US"/>
        </w:rPr>
        <w:t xml:space="preserve">, Luis San Roman (Hospital </w:t>
      </w:r>
      <w:proofErr w:type="spellStart"/>
      <w:r w:rsidRPr="00985DAE">
        <w:rPr>
          <w:rFonts w:ascii="Times New Roman" w:hAnsi="Times New Roman" w:cs="Times New Roman"/>
          <w:sz w:val="20"/>
          <w:szCs w:val="20"/>
          <w:lang w:val="en-US"/>
        </w:rPr>
        <w:t>Clínic</w:t>
      </w:r>
      <w:proofErr w:type="spellEnd"/>
      <w:r w:rsidRPr="00985DAE">
        <w:rPr>
          <w:rFonts w:ascii="Times New Roman" w:hAnsi="Times New Roman" w:cs="Times New Roman"/>
          <w:sz w:val="20"/>
          <w:szCs w:val="20"/>
          <w:lang w:val="en-US"/>
        </w:rPr>
        <w:t xml:space="preserve"> i Provincial, Barcelona, Spain); Joan Martí-Fàbregas, Raquel Delgado-</w:t>
      </w:r>
      <w:proofErr w:type="spellStart"/>
      <w:r w:rsidRPr="00985DAE">
        <w:rPr>
          <w:rFonts w:ascii="Times New Roman" w:hAnsi="Times New Roman" w:cs="Times New Roman"/>
          <w:sz w:val="20"/>
          <w:szCs w:val="20"/>
          <w:lang w:val="en-US"/>
        </w:rPr>
        <w:t>Mederos</w:t>
      </w:r>
      <w:proofErr w:type="spellEnd"/>
      <w:r w:rsidRPr="00985DAE">
        <w:rPr>
          <w:rFonts w:ascii="Times New Roman" w:hAnsi="Times New Roman" w:cs="Times New Roman"/>
          <w:sz w:val="20"/>
          <w:szCs w:val="20"/>
          <w:lang w:val="en-US"/>
        </w:rPr>
        <w:t xml:space="preserve">, Alejandro </w:t>
      </w:r>
      <w:proofErr w:type="spellStart"/>
      <w:r w:rsidRPr="00985DAE">
        <w:rPr>
          <w:rFonts w:ascii="Times New Roman" w:hAnsi="Times New Roman" w:cs="Times New Roman"/>
          <w:sz w:val="20"/>
          <w:szCs w:val="20"/>
          <w:lang w:val="en-US"/>
        </w:rPr>
        <w:t>Martínez-Domeño</w:t>
      </w:r>
      <w:proofErr w:type="spellEnd"/>
      <w:r w:rsidRPr="00985DAE">
        <w:rPr>
          <w:rFonts w:ascii="Times New Roman" w:hAnsi="Times New Roman" w:cs="Times New Roman"/>
          <w:sz w:val="20"/>
          <w:szCs w:val="20"/>
          <w:lang w:val="en-US"/>
        </w:rPr>
        <w:t xml:space="preserve">, Rebeca </w:t>
      </w:r>
      <w:proofErr w:type="spellStart"/>
      <w:r w:rsidRPr="00985DAE">
        <w:rPr>
          <w:rFonts w:ascii="Times New Roman" w:hAnsi="Times New Roman" w:cs="Times New Roman"/>
          <w:sz w:val="20"/>
          <w:szCs w:val="20"/>
          <w:lang w:val="en-US"/>
        </w:rPr>
        <w:t>Marín</w:t>
      </w:r>
      <w:proofErr w:type="spellEnd"/>
      <w:r w:rsidRPr="00985DAE">
        <w:rPr>
          <w:rFonts w:ascii="Times New Roman" w:hAnsi="Times New Roman" w:cs="Times New Roman"/>
          <w:sz w:val="20"/>
          <w:szCs w:val="20"/>
          <w:lang w:val="en-US"/>
        </w:rPr>
        <w:t xml:space="preserve">-Bueno (Hospital de la Santa </w:t>
      </w:r>
      <w:proofErr w:type="spellStart"/>
      <w:r w:rsidRPr="00985DAE">
        <w:rPr>
          <w:rFonts w:ascii="Times New Roman" w:hAnsi="Times New Roman" w:cs="Times New Roman"/>
          <w:sz w:val="20"/>
          <w:szCs w:val="20"/>
          <w:lang w:val="en-US"/>
        </w:rPr>
        <w:t>Creu</w:t>
      </w:r>
      <w:proofErr w:type="spellEnd"/>
      <w:r w:rsidRPr="00985DAE">
        <w:rPr>
          <w:rFonts w:ascii="Times New Roman" w:hAnsi="Times New Roman" w:cs="Times New Roman"/>
          <w:sz w:val="20"/>
          <w:szCs w:val="20"/>
          <w:lang w:val="en-US"/>
        </w:rPr>
        <w:t xml:space="preserve"> i </w:t>
      </w:r>
      <w:proofErr w:type="spellStart"/>
      <w:r w:rsidRPr="00985DAE">
        <w:rPr>
          <w:rFonts w:ascii="Times New Roman" w:hAnsi="Times New Roman" w:cs="Times New Roman"/>
          <w:sz w:val="20"/>
          <w:szCs w:val="20"/>
          <w:lang w:val="en-US"/>
        </w:rPr>
        <w:t>Sant</w:t>
      </w:r>
      <w:proofErr w:type="spellEnd"/>
      <w:r w:rsidRPr="00985DAE">
        <w:rPr>
          <w:rFonts w:ascii="Times New Roman" w:hAnsi="Times New Roman" w:cs="Times New Roman"/>
          <w:sz w:val="20"/>
          <w:szCs w:val="20"/>
          <w:lang w:val="en-US"/>
        </w:rPr>
        <w:t xml:space="preserve"> Pau, Barcelona, Spain); Jaume Roquer, Ana </w:t>
      </w:r>
      <w:proofErr w:type="spellStart"/>
      <w:r w:rsidRPr="00985DAE">
        <w:rPr>
          <w:rFonts w:ascii="Times New Roman" w:hAnsi="Times New Roman" w:cs="Times New Roman"/>
          <w:sz w:val="20"/>
          <w:szCs w:val="20"/>
          <w:lang w:val="en-US"/>
        </w:rPr>
        <w:t>Rodríguez</w:t>
      </w:r>
      <w:proofErr w:type="spellEnd"/>
      <w:r w:rsidRPr="00985DAE">
        <w:rPr>
          <w:rFonts w:ascii="Times New Roman" w:hAnsi="Times New Roman" w:cs="Times New Roman"/>
          <w:sz w:val="20"/>
          <w:szCs w:val="20"/>
          <w:lang w:val="en-US"/>
        </w:rPr>
        <w:t xml:space="preserve">-Campello, Ángel </w:t>
      </w:r>
      <w:proofErr w:type="spellStart"/>
      <w:r w:rsidRPr="00985DAE">
        <w:rPr>
          <w:rFonts w:ascii="Times New Roman" w:hAnsi="Times New Roman" w:cs="Times New Roman"/>
          <w:sz w:val="20"/>
          <w:szCs w:val="20"/>
          <w:lang w:val="en-US"/>
        </w:rPr>
        <w:t>Ois</w:t>
      </w:r>
      <w:proofErr w:type="spellEnd"/>
      <w:r w:rsidRPr="00985DAE">
        <w:rPr>
          <w:rFonts w:ascii="Times New Roman" w:hAnsi="Times New Roman" w:cs="Times New Roman"/>
          <w:sz w:val="20"/>
          <w:szCs w:val="20"/>
          <w:lang w:val="en-US"/>
        </w:rPr>
        <w:t xml:space="preserve">, Eva Giralt-Steinhauer, </w:t>
      </w:r>
      <w:proofErr w:type="spellStart"/>
      <w:r w:rsidRPr="00985DAE">
        <w:rPr>
          <w:rFonts w:ascii="Times New Roman" w:hAnsi="Times New Roman" w:cs="Times New Roman"/>
          <w:sz w:val="20"/>
          <w:szCs w:val="20"/>
          <w:lang w:val="en-US"/>
        </w:rPr>
        <w:t>Elio</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Vivas</w:t>
      </w:r>
      <w:proofErr w:type="spellEnd"/>
      <w:r w:rsidRPr="00985DAE">
        <w:rPr>
          <w:rFonts w:ascii="Times New Roman" w:hAnsi="Times New Roman" w:cs="Times New Roman"/>
          <w:sz w:val="20"/>
          <w:szCs w:val="20"/>
          <w:lang w:val="en-US"/>
        </w:rPr>
        <w:t>, (Hospital del Mar, Barcelona, Spain); David Cánovas, Maria del Carmen Garcia, Jordi Estela, Joan Perendreu (</w:t>
      </w:r>
      <w:r w:rsidRPr="00985DAE">
        <w:rPr>
          <w:rFonts w:ascii="Times New Roman" w:hAnsi="Times New Roman" w:cs="Times New Roman"/>
          <w:sz w:val="20"/>
          <w:szCs w:val="20"/>
          <w:lang w:val="it-IT"/>
        </w:rPr>
        <w:t>Corporació Sanitaria Parc Taulí, Sabadell, Spain</w:t>
      </w:r>
      <w:r w:rsidRPr="00985DAE">
        <w:rPr>
          <w:rFonts w:ascii="Times New Roman" w:hAnsi="Times New Roman" w:cs="Times New Roman"/>
          <w:sz w:val="20"/>
          <w:szCs w:val="20"/>
          <w:lang w:val="en-US"/>
        </w:rPr>
        <w:t xml:space="preserve">); Jerzy Krupinski, Sonia </w:t>
      </w:r>
      <w:proofErr w:type="spellStart"/>
      <w:r w:rsidRPr="00985DAE">
        <w:rPr>
          <w:rFonts w:ascii="Times New Roman" w:hAnsi="Times New Roman" w:cs="Times New Roman"/>
          <w:sz w:val="20"/>
          <w:szCs w:val="20"/>
          <w:lang w:val="en-US"/>
        </w:rPr>
        <w:t>Huertas</w:t>
      </w:r>
      <w:proofErr w:type="spellEnd"/>
      <w:r w:rsidRPr="00985DAE">
        <w:rPr>
          <w:rFonts w:ascii="Times New Roman" w:hAnsi="Times New Roman" w:cs="Times New Roman"/>
          <w:sz w:val="20"/>
          <w:szCs w:val="20"/>
          <w:lang w:val="en-US"/>
        </w:rPr>
        <w:t xml:space="preserve">-Folch, M. Carme </w:t>
      </w:r>
      <w:proofErr w:type="spellStart"/>
      <w:r w:rsidRPr="00985DAE">
        <w:rPr>
          <w:rFonts w:ascii="Times New Roman" w:hAnsi="Times New Roman" w:cs="Times New Roman"/>
          <w:sz w:val="20"/>
          <w:szCs w:val="20"/>
          <w:lang w:val="en-US"/>
        </w:rPr>
        <w:t>Nicolás-Herrerias</w:t>
      </w:r>
      <w:proofErr w:type="spellEnd"/>
      <w:r w:rsidRPr="00985DAE">
        <w:rPr>
          <w:rFonts w:ascii="Times New Roman" w:hAnsi="Times New Roman" w:cs="Times New Roman"/>
          <w:sz w:val="20"/>
          <w:szCs w:val="20"/>
          <w:lang w:val="en-US"/>
        </w:rPr>
        <w:t xml:space="preserve"> (Hospital </w:t>
      </w:r>
      <w:proofErr w:type="spellStart"/>
      <w:r w:rsidRPr="00985DAE">
        <w:rPr>
          <w:rFonts w:ascii="Times New Roman" w:hAnsi="Times New Roman" w:cs="Times New Roman"/>
          <w:sz w:val="20"/>
          <w:szCs w:val="20"/>
          <w:lang w:val="en-US"/>
        </w:rPr>
        <w:t>Mútua</w:t>
      </w:r>
      <w:proofErr w:type="spellEnd"/>
      <w:r w:rsidRPr="00985DAE">
        <w:rPr>
          <w:rFonts w:ascii="Times New Roman" w:hAnsi="Times New Roman" w:cs="Times New Roman"/>
          <w:sz w:val="20"/>
          <w:szCs w:val="20"/>
          <w:lang w:val="en-US"/>
        </w:rPr>
        <w:t xml:space="preserve"> de </w:t>
      </w:r>
      <w:proofErr w:type="spellStart"/>
      <w:r w:rsidRPr="00985DAE">
        <w:rPr>
          <w:rFonts w:ascii="Times New Roman" w:hAnsi="Times New Roman" w:cs="Times New Roman"/>
          <w:sz w:val="20"/>
          <w:szCs w:val="20"/>
          <w:lang w:val="en-US"/>
        </w:rPr>
        <w:t>Terrassa</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Terrassa</w:t>
      </w:r>
      <w:proofErr w:type="spellEnd"/>
      <w:r w:rsidRPr="00985DAE">
        <w:rPr>
          <w:rFonts w:ascii="Times New Roman" w:hAnsi="Times New Roman" w:cs="Times New Roman"/>
          <w:sz w:val="20"/>
          <w:szCs w:val="20"/>
          <w:lang w:val="en-US"/>
        </w:rPr>
        <w:t xml:space="preserve">, Spain); Manuel </w:t>
      </w:r>
      <w:proofErr w:type="spellStart"/>
      <w:r w:rsidRPr="00985DAE">
        <w:rPr>
          <w:rFonts w:ascii="Times New Roman" w:hAnsi="Times New Roman" w:cs="Times New Roman"/>
          <w:sz w:val="20"/>
          <w:szCs w:val="20"/>
          <w:lang w:val="en-US"/>
        </w:rPr>
        <w:t>Gómez</w:t>
      </w:r>
      <w:proofErr w:type="spellEnd"/>
      <w:r w:rsidRPr="00985DAE">
        <w:rPr>
          <w:rFonts w:ascii="Times New Roman" w:hAnsi="Times New Roman" w:cs="Times New Roman"/>
          <w:sz w:val="20"/>
          <w:szCs w:val="20"/>
          <w:lang w:val="en-US"/>
        </w:rPr>
        <w:t xml:space="preserve">-Choco, Sonia García, Raul </w:t>
      </w:r>
      <w:proofErr w:type="spellStart"/>
      <w:r w:rsidRPr="00985DAE">
        <w:rPr>
          <w:rFonts w:ascii="Times New Roman" w:hAnsi="Times New Roman" w:cs="Times New Roman"/>
          <w:sz w:val="20"/>
          <w:szCs w:val="20"/>
          <w:lang w:val="en-US"/>
        </w:rPr>
        <w:t>Martínez</w:t>
      </w:r>
      <w:proofErr w:type="spellEnd"/>
      <w:r w:rsidRPr="00985DAE">
        <w:rPr>
          <w:rFonts w:ascii="Times New Roman" w:hAnsi="Times New Roman" w:cs="Times New Roman"/>
          <w:sz w:val="20"/>
          <w:szCs w:val="20"/>
          <w:lang w:val="en-US"/>
        </w:rPr>
        <w:t xml:space="preserve"> (Hospital </w:t>
      </w:r>
      <w:proofErr w:type="spellStart"/>
      <w:r w:rsidRPr="00985DAE">
        <w:rPr>
          <w:rFonts w:ascii="Times New Roman" w:hAnsi="Times New Roman" w:cs="Times New Roman"/>
          <w:sz w:val="20"/>
          <w:szCs w:val="20"/>
          <w:lang w:val="en-US"/>
        </w:rPr>
        <w:t>Moisès</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Broggi</w:t>
      </w:r>
      <w:proofErr w:type="spellEnd"/>
      <w:r w:rsidRPr="00985DAE">
        <w:rPr>
          <w:rFonts w:ascii="Times New Roman" w:hAnsi="Times New Roman" w:cs="Times New Roman"/>
          <w:sz w:val="20"/>
          <w:szCs w:val="20"/>
          <w:lang w:val="en-US"/>
        </w:rPr>
        <w:t xml:space="preserve">, </w:t>
      </w:r>
      <w:proofErr w:type="spellStart"/>
      <w:r w:rsidRPr="00985DAE">
        <w:rPr>
          <w:rFonts w:ascii="Times New Roman" w:hAnsi="Times New Roman" w:cs="Times New Roman"/>
          <w:sz w:val="20"/>
          <w:szCs w:val="20"/>
          <w:lang w:val="en-US"/>
        </w:rPr>
        <w:t>Sant</w:t>
      </w:r>
      <w:proofErr w:type="spellEnd"/>
      <w:r w:rsidRPr="00985DAE">
        <w:rPr>
          <w:rFonts w:ascii="Times New Roman" w:hAnsi="Times New Roman" w:cs="Times New Roman"/>
          <w:sz w:val="20"/>
          <w:szCs w:val="20"/>
          <w:lang w:val="en-US"/>
        </w:rPr>
        <w:t xml:space="preserve"> Joan </w:t>
      </w:r>
      <w:proofErr w:type="spellStart"/>
      <w:r w:rsidRPr="00985DAE">
        <w:rPr>
          <w:rFonts w:ascii="Times New Roman" w:hAnsi="Times New Roman" w:cs="Times New Roman"/>
          <w:sz w:val="20"/>
          <w:szCs w:val="20"/>
          <w:lang w:val="en-US"/>
        </w:rPr>
        <w:t>Despí</w:t>
      </w:r>
      <w:proofErr w:type="spellEnd"/>
      <w:r w:rsidRPr="00985DAE">
        <w:rPr>
          <w:rFonts w:ascii="Times New Roman" w:hAnsi="Times New Roman" w:cs="Times New Roman"/>
          <w:sz w:val="20"/>
          <w:szCs w:val="20"/>
          <w:lang w:val="en-US"/>
        </w:rPr>
        <w:t xml:space="preserve">, Spain); Miquel Gallofré, Sònia Abilleira (Stroke Program, Health Department of </w:t>
      </w:r>
      <w:proofErr w:type="spellStart"/>
      <w:r w:rsidRPr="00985DAE">
        <w:rPr>
          <w:rFonts w:ascii="Times New Roman" w:hAnsi="Times New Roman" w:cs="Times New Roman"/>
          <w:sz w:val="20"/>
          <w:szCs w:val="20"/>
          <w:lang w:val="en-US"/>
        </w:rPr>
        <w:t>Catalunya</w:t>
      </w:r>
      <w:proofErr w:type="spellEnd"/>
      <w:r w:rsidRPr="00985DAE">
        <w:rPr>
          <w:rFonts w:ascii="Times New Roman" w:hAnsi="Times New Roman" w:cs="Times New Roman"/>
          <w:sz w:val="20"/>
          <w:szCs w:val="20"/>
          <w:lang w:val="en-US"/>
        </w:rPr>
        <w:t xml:space="preserve">).  </w:t>
      </w:r>
    </w:p>
    <w:p w:rsidR="000C7A48" w:rsidRPr="00985DAE" w:rsidRDefault="000C7A48" w:rsidP="00985DAE">
      <w:pPr>
        <w:spacing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br w:type="page"/>
      </w:r>
    </w:p>
    <w:p w:rsidR="00C400AD" w:rsidRPr="00985DAE" w:rsidRDefault="008B2EDD" w:rsidP="00985DAE">
      <w:pPr>
        <w:spacing w:before="240"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lastRenderedPageBreak/>
        <w:t>SUPPLEMENTA</w:t>
      </w:r>
      <w:r w:rsidR="006336D2">
        <w:rPr>
          <w:rFonts w:ascii="Times New Roman" w:hAnsi="Times New Roman" w:cs="Times New Roman"/>
          <w:b/>
          <w:sz w:val="20"/>
          <w:szCs w:val="20"/>
          <w:lang w:val="en-US"/>
        </w:rPr>
        <w:t>RY</w:t>
      </w:r>
      <w:r w:rsidRPr="00985DAE">
        <w:rPr>
          <w:rFonts w:ascii="Times New Roman" w:hAnsi="Times New Roman" w:cs="Times New Roman"/>
          <w:b/>
          <w:sz w:val="20"/>
          <w:szCs w:val="20"/>
          <w:lang w:val="en-US"/>
        </w:rPr>
        <w:t xml:space="preserve"> METHODS</w:t>
      </w:r>
    </w:p>
    <w:p w:rsidR="005D5E8A" w:rsidRPr="00985DAE" w:rsidRDefault="005D5E8A" w:rsidP="00985DAE">
      <w:pPr>
        <w:spacing w:after="0"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t>Study setting</w:t>
      </w:r>
    </w:p>
    <w:p w:rsidR="00696EFE" w:rsidRPr="00985DAE" w:rsidRDefault="00696EFE" w:rsidP="00985DAE">
      <w:pPr>
        <w:spacing w:after="0" w:line="360" w:lineRule="auto"/>
        <w:rPr>
          <w:rFonts w:ascii="Times New Roman" w:hAnsi="Times New Roman" w:cs="Times New Roman"/>
          <w:sz w:val="20"/>
          <w:szCs w:val="20"/>
          <w:lang w:val="en-US"/>
        </w:rPr>
      </w:pPr>
      <w:r w:rsidRPr="00985DAE">
        <w:rPr>
          <w:rFonts w:ascii="Times New Roman" w:hAnsi="Times New Roman" w:cs="Times New Roman"/>
          <w:sz w:val="20"/>
          <w:szCs w:val="20"/>
          <w:lang w:val="en-US"/>
        </w:rPr>
        <w:t xml:space="preserve">Within the study period, acute stroke care in Catalonia was based on a network of 17 treating hospitals, including 7 Comprehensive Stroke Centers (CSCs), 7 Primary Stroke Centers (PSCs) and 3 community hospitals operating on a telestroke system. All three levels have capacity to deliver IVT while CSCs perform all EVTs. </w:t>
      </w:r>
      <w:r w:rsidRPr="00985DAE">
        <w:rPr>
          <w:rFonts w:ascii="Times New Roman" w:eastAsia="Times New Roman" w:hAnsi="Times New Roman" w:cs="Times New Roman"/>
          <w:sz w:val="20"/>
          <w:szCs w:val="20"/>
          <w:lang w:val="en-US" w:eastAsia="ca-ES"/>
        </w:rPr>
        <w:t xml:space="preserve">CSCs share some professional resources (mobile neurointerventional teams) so that every day, 4 CSCs offer a 24-hour service to cover the whole Catalan territory. Furthermore, each CSC has </w:t>
      </w:r>
      <w:r w:rsidRPr="00985DAE">
        <w:rPr>
          <w:rFonts w:ascii="Times New Roman" w:hAnsi="Times New Roman" w:cs="Times New Roman"/>
          <w:sz w:val="20"/>
          <w:szCs w:val="20"/>
          <w:lang w:val="en-US"/>
        </w:rPr>
        <w:t xml:space="preserve">a 24-hour, on-site neurologist who is responsible for pre-alerting the neurointerventional team. This team </w:t>
      </w:r>
      <w:r w:rsidRPr="00985DAE">
        <w:rPr>
          <w:rFonts w:ascii="Times New Roman" w:eastAsia="Times New Roman" w:hAnsi="Times New Roman" w:cs="Times New Roman"/>
          <w:sz w:val="20"/>
          <w:szCs w:val="20"/>
          <w:lang w:val="en-US" w:eastAsia="ca-ES"/>
        </w:rPr>
        <w:t>includes a vascular neurologist who establishes the need of EVT f</w:t>
      </w:r>
      <w:r w:rsidR="009213FB" w:rsidRPr="00985DAE">
        <w:rPr>
          <w:rFonts w:ascii="Times New Roman" w:eastAsia="Times New Roman" w:hAnsi="Times New Roman" w:cs="Times New Roman"/>
          <w:sz w:val="20"/>
          <w:szCs w:val="20"/>
          <w:lang w:val="en-US" w:eastAsia="ca-ES"/>
        </w:rPr>
        <w:t>ollowing a common protocol (</w:t>
      </w:r>
      <w:r w:rsidR="006336D2">
        <w:rPr>
          <w:rFonts w:ascii="Times New Roman" w:eastAsia="Times New Roman" w:hAnsi="Times New Roman" w:cs="Times New Roman"/>
          <w:sz w:val="20"/>
          <w:szCs w:val="20"/>
          <w:lang w:val="en-US" w:eastAsia="ca-ES"/>
        </w:rPr>
        <w:t xml:space="preserve">supplementary </w:t>
      </w:r>
      <w:r w:rsidRPr="00985DAE">
        <w:rPr>
          <w:rFonts w:ascii="Times New Roman" w:eastAsia="Times New Roman" w:hAnsi="Times New Roman" w:cs="Times New Roman"/>
          <w:sz w:val="20"/>
          <w:szCs w:val="20"/>
          <w:lang w:val="en-US" w:eastAsia="ca-ES"/>
        </w:rPr>
        <w:t xml:space="preserve">Table). Briefly, all AIS patients with no contraindication for IVT who arrive within the first 4.5 hours receive the standard dose of </w:t>
      </w:r>
      <w:proofErr w:type="spellStart"/>
      <w:r w:rsidRPr="00985DAE">
        <w:rPr>
          <w:rFonts w:ascii="Times New Roman" w:eastAsia="Times New Roman" w:hAnsi="Times New Roman" w:cs="Times New Roman"/>
          <w:sz w:val="20"/>
          <w:szCs w:val="20"/>
          <w:lang w:val="en-US" w:eastAsia="ca-ES"/>
        </w:rPr>
        <w:t>rtPA</w:t>
      </w:r>
      <w:proofErr w:type="spellEnd"/>
      <w:r w:rsidRPr="00985DAE">
        <w:rPr>
          <w:rFonts w:ascii="Times New Roman" w:eastAsia="Times New Roman" w:hAnsi="Times New Roman" w:cs="Times New Roman"/>
          <w:sz w:val="20"/>
          <w:szCs w:val="20"/>
          <w:lang w:val="en-US" w:eastAsia="ca-ES"/>
        </w:rPr>
        <w:t xml:space="preserve"> (0.9 mg/kg) at their local centers (either community hospitals through telestroke, PSCs or CSCs). </w:t>
      </w:r>
      <w:r w:rsidRPr="00985DAE">
        <w:rPr>
          <w:rFonts w:ascii="Times New Roman" w:hAnsi="Times New Roman" w:cs="Times New Roman"/>
          <w:sz w:val="20"/>
          <w:szCs w:val="20"/>
          <w:lang w:val="en-US"/>
        </w:rPr>
        <w:t xml:space="preserve">In addition, some centers also treated with IVT AIS patients beyond the first 4.5 hours based on radiological demonstration of salvageable brain </w:t>
      </w:r>
      <w:r w:rsidR="00E30D09" w:rsidRPr="00985DAE">
        <w:rPr>
          <w:rFonts w:ascii="Times New Roman" w:hAnsi="Times New Roman" w:cs="Times New Roman"/>
          <w:sz w:val="20"/>
          <w:szCs w:val="20"/>
          <w:lang w:val="en-US"/>
        </w:rPr>
        <w:t>parenchyma</w:t>
      </w:r>
      <w:r w:rsidRPr="00985DAE">
        <w:rPr>
          <w:rFonts w:ascii="Times New Roman" w:hAnsi="Times New Roman" w:cs="Times New Roman"/>
          <w:sz w:val="20"/>
          <w:szCs w:val="20"/>
          <w:lang w:val="en-US"/>
        </w:rPr>
        <w:t>. P</w:t>
      </w:r>
      <w:r w:rsidRPr="00985DAE">
        <w:rPr>
          <w:rFonts w:ascii="Times New Roman" w:eastAsia="Times New Roman" w:hAnsi="Times New Roman" w:cs="Times New Roman"/>
          <w:sz w:val="20"/>
          <w:szCs w:val="20"/>
          <w:lang w:val="en-US" w:eastAsia="ca-ES"/>
        </w:rPr>
        <w:t>atients ineligible for IVT were pre-selected for EVT according to clinical criteria (</w:t>
      </w:r>
      <w:r w:rsidRPr="00985DAE">
        <w:rPr>
          <w:rFonts w:ascii="Times New Roman" w:hAnsi="Times New Roman" w:cs="Times New Roman"/>
          <w:sz w:val="20"/>
          <w:szCs w:val="20"/>
          <w:lang w:val="en-US"/>
        </w:rPr>
        <w:t>National Institute of Health Stroke Scale</w:t>
      </w:r>
      <w:r w:rsidRPr="00985DAE">
        <w:rPr>
          <w:rFonts w:ascii="Times New Roman" w:eastAsia="Times New Roman" w:hAnsi="Times New Roman" w:cs="Times New Roman"/>
          <w:sz w:val="20"/>
          <w:szCs w:val="20"/>
          <w:lang w:val="en-US" w:eastAsia="ca-ES"/>
        </w:rPr>
        <w:t xml:space="preserve"> [NIHSS] ≥ 10 or suspicion of large vessel occlusion). Subsequently, at the CSC, EVT indication is based on demonstration of a large vessel occlusion by noninvasive vascular imaging and presence of </w:t>
      </w:r>
      <w:r w:rsidR="009213FB" w:rsidRPr="00985DAE">
        <w:rPr>
          <w:rFonts w:ascii="Times New Roman" w:eastAsia="Times New Roman" w:hAnsi="Times New Roman" w:cs="Times New Roman"/>
          <w:sz w:val="20"/>
          <w:szCs w:val="20"/>
          <w:lang w:val="en-US" w:eastAsia="ca-ES"/>
        </w:rPr>
        <w:t xml:space="preserve">limited </w:t>
      </w:r>
      <w:r w:rsidRPr="00985DAE">
        <w:rPr>
          <w:rFonts w:ascii="Times New Roman" w:eastAsia="Times New Roman" w:hAnsi="Times New Roman" w:cs="Times New Roman"/>
          <w:sz w:val="20"/>
          <w:szCs w:val="20"/>
          <w:lang w:val="en-US" w:eastAsia="ca-ES"/>
        </w:rPr>
        <w:t xml:space="preserve">signs of early infarction before transferring the patient to the </w:t>
      </w:r>
      <w:proofErr w:type="spellStart"/>
      <w:r w:rsidRPr="00985DAE">
        <w:rPr>
          <w:rFonts w:ascii="Times New Roman" w:eastAsia="Times New Roman" w:hAnsi="Times New Roman" w:cs="Times New Roman"/>
          <w:sz w:val="20"/>
          <w:szCs w:val="20"/>
          <w:lang w:val="en-US" w:eastAsia="ca-ES"/>
        </w:rPr>
        <w:t>angiosuite</w:t>
      </w:r>
      <w:proofErr w:type="spellEnd"/>
      <w:r w:rsidRPr="00985DAE">
        <w:rPr>
          <w:rFonts w:ascii="Times New Roman" w:eastAsia="Times New Roman" w:hAnsi="Times New Roman" w:cs="Times New Roman"/>
          <w:sz w:val="20"/>
          <w:szCs w:val="20"/>
          <w:lang w:val="en-US" w:eastAsia="ca-ES"/>
        </w:rPr>
        <w:t xml:space="preserve">. Multimodal imaging (MRI or CTP) is recommended in patients beyond 4.5 hours from stroke onset. </w:t>
      </w:r>
      <w:r w:rsidRPr="00985DAE">
        <w:rPr>
          <w:rFonts w:ascii="Times New Roman" w:hAnsi="Times New Roman" w:cs="Times New Roman"/>
          <w:sz w:val="20"/>
          <w:szCs w:val="20"/>
          <w:lang w:val="en-US"/>
        </w:rPr>
        <w:t>The specific interventional modality (intra-arterial thrombolysis, mechanical thrombectomy, or a combin</w:t>
      </w:r>
      <w:r w:rsidR="00381D34" w:rsidRPr="00985DAE">
        <w:rPr>
          <w:rFonts w:ascii="Times New Roman" w:hAnsi="Times New Roman" w:cs="Times New Roman"/>
          <w:sz w:val="20"/>
          <w:szCs w:val="20"/>
          <w:lang w:val="en-US"/>
        </w:rPr>
        <w:t>ation of both)</w:t>
      </w:r>
      <w:r w:rsidRPr="00985DAE">
        <w:rPr>
          <w:rFonts w:ascii="Times New Roman" w:hAnsi="Times New Roman" w:cs="Times New Roman"/>
          <w:sz w:val="20"/>
          <w:szCs w:val="20"/>
          <w:lang w:val="en-US"/>
        </w:rPr>
        <w:t xml:space="preserve"> and application of anesthesia or conscious sedation are up to the interventionalist preference.</w:t>
      </w:r>
    </w:p>
    <w:p w:rsidR="008F5560" w:rsidRPr="00985DAE" w:rsidRDefault="00381D34" w:rsidP="00985DAE">
      <w:pPr>
        <w:spacing w:line="360" w:lineRule="auto"/>
        <w:rPr>
          <w:rFonts w:ascii="Times New Roman" w:hAnsi="Times New Roman" w:cs="Times New Roman"/>
          <w:color w:val="231F20"/>
          <w:sz w:val="20"/>
          <w:szCs w:val="20"/>
          <w:lang w:val="en-US"/>
        </w:rPr>
      </w:pPr>
      <w:r w:rsidRPr="00985DAE">
        <w:rPr>
          <w:rFonts w:ascii="Times New Roman" w:hAnsi="Times New Roman" w:cs="Times New Roman"/>
          <w:sz w:val="20"/>
          <w:szCs w:val="20"/>
          <w:lang w:val="en-US"/>
        </w:rPr>
        <w:t>T</w:t>
      </w:r>
      <w:r w:rsidR="005D5E8A" w:rsidRPr="00985DAE">
        <w:rPr>
          <w:rFonts w:ascii="Times New Roman" w:hAnsi="Times New Roman" w:cs="Times New Roman"/>
          <w:sz w:val="20"/>
          <w:szCs w:val="20"/>
          <w:lang w:val="en-US"/>
        </w:rPr>
        <w:t xml:space="preserve">he </w:t>
      </w:r>
      <w:r w:rsidR="005D5E8A" w:rsidRPr="00985DAE">
        <w:rPr>
          <w:rFonts w:ascii="Times New Roman" w:hAnsi="Times New Roman" w:cs="Times New Roman"/>
          <w:i/>
          <w:sz w:val="20"/>
          <w:szCs w:val="20"/>
          <w:lang w:val="en-US"/>
        </w:rPr>
        <w:t>SONIIA</w:t>
      </w:r>
      <w:r w:rsidR="005D5E8A" w:rsidRPr="00985DAE">
        <w:rPr>
          <w:rFonts w:ascii="Times New Roman" w:hAnsi="Times New Roman" w:cs="Times New Roman"/>
          <w:sz w:val="20"/>
          <w:szCs w:val="20"/>
          <w:lang w:val="en-US"/>
        </w:rPr>
        <w:t xml:space="preserve"> registry includes baseline clinical and demographic data, clinical and radiological variables at 24-36 hours post-stroke, and </w:t>
      </w:r>
      <w:r w:rsidR="008F5560" w:rsidRPr="00985DAE">
        <w:rPr>
          <w:rFonts w:ascii="Times New Roman" w:hAnsi="Times New Roman" w:cs="Times New Roman"/>
          <w:sz w:val="20"/>
          <w:szCs w:val="20"/>
          <w:lang w:val="en-US"/>
        </w:rPr>
        <w:t>the survival and functional status at 3 months</w:t>
      </w:r>
      <w:r w:rsidR="005D5E8A" w:rsidRPr="00985DAE">
        <w:rPr>
          <w:rFonts w:ascii="Times New Roman" w:hAnsi="Times New Roman" w:cs="Times New Roman"/>
          <w:color w:val="231F20"/>
          <w:sz w:val="20"/>
          <w:szCs w:val="20"/>
          <w:lang w:val="en-US"/>
        </w:rPr>
        <w:t xml:space="preserve">. </w:t>
      </w:r>
      <w:r w:rsidRPr="00985DAE">
        <w:rPr>
          <w:rFonts w:ascii="Times New Roman" w:hAnsi="Times New Roman" w:cs="Times New Roman"/>
          <w:sz w:val="20"/>
          <w:szCs w:val="20"/>
          <w:lang w:val="en-US"/>
        </w:rPr>
        <w:t>The register was designed as a simple tool to gather information about IVT and EVT based on a reduced core set of clinical and angiographic (EVT cohort only) variables. At baseline, we collect demographic information (age and gender), pre-stroke medical and functional status (</w:t>
      </w:r>
      <w:proofErr w:type="spellStart"/>
      <w:r w:rsidRPr="00985DAE">
        <w:rPr>
          <w:rFonts w:ascii="Times New Roman" w:hAnsi="Times New Roman" w:cs="Times New Roman"/>
          <w:sz w:val="20"/>
          <w:szCs w:val="20"/>
          <w:lang w:val="en-US"/>
        </w:rPr>
        <w:t>mRS</w:t>
      </w:r>
      <w:proofErr w:type="spellEnd"/>
      <w:r w:rsidRPr="00985DAE">
        <w:rPr>
          <w:rFonts w:ascii="Times New Roman" w:hAnsi="Times New Roman" w:cs="Times New Roman"/>
          <w:sz w:val="20"/>
          <w:szCs w:val="20"/>
          <w:lang w:val="en-US"/>
        </w:rPr>
        <w:t xml:space="preserve"> score), clinical data such as time of stroke onset and stroke severity measured with the National Institute of Health Stroke Scale (NIHSS) obtained by certified neurologists, and specific details on the reperfusion treatment delivered: date/time of treatment initiation, treatment modality (IVT alone, combined IVT + EVT or primary EVT), EVT modality (mechanical thrombectomy, intra-arterial pharmacological thrombolysis or both), procedure duration (for cases undergoing EVT only), level and degree of arterial occlusion pre- and post-EVT (for cases undergoing EVT only). At 24-36 hours, we record the NIHSS, the presence of symptomatic cerebral bleedings (SICH) as defined per the SITS-MOST protocol,</w:t>
      </w:r>
      <w:r w:rsidR="00E0653E" w:rsidRPr="00390EE9">
        <w:rPr>
          <w:rFonts w:ascii="Times New Roman" w:hAnsi="Times New Roman" w:cs="Times New Roman"/>
          <w:sz w:val="20"/>
          <w:szCs w:val="20"/>
          <w:vertAlign w:val="superscript"/>
          <w:lang w:val="en-US"/>
        </w:rPr>
        <w:fldChar w:fldCharType="begin"/>
      </w:r>
      <w:r w:rsidR="00390EE9" w:rsidRPr="00390EE9">
        <w:rPr>
          <w:rFonts w:ascii="Times New Roman" w:hAnsi="Times New Roman" w:cs="Times New Roman"/>
          <w:sz w:val="20"/>
          <w:szCs w:val="20"/>
          <w:vertAlign w:val="superscript"/>
          <w:lang w:val="en-US"/>
        </w:rPr>
        <w:instrText xml:space="preserve"> ADDIN REFMGR.CITE &lt;Refman&gt;&lt;Cite&gt;&lt;Author&gt;Wahlgren&lt;/Author&gt;&lt;Year&gt;2007&lt;/Year&gt;&lt;RecNum&gt;6&lt;/RecNum&gt;&lt;IDText&gt;Thrombolysis with alteplase for acute ischaemic stroke in the Safe Implementation of Thrombolysis in Stroke-Monitoring Study (SITS-MOST): an observational study&lt;/IDText&gt;&lt;MDL Ref_Type="Journal"&gt;&lt;Ref_Type&gt;Journal&lt;/Ref_Type&gt;&lt;Ref_ID&gt;6&lt;/Ref_ID&gt;&lt;Title_Primary&gt;Thrombolysis with alteplase for acute ischaemic stroke in the Safe Implementation of Thrombolysis in Stroke-Monitoring Study (SITS-MOST): an observational study&lt;/Title_Primary&gt;&lt;Authors_Primary&gt;Wahlgren,N.&lt;/Authors_Primary&gt;&lt;Authors_Primary&gt;Ahmed,N.&lt;/Authors_Primary&gt;&lt;Authors_Primary&gt;Davalos,A.&lt;/Authors_Primary&gt;&lt;Authors_Primary&gt;Ford,G.A.&lt;/Authors_Primary&gt;&lt;Authors_Primary&gt;Grond,M.&lt;/Authors_Primary&gt;&lt;Authors_Primary&gt;Hacke,W.&lt;/Authors_Primary&gt;&lt;Authors_Primary&gt;Hennerici,M.G.&lt;/Authors_Primary&gt;&lt;Authors_Primary&gt;Kaste,M.&lt;/Authors_Primary&gt;&lt;Authors_Primary&gt;Kuelkens,S.&lt;/Authors_Primary&gt;&lt;Authors_Primary&gt;Larrue,V.&lt;/Authors_Primary&gt;&lt;Authors_Primary&gt;Lees,K.R.&lt;/Authors_Primary&gt;&lt;Authors_Primary&gt;Roine,R.O.&lt;/Authors_Primary&gt;&lt;Authors_Primary&gt;Soinne,L.&lt;/Authors_Primary&gt;&lt;Authors_Primary&gt;Toni,D.&lt;/Authors_Primary&gt;&lt;Authors_Primary&gt;Vanhooren,G.&lt;/Authors_Primary&gt;&lt;Date_Primary&gt;2007/1/27&lt;/Date_Primary&gt;&lt;Keywords&gt;Aged&lt;/Keywords&gt;&lt;Keywords&gt;classification&lt;/Keywords&gt;&lt;Keywords&gt;drug therapy&lt;/Keywords&gt;&lt;Keywords&gt;Europe&lt;/Keywords&gt;&lt;Keywords&gt;Female&lt;/Keywords&gt;&lt;Keywords&gt;Fibrinolytic Agents&lt;/Keywords&gt;&lt;Keywords&gt;Humans&lt;/Keywords&gt;&lt;Keywords&gt;Intracranial Hemorrhages&lt;/Keywords&gt;&lt;Keywords&gt;Male&lt;/Keywords&gt;&lt;Keywords&gt;Middle Aged&lt;/Keywords&gt;&lt;Keywords&gt;mortality&lt;/Keywords&gt;&lt;Keywords&gt;Randomized Controlled Trials as Topic&lt;/Keywords&gt;&lt;Keywords&gt;Stroke&lt;/Keywords&gt;&lt;Keywords&gt;therapeutic use&lt;/Keywords&gt;&lt;Keywords&gt;Thrombolytic Therapy&lt;/Keywords&gt;&lt;Keywords&gt;Tissue Plasminogen Activator&lt;/Keywords&gt;&lt;Reprint&gt;Not in File&lt;/Reprint&gt;&lt;Start_Page&gt;275&lt;/Start_Page&gt;&lt;End_Page&gt;282&lt;/End_Page&gt;&lt;Periodical&gt;Lancet.&lt;/Periodical&gt;&lt;Volume&gt;369&lt;/Volume&gt;&lt;Issue&gt;9558&lt;/Issue&gt;&lt;ZZ_JournalStdAbbrev&gt;&lt;f name="System"&gt;Lancet.&lt;/f&gt;&lt;/ZZ_JournalStdAbbrev&gt;&lt;ZZ_WorkformID&gt;1&lt;/ZZ_WorkformID&gt;&lt;/MDL&gt;&lt;/Cite&gt;&lt;/Refman&gt;</w:instrText>
      </w:r>
      <w:r w:rsidR="00E0653E" w:rsidRPr="00390EE9">
        <w:rPr>
          <w:rFonts w:ascii="Times New Roman" w:hAnsi="Times New Roman" w:cs="Times New Roman"/>
          <w:sz w:val="20"/>
          <w:szCs w:val="20"/>
          <w:vertAlign w:val="superscript"/>
          <w:lang w:val="en-US"/>
        </w:rPr>
        <w:fldChar w:fldCharType="separate"/>
      </w:r>
      <w:r w:rsidR="00390EE9" w:rsidRPr="00390EE9">
        <w:rPr>
          <w:rFonts w:ascii="Times New Roman" w:hAnsi="Times New Roman" w:cs="Times New Roman"/>
          <w:sz w:val="20"/>
          <w:szCs w:val="20"/>
          <w:vertAlign w:val="superscript"/>
          <w:lang w:val="en-US"/>
        </w:rPr>
        <w:t>1</w:t>
      </w:r>
      <w:r w:rsidR="00E0653E" w:rsidRPr="00390EE9">
        <w:rPr>
          <w:rFonts w:ascii="Times New Roman" w:hAnsi="Times New Roman" w:cs="Times New Roman"/>
          <w:sz w:val="20"/>
          <w:szCs w:val="20"/>
          <w:vertAlign w:val="superscript"/>
          <w:lang w:val="en-US"/>
        </w:rPr>
        <w:fldChar w:fldCharType="end"/>
      </w:r>
      <w:r w:rsidRPr="00390EE9">
        <w:rPr>
          <w:rFonts w:ascii="Times New Roman" w:hAnsi="Times New Roman" w:cs="Times New Roman"/>
          <w:sz w:val="20"/>
          <w:szCs w:val="20"/>
          <w:vertAlign w:val="superscript"/>
          <w:lang w:val="en-US"/>
        </w:rPr>
        <w:t xml:space="preserve"> </w:t>
      </w:r>
      <w:r w:rsidRPr="00985DAE">
        <w:rPr>
          <w:rFonts w:ascii="Times New Roman" w:hAnsi="Times New Roman" w:cs="Times New Roman"/>
          <w:sz w:val="20"/>
          <w:szCs w:val="20"/>
          <w:lang w:val="en-US"/>
        </w:rPr>
        <w:t>and the occurrence of death. At 3 months, the functional status, assessed by the modified Rankin scale (</w:t>
      </w:r>
      <w:proofErr w:type="spellStart"/>
      <w:r w:rsidRPr="00985DAE">
        <w:rPr>
          <w:rFonts w:ascii="Times New Roman" w:hAnsi="Times New Roman" w:cs="Times New Roman"/>
          <w:sz w:val="20"/>
          <w:szCs w:val="20"/>
          <w:lang w:val="en-US"/>
        </w:rPr>
        <w:t>mRS</w:t>
      </w:r>
      <w:proofErr w:type="spellEnd"/>
      <w:r w:rsidRPr="00985DAE">
        <w:rPr>
          <w:rFonts w:ascii="Times New Roman" w:hAnsi="Times New Roman" w:cs="Times New Roman"/>
          <w:sz w:val="20"/>
          <w:szCs w:val="20"/>
          <w:lang w:val="en-US"/>
        </w:rPr>
        <w:t>), and the survival rate are obtained by face-to-face or telephone-based interviews carried out by local certified investigators.</w:t>
      </w:r>
      <w:r w:rsidR="005D5E8A" w:rsidRPr="00985DAE">
        <w:rPr>
          <w:rFonts w:ascii="Times New Roman" w:hAnsi="Times New Roman" w:cs="Times New Roman"/>
          <w:sz w:val="20"/>
          <w:szCs w:val="20"/>
          <w:lang w:val="en-US"/>
        </w:rPr>
        <w:t xml:space="preserve"> In this study, t</w:t>
      </w:r>
      <w:r w:rsidR="005D5E8A" w:rsidRPr="00985DAE">
        <w:rPr>
          <w:rFonts w:ascii="Times New Roman" w:hAnsi="Times New Roman" w:cs="Times New Roman"/>
          <w:bCs/>
          <w:sz w:val="20"/>
          <w:szCs w:val="20"/>
          <w:lang w:val="en-US"/>
        </w:rPr>
        <w:t xml:space="preserve">he onset-to-treatment time (OTT) is defined as time elapsed between stroke onset (last time seen well) and IVT initiation or groin puncture (if </w:t>
      </w:r>
      <w:proofErr w:type="spellStart"/>
      <w:r w:rsidR="005D5E8A" w:rsidRPr="00985DAE">
        <w:rPr>
          <w:rFonts w:ascii="Times New Roman" w:hAnsi="Times New Roman" w:cs="Times New Roman"/>
          <w:bCs/>
          <w:sz w:val="20"/>
          <w:szCs w:val="20"/>
          <w:lang w:val="en-US"/>
        </w:rPr>
        <w:t>pEVT</w:t>
      </w:r>
      <w:proofErr w:type="spellEnd"/>
      <w:r w:rsidR="005D5E8A" w:rsidRPr="00985DAE">
        <w:rPr>
          <w:rFonts w:ascii="Times New Roman" w:hAnsi="Times New Roman" w:cs="Times New Roman"/>
          <w:bCs/>
          <w:sz w:val="20"/>
          <w:szCs w:val="20"/>
          <w:lang w:val="en-US"/>
        </w:rPr>
        <w:t>).</w:t>
      </w:r>
    </w:p>
    <w:p w:rsidR="005D5E8A" w:rsidRPr="00985DAE" w:rsidRDefault="005D5E8A" w:rsidP="00985DAE">
      <w:pPr>
        <w:spacing w:after="0" w:line="360" w:lineRule="auto"/>
        <w:rPr>
          <w:rFonts w:ascii="Times New Roman" w:hAnsi="Times New Roman" w:cs="Times New Roman"/>
          <w:sz w:val="20"/>
          <w:szCs w:val="20"/>
          <w:lang w:val="en-US"/>
        </w:rPr>
      </w:pPr>
    </w:p>
    <w:p w:rsidR="00696EFE" w:rsidRPr="00985DAE" w:rsidRDefault="00696EFE" w:rsidP="00985DAE">
      <w:pPr>
        <w:spacing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br w:type="page"/>
      </w:r>
    </w:p>
    <w:p w:rsidR="00D15DD6" w:rsidRPr="00985DAE" w:rsidRDefault="008B2EDD" w:rsidP="00985DAE">
      <w:pPr>
        <w:spacing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lastRenderedPageBreak/>
        <w:t>SUPPLEMENTA</w:t>
      </w:r>
      <w:r w:rsidR="006336D2">
        <w:rPr>
          <w:rFonts w:ascii="Times New Roman" w:hAnsi="Times New Roman" w:cs="Times New Roman"/>
          <w:b/>
          <w:sz w:val="20"/>
          <w:szCs w:val="20"/>
          <w:lang w:val="en-US"/>
        </w:rPr>
        <w:t xml:space="preserve">RY </w:t>
      </w:r>
      <w:r w:rsidRPr="00985DAE">
        <w:rPr>
          <w:rFonts w:ascii="Times New Roman" w:hAnsi="Times New Roman" w:cs="Times New Roman"/>
          <w:b/>
          <w:sz w:val="20"/>
          <w:szCs w:val="20"/>
          <w:lang w:val="en-US"/>
        </w:rPr>
        <w:t>TABLES</w:t>
      </w:r>
    </w:p>
    <w:p w:rsidR="00D15DD6" w:rsidRPr="00985DAE" w:rsidRDefault="006336D2" w:rsidP="00985DAE">
      <w:pPr>
        <w:spacing w:after="0" w:line="360" w:lineRule="auto"/>
        <w:rPr>
          <w:rFonts w:ascii="Times New Roman" w:eastAsia="Times New Roman" w:hAnsi="Times New Roman" w:cs="Times New Roman"/>
          <w:b/>
          <w:bCs/>
          <w:sz w:val="20"/>
          <w:szCs w:val="20"/>
          <w:lang w:val="en-US" w:eastAsia="ca-ES"/>
        </w:rPr>
      </w:pPr>
      <w:r>
        <w:rPr>
          <w:rFonts w:ascii="Times New Roman" w:hAnsi="Times New Roman" w:cs="Times New Roman"/>
          <w:b/>
          <w:sz w:val="20"/>
          <w:szCs w:val="20"/>
          <w:lang w:val="en-US"/>
        </w:rPr>
        <w:t xml:space="preserve">Supplementary </w:t>
      </w:r>
      <w:r w:rsidR="00D15DD6" w:rsidRPr="00985DAE">
        <w:rPr>
          <w:rFonts w:ascii="Times New Roman" w:hAnsi="Times New Roman" w:cs="Times New Roman"/>
          <w:b/>
          <w:sz w:val="20"/>
          <w:szCs w:val="20"/>
          <w:lang w:val="en-US"/>
        </w:rPr>
        <w:t xml:space="preserve">Table. </w:t>
      </w:r>
      <w:r w:rsidR="00D15DD6" w:rsidRPr="00985DAE">
        <w:rPr>
          <w:rFonts w:ascii="Times New Roman" w:eastAsia="Times New Roman" w:hAnsi="Times New Roman" w:cs="Times New Roman"/>
          <w:b/>
          <w:bCs/>
          <w:sz w:val="20"/>
          <w:szCs w:val="20"/>
          <w:lang w:val="en-US" w:eastAsia="ca-ES"/>
        </w:rPr>
        <w:t>Patient selection criteria for endovascular treatment within our regionalized network of CSCs</w:t>
      </w:r>
    </w:p>
    <w:p w:rsidR="00D15DD6" w:rsidRPr="00985DAE" w:rsidRDefault="00D15DD6" w:rsidP="00985DAE">
      <w:pPr>
        <w:spacing w:after="0" w:line="360" w:lineRule="auto"/>
        <w:rPr>
          <w:rFonts w:ascii="Times New Roman" w:eastAsia="Times New Roman" w:hAnsi="Times New Roman" w:cs="Times New Roman"/>
          <w:b/>
          <w:bCs/>
          <w:sz w:val="20"/>
          <w:szCs w:val="20"/>
          <w:highlight w:val="yellow"/>
          <w:lang w:val="en-US" w:eastAsia="ca-ES"/>
        </w:rPr>
      </w:pPr>
    </w:p>
    <w:tbl>
      <w:tblPr>
        <w:tblStyle w:val="Taulaambquadrcula"/>
        <w:tblW w:w="8642" w:type="dxa"/>
        <w:tblInd w:w="-34" w:type="dxa"/>
        <w:tblLayout w:type="fixed"/>
        <w:tblLook w:val="04A0"/>
      </w:tblPr>
      <w:tblGrid>
        <w:gridCol w:w="568"/>
        <w:gridCol w:w="8074"/>
      </w:tblGrid>
      <w:tr w:rsidR="00D15DD6" w:rsidRPr="00985DAE" w:rsidTr="000F64E0">
        <w:tc>
          <w:tcPr>
            <w:tcW w:w="8642" w:type="dxa"/>
            <w:gridSpan w:val="2"/>
            <w:tcBorders>
              <w:top w:val="single" w:sz="4" w:space="0" w:color="auto"/>
              <w:left w:val="nil"/>
              <w:bottom w:val="single" w:sz="4" w:space="0" w:color="auto"/>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Inclusion criteria</w:t>
            </w:r>
          </w:p>
        </w:tc>
      </w:tr>
      <w:tr w:rsidR="00D15DD6" w:rsidRPr="00985DAE" w:rsidTr="000F64E0">
        <w:tc>
          <w:tcPr>
            <w:tcW w:w="568" w:type="dxa"/>
            <w:tcBorders>
              <w:top w:val="single" w:sz="4" w:space="0" w:color="auto"/>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1</w:t>
            </w:r>
          </w:p>
        </w:tc>
        <w:tc>
          <w:tcPr>
            <w:tcW w:w="8074" w:type="dxa"/>
            <w:tcBorders>
              <w:top w:val="single" w:sz="4" w:space="0" w:color="auto"/>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sz w:val="20"/>
                <w:szCs w:val="20"/>
                <w:lang w:val="en-US" w:eastAsia="ca-ES"/>
              </w:rPr>
              <w:t>Informed consent</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2</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sz w:val="20"/>
                <w:szCs w:val="20"/>
                <w:lang w:val="en-US" w:eastAsia="ca-ES"/>
              </w:rPr>
              <w:t>Acute ischemic stroke within first 8 hours after symptoms onset (12  hours for posterior circulation strokes or up to 48 hours if symptoms fluctuate and no tetraplegia, or &lt; 6 hours if coma or tetraplegia) refractory to or ineligible for the use of IVT</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3</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sz w:val="20"/>
                <w:szCs w:val="20"/>
                <w:lang w:val="en-US" w:eastAsia="ca-ES"/>
              </w:rPr>
              <w:t>Wake-up ischemic stroke or unknown ischemic stroke onset</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4</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sz w:val="20"/>
                <w:szCs w:val="20"/>
                <w:lang w:val="en-US" w:eastAsia="ca-ES"/>
              </w:rPr>
              <w:t>Documented large arterial occlusion in cerebral arteries that correspond to the acute clinical deficit</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5</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sz w:val="20"/>
                <w:szCs w:val="20"/>
                <w:lang w:val="en-US" w:eastAsia="ca-ES"/>
              </w:rPr>
              <w:t>Age ≤ 85 years</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6</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sz w:val="20"/>
                <w:szCs w:val="20"/>
                <w:lang w:val="en-US" w:eastAsia="ca-ES"/>
              </w:rPr>
              <w:t xml:space="preserve">Pre-stroke </w:t>
            </w:r>
            <w:proofErr w:type="spellStart"/>
            <w:r w:rsidRPr="00985DAE">
              <w:rPr>
                <w:rFonts w:ascii="Times New Roman" w:hAnsi="Times New Roman" w:cs="Times New Roman"/>
                <w:sz w:val="20"/>
                <w:szCs w:val="20"/>
                <w:lang w:val="en-US" w:eastAsia="ca-ES"/>
              </w:rPr>
              <w:t>mRS</w:t>
            </w:r>
            <w:proofErr w:type="spellEnd"/>
            <w:r w:rsidRPr="00985DAE">
              <w:rPr>
                <w:rFonts w:ascii="Times New Roman" w:hAnsi="Times New Roman" w:cs="Times New Roman"/>
                <w:sz w:val="20"/>
                <w:szCs w:val="20"/>
                <w:lang w:val="en-US" w:eastAsia="ca-ES"/>
              </w:rPr>
              <w:t xml:space="preserve"> ≤ 2</w:t>
            </w:r>
          </w:p>
        </w:tc>
      </w:tr>
      <w:tr w:rsidR="00D15DD6" w:rsidRPr="00985DAE" w:rsidTr="000F64E0">
        <w:tc>
          <w:tcPr>
            <w:tcW w:w="568" w:type="dxa"/>
            <w:tcBorders>
              <w:top w:val="nil"/>
              <w:left w:val="nil"/>
              <w:bottom w:val="single" w:sz="4" w:space="0" w:color="auto"/>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7</w:t>
            </w:r>
          </w:p>
        </w:tc>
        <w:tc>
          <w:tcPr>
            <w:tcW w:w="8074" w:type="dxa"/>
            <w:tcBorders>
              <w:top w:val="nil"/>
              <w:left w:val="nil"/>
              <w:bottom w:val="single" w:sz="4" w:space="0" w:color="auto"/>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sz w:val="20"/>
                <w:szCs w:val="20"/>
                <w:lang w:val="en-US" w:eastAsia="ca-ES"/>
              </w:rPr>
              <w:t>Signs of limited early infarction on brain CT (ASPECTS ≥ 7) or MRI (DWI-ASPECTS ≥ 6) and salvageable brain tissue on CT perfusion or MRI-PWI</w:t>
            </w:r>
          </w:p>
        </w:tc>
      </w:tr>
      <w:tr w:rsidR="00D15DD6" w:rsidRPr="00985DAE" w:rsidTr="000F64E0">
        <w:tc>
          <w:tcPr>
            <w:tcW w:w="8642" w:type="dxa"/>
            <w:gridSpan w:val="2"/>
            <w:tcBorders>
              <w:top w:val="single" w:sz="4" w:space="0" w:color="auto"/>
              <w:left w:val="nil"/>
              <w:bottom w:val="single" w:sz="4" w:space="0" w:color="auto"/>
              <w:right w:val="nil"/>
            </w:tcBorders>
          </w:tcPr>
          <w:p w:rsidR="00D15DD6" w:rsidRPr="00985DAE" w:rsidRDefault="00D15DD6" w:rsidP="00985DAE">
            <w:pPr>
              <w:spacing w:line="360" w:lineRule="auto"/>
              <w:jc w:val="both"/>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Exclusion criteria</w:t>
            </w:r>
          </w:p>
        </w:tc>
      </w:tr>
      <w:tr w:rsidR="00D15DD6" w:rsidRPr="00985DAE" w:rsidTr="000F64E0">
        <w:tc>
          <w:tcPr>
            <w:tcW w:w="568" w:type="dxa"/>
            <w:tcBorders>
              <w:top w:val="single" w:sz="4" w:space="0" w:color="auto"/>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1</w:t>
            </w:r>
          </w:p>
        </w:tc>
        <w:tc>
          <w:tcPr>
            <w:tcW w:w="8074" w:type="dxa"/>
            <w:tcBorders>
              <w:top w:val="single" w:sz="4" w:space="0" w:color="auto"/>
              <w:left w:val="nil"/>
              <w:bottom w:val="nil"/>
              <w:right w:val="nil"/>
            </w:tcBorders>
          </w:tcPr>
          <w:p w:rsidR="00D15DD6" w:rsidRPr="00985DAE" w:rsidRDefault="00D15DD6" w:rsidP="00985DAE">
            <w:pPr>
              <w:spacing w:line="360" w:lineRule="auto"/>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 xml:space="preserve">Clinical presentation of intracranial hemorrhage, subarachnoid hemorrhage, </w:t>
            </w:r>
            <w:proofErr w:type="spellStart"/>
            <w:r w:rsidRPr="00985DAE">
              <w:rPr>
                <w:rFonts w:ascii="Times New Roman" w:hAnsi="Times New Roman" w:cs="Times New Roman"/>
                <w:sz w:val="20"/>
                <w:szCs w:val="20"/>
                <w:lang w:val="en-US" w:eastAsia="ca-ES"/>
              </w:rPr>
              <w:t>arteriovenous</w:t>
            </w:r>
            <w:proofErr w:type="spellEnd"/>
            <w:r w:rsidRPr="00985DAE">
              <w:rPr>
                <w:rFonts w:ascii="Times New Roman" w:hAnsi="Times New Roman" w:cs="Times New Roman"/>
                <w:sz w:val="20"/>
                <w:szCs w:val="20"/>
                <w:lang w:val="en-US" w:eastAsia="ca-ES"/>
              </w:rPr>
              <w:t xml:space="preserve"> malformation, aneurysm or cerebral neoplasm</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2</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Rapidly improving neurological symptoms or minor stroke</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3</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 xml:space="preserve">Comatose patient with NIHSS &gt;30, except in </w:t>
            </w:r>
            <w:proofErr w:type="spellStart"/>
            <w:r w:rsidRPr="00985DAE">
              <w:rPr>
                <w:rFonts w:ascii="Times New Roman" w:hAnsi="Times New Roman" w:cs="Times New Roman"/>
                <w:sz w:val="20"/>
                <w:szCs w:val="20"/>
                <w:lang w:val="en-US" w:eastAsia="ca-ES"/>
              </w:rPr>
              <w:t>vertebrobasilar</w:t>
            </w:r>
            <w:proofErr w:type="spellEnd"/>
            <w:r w:rsidRPr="00985DAE">
              <w:rPr>
                <w:rFonts w:ascii="Times New Roman" w:hAnsi="Times New Roman" w:cs="Times New Roman"/>
                <w:sz w:val="20"/>
                <w:szCs w:val="20"/>
                <w:lang w:val="en-US" w:eastAsia="ca-ES"/>
              </w:rPr>
              <w:t xml:space="preserve"> occlusion</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4</w:t>
            </w:r>
          </w:p>
        </w:tc>
        <w:tc>
          <w:tcPr>
            <w:tcW w:w="8074"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 xml:space="preserve">Anticoagulation with international normalized ratio &gt;3 or prolonged partial </w:t>
            </w:r>
            <w:proofErr w:type="spellStart"/>
            <w:r w:rsidRPr="00985DAE">
              <w:rPr>
                <w:rFonts w:ascii="Times New Roman" w:hAnsi="Times New Roman" w:cs="Times New Roman"/>
                <w:sz w:val="20"/>
                <w:szCs w:val="20"/>
                <w:lang w:val="en-US" w:eastAsia="ca-ES"/>
              </w:rPr>
              <w:t>thromboplastin</w:t>
            </w:r>
            <w:proofErr w:type="spellEnd"/>
            <w:r w:rsidRPr="00985DAE">
              <w:rPr>
                <w:rFonts w:ascii="Times New Roman" w:hAnsi="Times New Roman" w:cs="Times New Roman"/>
                <w:sz w:val="20"/>
                <w:szCs w:val="20"/>
                <w:lang w:val="en-US" w:eastAsia="ca-ES"/>
              </w:rPr>
              <w:t xml:space="preserve"> time that exceeded twice the upper limit of the normal range</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5</w:t>
            </w:r>
          </w:p>
        </w:tc>
        <w:tc>
          <w:tcPr>
            <w:tcW w:w="8074" w:type="dxa"/>
            <w:tcBorders>
              <w:top w:val="nil"/>
              <w:left w:val="nil"/>
              <w:bottom w:val="nil"/>
              <w:right w:val="nil"/>
            </w:tcBorders>
          </w:tcPr>
          <w:p w:rsidR="00D15DD6" w:rsidRPr="00985DAE" w:rsidRDefault="00D15DD6" w:rsidP="00985DAE">
            <w:pPr>
              <w:spacing w:line="360" w:lineRule="auto"/>
              <w:jc w:val="both"/>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Platelet count &lt; 30.000/mm</w:t>
            </w:r>
            <w:r w:rsidRPr="00985DAE">
              <w:rPr>
                <w:rFonts w:ascii="Times New Roman" w:hAnsi="Times New Roman" w:cs="Times New Roman"/>
                <w:sz w:val="20"/>
                <w:szCs w:val="20"/>
                <w:vertAlign w:val="superscript"/>
                <w:lang w:val="en-US" w:eastAsia="ca-ES"/>
              </w:rPr>
              <w:t>3</w:t>
            </w:r>
            <w:r w:rsidRPr="00985DAE">
              <w:rPr>
                <w:rFonts w:ascii="Times New Roman" w:hAnsi="Times New Roman" w:cs="Times New Roman"/>
                <w:sz w:val="20"/>
                <w:szCs w:val="20"/>
                <w:lang w:val="en-US" w:eastAsia="ca-ES"/>
              </w:rPr>
              <w:t xml:space="preserve"> </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6</w:t>
            </w:r>
          </w:p>
        </w:tc>
        <w:tc>
          <w:tcPr>
            <w:tcW w:w="8074" w:type="dxa"/>
            <w:tcBorders>
              <w:top w:val="nil"/>
              <w:left w:val="nil"/>
              <w:bottom w:val="nil"/>
              <w:right w:val="nil"/>
            </w:tcBorders>
          </w:tcPr>
          <w:p w:rsidR="00D15DD6" w:rsidRPr="00985DAE" w:rsidRDefault="00D15DD6" w:rsidP="00985DAE">
            <w:pPr>
              <w:spacing w:line="360" w:lineRule="auto"/>
              <w:jc w:val="both"/>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Baseline blood glucose concentrations &lt;50mg/dl or &gt;400 mg/dl</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7</w:t>
            </w:r>
          </w:p>
        </w:tc>
        <w:tc>
          <w:tcPr>
            <w:tcW w:w="8074" w:type="dxa"/>
            <w:tcBorders>
              <w:top w:val="nil"/>
              <w:left w:val="nil"/>
              <w:bottom w:val="nil"/>
              <w:right w:val="nil"/>
            </w:tcBorders>
          </w:tcPr>
          <w:p w:rsidR="00D15DD6" w:rsidRPr="00985DAE" w:rsidRDefault="00D15DD6" w:rsidP="00985DAE">
            <w:pPr>
              <w:spacing w:line="360" w:lineRule="auto"/>
              <w:jc w:val="both"/>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Sustained uncontrolled hypertension defined as systolic blood pressure &gt;</w:t>
            </w:r>
            <w:smartTag w:uri="urn:schemas-microsoft-com:office:smarttags" w:element="metricconverter">
              <w:smartTagPr>
                <w:attr w:name="ProductID" w:val="185 mm"/>
              </w:smartTagPr>
              <w:r w:rsidRPr="00985DAE">
                <w:rPr>
                  <w:rFonts w:ascii="Times New Roman" w:hAnsi="Times New Roman" w:cs="Times New Roman"/>
                  <w:sz w:val="20"/>
                  <w:szCs w:val="20"/>
                  <w:lang w:val="en-US" w:eastAsia="ca-ES"/>
                </w:rPr>
                <w:t>185 mm</w:t>
              </w:r>
            </w:smartTag>
            <w:r w:rsidRPr="00985DAE">
              <w:rPr>
                <w:rFonts w:ascii="Times New Roman" w:hAnsi="Times New Roman" w:cs="Times New Roman"/>
                <w:sz w:val="20"/>
                <w:szCs w:val="20"/>
                <w:lang w:val="en-US" w:eastAsia="ca-ES"/>
              </w:rPr>
              <w:t xml:space="preserve"> Hg or diastolic blood pressure &gt;</w:t>
            </w:r>
            <w:smartTag w:uri="urn:schemas-microsoft-com:office:smarttags" w:element="metricconverter">
              <w:smartTagPr>
                <w:attr w:name="ProductID" w:val="110 mm"/>
              </w:smartTagPr>
              <w:r w:rsidRPr="00985DAE">
                <w:rPr>
                  <w:rFonts w:ascii="Times New Roman" w:hAnsi="Times New Roman" w:cs="Times New Roman"/>
                  <w:sz w:val="20"/>
                  <w:szCs w:val="20"/>
                  <w:lang w:val="en-US" w:eastAsia="ca-ES"/>
                </w:rPr>
                <w:t>110 mm</w:t>
              </w:r>
            </w:smartTag>
            <w:r w:rsidRPr="00985DAE">
              <w:rPr>
                <w:rFonts w:ascii="Times New Roman" w:hAnsi="Times New Roman" w:cs="Times New Roman"/>
                <w:sz w:val="20"/>
                <w:szCs w:val="20"/>
                <w:lang w:val="en-US" w:eastAsia="ca-ES"/>
              </w:rPr>
              <w:t xml:space="preserve"> Hg regardless of intravenous antihypertensive medication</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8</w:t>
            </w:r>
          </w:p>
        </w:tc>
        <w:tc>
          <w:tcPr>
            <w:tcW w:w="8074" w:type="dxa"/>
            <w:tcBorders>
              <w:top w:val="nil"/>
              <w:left w:val="nil"/>
              <w:bottom w:val="nil"/>
              <w:right w:val="nil"/>
            </w:tcBorders>
          </w:tcPr>
          <w:p w:rsidR="00D15DD6" w:rsidRPr="00985DAE" w:rsidRDefault="00D15DD6" w:rsidP="00985DAE">
            <w:pPr>
              <w:spacing w:line="360" w:lineRule="auto"/>
              <w:jc w:val="both"/>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 xml:space="preserve">ASPECTS &lt; 7 on CT or &lt; 6 on DWI </w:t>
            </w:r>
          </w:p>
        </w:tc>
      </w:tr>
      <w:tr w:rsidR="00D15DD6" w:rsidRPr="00985DAE" w:rsidTr="000F64E0">
        <w:tc>
          <w:tcPr>
            <w:tcW w:w="568" w:type="dxa"/>
            <w:tcBorders>
              <w:top w:val="nil"/>
              <w:left w:val="nil"/>
              <w:bottom w:val="nil"/>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9</w:t>
            </w:r>
          </w:p>
        </w:tc>
        <w:tc>
          <w:tcPr>
            <w:tcW w:w="8074" w:type="dxa"/>
            <w:tcBorders>
              <w:top w:val="nil"/>
              <w:left w:val="nil"/>
              <w:bottom w:val="nil"/>
              <w:right w:val="nil"/>
            </w:tcBorders>
          </w:tcPr>
          <w:p w:rsidR="00D15DD6" w:rsidRPr="00985DAE" w:rsidRDefault="00D15DD6" w:rsidP="00985DAE">
            <w:pPr>
              <w:spacing w:line="360" w:lineRule="auto"/>
              <w:jc w:val="both"/>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Well-developed parenchymal hyperintensity seen on FLAIR or pronounced hypodensity on CT affecting the ischemic region</w:t>
            </w:r>
          </w:p>
        </w:tc>
      </w:tr>
      <w:tr w:rsidR="00D15DD6" w:rsidRPr="00985DAE" w:rsidTr="000F64E0">
        <w:tc>
          <w:tcPr>
            <w:tcW w:w="568" w:type="dxa"/>
            <w:tcBorders>
              <w:top w:val="nil"/>
              <w:left w:val="nil"/>
              <w:bottom w:val="single" w:sz="4" w:space="0" w:color="auto"/>
              <w:right w:val="nil"/>
            </w:tcBorders>
          </w:tcPr>
          <w:p w:rsidR="00D15DD6" w:rsidRPr="00985DAE" w:rsidRDefault="00D15DD6" w:rsidP="00985DAE">
            <w:pPr>
              <w:spacing w:line="360" w:lineRule="auto"/>
              <w:rPr>
                <w:rFonts w:ascii="Times New Roman" w:hAnsi="Times New Roman" w:cs="Times New Roman"/>
                <w:bCs/>
                <w:sz w:val="20"/>
                <w:szCs w:val="20"/>
                <w:lang w:val="en-US" w:eastAsia="ca-ES"/>
              </w:rPr>
            </w:pPr>
            <w:r w:rsidRPr="00985DAE">
              <w:rPr>
                <w:rFonts w:ascii="Times New Roman" w:hAnsi="Times New Roman" w:cs="Times New Roman"/>
                <w:bCs/>
                <w:sz w:val="20"/>
                <w:szCs w:val="20"/>
                <w:lang w:val="en-US" w:eastAsia="ca-ES"/>
              </w:rPr>
              <w:t>10</w:t>
            </w:r>
          </w:p>
        </w:tc>
        <w:tc>
          <w:tcPr>
            <w:tcW w:w="8074" w:type="dxa"/>
            <w:tcBorders>
              <w:top w:val="nil"/>
              <w:left w:val="nil"/>
              <w:bottom w:val="single" w:sz="4" w:space="0" w:color="auto"/>
              <w:right w:val="nil"/>
            </w:tcBorders>
          </w:tcPr>
          <w:p w:rsidR="00D15DD6" w:rsidRPr="00985DAE" w:rsidRDefault="00D15DD6" w:rsidP="00985DAE">
            <w:pPr>
              <w:spacing w:line="360" w:lineRule="auto"/>
              <w:jc w:val="both"/>
              <w:rPr>
                <w:rFonts w:ascii="Times New Roman" w:hAnsi="Times New Roman" w:cs="Times New Roman"/>
                <w:sz w:val="20"/>
                <w:szCs w:val="20"/>
                <w:lang w:val="en-US" w:eastAsia="ca-ES"/>
              </w:rPr>
            </w:pPr>
            <w:r w:rsidRPr="00985DAE">
              <w:rPr>
                <w:rFonts w:ascii="Times New Roman" w:hAnsi="Times New Roman" w:cs="Times New Roman"/>
                <w:sz w:val="20"/>
                <w:szCs w:val="20"/>
                <w:lang w:val="en-US" w:eastAsia="ca-ES"/>
              </w:rPr>
              <w:t>No evidence of large arterial occlusion on CT-, MR-angiography or transcranial color-coded duplex sonography</w:t>
            </w:r>
          </w:p>
        </w:tc>
      </w:tr>
    </w:tbl>
    <w:p w:rsidR="00D15DD6" w:rsidRPr="00985DAE" w:rsidRDefault="00D15DD6" w:rsidP="00985DAE">
      <w:pPr>
        <w:spacing w:line="360" w:lineRule="auto"/>
        <w:jc w:val="both"/>
        <w:rPr>
          <w:rFonts w:ascii="Times New Roman" w:hAnsi="Times New Roman" w:cs="Times New Roman"/>
          <w:sz w:val="20"/>
          <w:szCs w:val="20"/>
          <w:lang w:val="en-US"/>
        </w:rPr>
      </w:pPr>
    </w:p>
    <w:p w:rsidR="00D15DD6" w:rsidRPr="00985DAE" w:rsidRDefault="00D15DD6" w:rsidP="00985DAE">
      <w:pPr>
        <w:spacing w:line="360" w:lineRule="auto"/>
        <w:jc w:val="both"/>
        <w:rPr>
          <w:rFonts w:ascii="Times New Roman" w:hAnsi="Times New Roman" w:cs="Times New Roman"/>
          <w:sz w:val="20"/>
          <w:szCs w:val="20"/>
          <w:lang w:val="en-US"/>
        </w:rPr>
      </w:pPr>
    </w:p>
    <w:p w:rsidR="00D15DD6" w:rsidRPr="00985DAE" w:rsidRDefault="00D15DD6" w:rsidP="00985DAE">
      <w:pPr>
        <w:spacing w:line="360" w:lineRule="auto"/>
        <w:rPr>
          <w:rFonts w:ascii="Times New Roman" w:hAnsi="Times New Roman" w:cs="Times New Roman"/>
          <w:sz w:val="20"/>
          <w:szCs w:val="20"/>
          <w:lang w:val="en-US"/>
        </w:rPr>
      </w:pPr>
      <w:r w:rsidRPr="00985DAE">
        <w:rPr>
          <w:rFonts w:ascii="Times New Roman" w:hAnsi="Times New Roman" w:cs="Times New Roman"/>
          <w:sz w:val="20"/>
          <w:szCs w:val="20"/>
          <w:lang w:val="en-US"/>
        </w:rPr>
        <w:br w:type="page"/>
      </w:r>
    </w:p>
    <w:p w:rsidR="00D15DD6" w:rsidRPr="00985DAE" w:rsidRDefault="00C400AD" w:rsidP="00985DAE">
      <w:pPr>
        <w:spacing w:line="360" w:lineRule="auto"/>
        <w:rPr>
          <w:rFonts w:ascii="Times New Roman" w:hAnsi="Times New Roman" w:cs="Times New Roman"/>
          <w:b/>
          <w:sz w:val="20"/>
          <w:szCs w:val="20"/>
          <w:lang w:val="en-US"/>
        </w:rPr>
      </w:pPr>
      <w:r w:rsidRPr="00985DAE">
        <w:rPr>
          <w:rFonts w:ascii="Times New Roman" w:hAnsi="Times New Roman" w:cs="Times New Roman"/>
          <w:b/>
          <w:sz w:val="20"/>
          <w:szCs w:val="20"/>
          <w:lang w:val="en-US"/>
        </w:rPr>
        <w:lastRenderedPageBreak/>
        <w:t>SUPPLEMENTA</w:t>
      </w:r>
      <w:r w:rsidR="006336D2">
        <w:rPr>
          <w:rFonts w:ascii="Times New Roman" w:hAnsi="Times New Roman" w:cs="Times New Roman"/>
          <w:b/>
          <w:sz w:val="20"/>
          <w:szCs w:val="20"/>
          <w:lang w:val="en-US"/>
        </w:rPr>
        <w:t xml:space="preserve">RY </w:t>
      </w:r>
      <w:r w:rsidR="00D15DD6" w:rsidRPr="00985DAE">
        <w:rPr>
          <w:rFonts w:ascii="Times New Roman" w:hAnsi="Times New Roman" w:cs="Times New Roman"/>
          <w:b/>
          <w:sz w:val="20"/>
          <w:szCs w:val="20"/>
          <w:lang w:val="en-US"/>
        </w:rPr>
        <w:t>FIGURES</w:t>
      </w:r>
    </w:p>
    <w:p w:rsidR="000F64E0" w:rsidRPr="00985DAE" w:rsidRDefault="000F64E0" w:rsidP="00985DAE">
      <w:pPr>
        <w:spacing w:line="360" w:lineRule="auto"/>
        <w:rPr>
          <w:rFonts w:ascii="Times New Roman" w:hAnsi="Times New Roman" w:cs="Times New Roman"/>
          <w:b/>
          <w:sz w:val="20"/>
          <w:szCs w:val="20"/>
          <w:lang w:val="en-US"/>
        </w:rPr>
      </w:pPr>
    </w:p>
    <w:p w:rsidR="00D15DD6" w:rsidRPr="00985DAE" w:rsidRDefault="006336D2" w:rsidP="00985DAE">
      <w:pPr>
        <w:spacing w:line="360" w:lineRule="auto"/>
        <w:rPr>
          <w:rFonts w:ascii="Times New Roman" w:hAnsi="Times New Roman" w:cs="Times New Roman"/>
          <w:b/>
          <w:bCs/>
          <w:sz w:val="20"/>
          <w:szCs w:val="20"/>
          <w:lang w:val="en-US"/>
        </w:rPr>
      </w:pPr>
      <w:r>
        <w:rPr>
          <w:rFonts w:ascii="Times New Roman" w:hAnsi="Times New Roman" w:cs="Times New Roman"/>
          <w:b/>
          <w:sz w:val="20"/>
          <w:szCs w:val="20"/>
          <w:lang w:val="en-US"/>
        </w:rPr>
        <w:t xml:space="preserve">Supplementary </w:t>
      </w:r>
      <w:r w:rsidR="00D15DD6" w:rsidRPr="00985DAE">
        <w:rPr>
          <w:rFonts w:ascii="Times New Roman" w:hAnsi="Times New Roman" w:cs="Times New Roman"/>
          <w:b/>
          <w:sz w:val="20"/>
          <w:szCs w:val="20"/>
          <w:lang w:val="en-US"/>
        </w:rPr>
        <w:t xml:space="preserve">Figure. </w:t>
      </w:r>
      <w:r w:rsidR="00D15DD6" w:rsidRPr="00985DAE">
        <w:rPr>
          <w:rFonts w:ascii="Times New Roman" w:hAnsi="Times New Roman" w:cs="Times New Roman"/>
          <w:b/>
          <w:bCs/>
          <w:sz w:val="20"/>
          <w:szCs w:val="20"/>
          <w:lang w:val="en-US"/>
        </w:rPr>
        <w:t>Distribution of cases by treatment group according to their propensity scores</w:t>
      </w:r>
    </w:p>
    <w:p w:rsidR="00D15DD6" w:rsidRPr="00985DAE" w:rsidRDefault="00D15DD6" w:rsidP="00985DAE">
      <w:pPr>
        <w:spacing w:line="360" w:lineRule="auto"/>
        <w:rPr>
          <w:rFonts w:ascii="Times New Roman" w:hAnsi="Times New Roman" w:cs="Times New Roman"/>
          <w:sz w:val="20"/>
          <w:szCs w:val="20"/>
          <w:lang w:val="en-US"/>
        </w:rPr>
      </w:pPr>
      <w:r w:rsidRPr="00985DAE">
        <w:rPr>
          <w:rFonts w:ascii="Times New Roman" w:hAnsi="Times New Roman" w:cs="Times New Roman"/>
          <w:noProof/>
          <w:sz w:val="20"/>
          <w:szCs w:val="20"/>
          <w:lang w:eastAsia="ca-ES"/>
        </w:rPr>
        <w:drawing>
          <wp:inline distT="0" distB="0" distL="0" distR="0">
            <wp:extent cx="5400040" cy="3651351"/>
            <wp:effectExtent l="0" t="0" r="0" b="0"/>
            <wp:docPr id="2" name="Imatge 1"/>
            <wp:cNvGraphicFramePr/>
            <a:graphic xmlns:a="http://schemas.openxmlformats.org/drawingml/2006/main">
              <a:graphicData uri="http://schemas.openxmlformats.org/drawingml/2006/picture">
                <pic:pic xmlns:pic="http://schemas.openxmlformats.org/drawingml/2006/picture">
                  <pic:nvPicPr>
                    <pic:cNvPr id="6" name="Contenidor de contingut 5"/>
                    <pic:cNvPicPr>
                      <a:picLocks noGrp="1"/>
                    </pic:cNvPicPr>
                  </pic:nvPicPr>
                  <pic:blipFill>
                    <a:blip r:embed="rId7" cstate="print"/>
                    <a:srcRect/>
                    <a:stretch>
                      <a:fillRect/>
                    </a:stretch>
                  </pic:blipFill>
                  <pic:spPr bwMode="auto">
                    <a:xfrm>
                      <a:off x="0" y="0"/>
                      <a:ext cx="5400040" cy="3651351"/>
                    </a:xfrm>
                    <a:prstGeom prst="rect">
                      <a:avLst/>
                    </a:prstGeom>
                    <a:noFill/>
                    <a:ln w="9525">
                      <a:noFill/>
                      <a:miter lim="800000"/>
                      <a:headEnd/>
                      <a:tailEnd/>
                    </a:ln>
                  </pic:spPr>
                </pic:pic>
              </a:graphicData>
            </a:graphic>
          </wp:inline>
        </w:drawing>
      </w:r>
      <w:r w:rsidRPr="00985DAE">
        <w:rPr>
          <w:rFonts w:ascii="Times New Roman" w:hAnsi="Times New Roman" w:cs="Times New Roman"/>
          <w:sz w:val="20"/>
          <w:szCs w:val="20"/>
          <w:lang w:val="en-US"/>
        </w:rPr>
        <w:t xml:space="preserve"> </w:t>
      </w:r>
    </w:p>
    <w:p w:rsidR="00D15DD6" w:rsidRPr="00985DAE" w:rsidRDefault="00D15DD6" w:rsidP="00985DAE">
      <w:pPr>
        <w:spacing w:line="360" w:lineRule="auto"/>
        <w:rPr>
          <w:rFonts w:ascii="Times New Roman" w:hAnsi="Times New Roman" w:cs="Times New Roman"/>
          <w:sz w:val="20"/>
          <w:szCs w:val="20"/>
        </w:rPr>
      </w:pPr>
      <w:r w:rsidRPr="00985DAE">
        <w:rPr>
          <w:rFonts w:ascii="Times New Roman" w:hAnsi="Times New Roman" w:cs="Times New Roman"/>
          <w:sz w:val="20"/>
          <w:szCs w:val="20"/>
          <w:lang w:val="en-US"/>
        </w:rPr>
        <w:t xml:space="preserve">The grey line designates </w:t>
      </w:r>
      <w:proofErr w:type="spellStart"/>
      <w:r w:rsidRPr="00985DAE">
        <w:rPr>
          <w:rFonts w:ascii="Times New Roman" w:hAnsi="Times New Roman" w:cs="Times New Roman"/>
          <w:sz w:val="20"/>
          <w:szCs w:val="20"/>
          <w:lang w:val="en-US"/>
        </w:rPr>
        <w:t>pEVT</w:t>
      </w:r>
      <w:proofErr w:type="spellEnd"/>
      <w:r w:rsidRPr="00985DAE">
        <w:rPr>
          <w:rFonts w:ascii="Times New Roman" w:hAnsi="Times New Roman" w:cs="Times New Roman"/>
          <w:sz w:val="20"/>
          <w:szCs w:val="20"/>
          <w:lang w:val="en-US"/>
        </w:rPr>
        <w:t xml:space="preserve"> cases and the black line </w:t>
      </w:r>
      <w:proofErr w:type="spellStart"/>
      <w:r w:rsidRPr="00985DAE">
        <w:rPr>
          <w:rFonts w:ascii="Times New Roman" w:hAnsi="Times New Roman" w:cs="Times New Roman"/>
          <w:sz w:val="20"/>
          <w:szCs w:val="20"/>
          <w:lang w:val="en-US"/>
        </w:rPr>
        <w:t>IVTa</w:t>
      </w:r>
      <w:proofErr w:type="spellEnd"/>
      <w:r w:rsidRPr="00985DAE">
        <w:rPr>
          <w:rFonts w:ascii="Times New Roman" w:hAnsi="Times New Roman" w:cs="Times New Roman"/>
          <w:sz w:val="20"/>
          <w:szCs w:val="20"/>
          <w:lang w:val="en-US"/>
        </w:rPr>
        <w:t xml:space="preserve"> cases. </w:t>
      </w:r>
    </w:p>
    <w:p w:rsidR="00381D34" w:rsidRPr="00985DAE" w:rsidRDefault="00D15DD6" w:rsidP="00985DAE">
      <w:pPr>
        <w:spacing w:line="360" w:lineRule="auto"/>
        <w:rPr>
          <w:rFonts w:ascii="Times New Roman" w:hAnsi="Times New Roman" w:cs="Times New Roman"/>
          <w:sz w:val="20"/>
          <w:szCs w:val="20"/>
          <w:lang w:val="en-US"/>
        </w:rPr>
      </w:pPr>
      <w:r w:rsidRPr="00985DAE">
        <w:rPr>
          <w:rFonts w:ascii="Times New Roman" w:hAnsi="Times New Roman" w:cs="Times New Roman"/>
          <w:sz w:val="20"/>
          <w:szCs w:val="20"/>
          <w:lang w:val="en-US"/>
        </w:rPr>
        <w:t xml:space="preserve"> </w:t>
      </w:r>
    </w:p>
    <w:p w:rsidR="00381D34" w:rsidRPr="00985DAE" w:rsidRDefault="00381D34" w:rsidP="00985DAE">
      <w:pPr>
        <w:spacing w:line="360" w:lineRule="auto"/>
        <w:rPr>
          <w:rFonts w:ascii="Times New Roman" w:hAnsi="Times New Roman" w:cs="Times New Roman"/>
          <w:sz w:val="20"/>
          <w:szCs w:val="20"/>
          <w:lang w:val="en-US"/>
        </w:rPr>
      </w:pPr>
    </w:p>
    <w:p w:rsidR="00381D34" w:rsidRPr="00985DAE" w:rsidRDefault="00381D34" w:rsidP="00985DAE">
      <w:pPr>
        <w:spacing w:line="360" w:lineRule="auto"/>
        <w:rPr>
          <w:rFonts w:ascii="Times New Roman" w:hAnsi="Times New Roman" w:cs="Times New Roman"/>
          <w:sz w:val="20"/>
          <w:szCs w:val="20"/>
          <w:lang w:val="en-US"/>
        </w:rPr>
      </w:pPr>
      <w:r w:rsidRPr="00985DAE">
        <w:rPr>
          <w:rFonts w:ascii="Times New Roman" w:hAnsi="Times New Roman" w:cs="Times New Roman"/>
          <w:sz w:val="20"/>
          <w:szCs w:val="20"/>
          <w:lang w:val="en-US"/>
        </w:rPr>
        <w:br w:type="page"/>
      </w:r>
    </w:p>
    <w:p w:rsidR="00390EE9" w:rsidRDefault="00E0653E" w:rsidP="00390EE9">
      <w:pPr>
        <w:jc w:val="center"/>
        <w:rPr>
          <w:rFonts w:ascii="Times New Roman" w:hAnsi="Times New Roman" w:cs="Times New Roman"/>
          <w:sz w:val="20"/>
          <w:szCs w:val="20"/>
          <w:lang w:val="en-US"/>
        </w:rPr>
      </w:pPr>
      <w:r w:rsidRPr="00985DAE">
        <w:rPr>
          <w:rFonts w:ascii="Times New Roman" w:hAnsi="Times New Roman" w:cs="Times New Roman"/>
          <w:sz w:val="20"/>
          <w:szCs w:val="20"/>
          <w:lang w:val="en-US"/>
        </w:rPr>
        <w:lastRenderedPageBreak/>
        <w:fldChar w:fldCharType="begin"/>
      </w:r>
      <w:r w:rsidR="00381D34" w:rsidRPr="00985DAE">
        <w:rPr>
          <w:rFonts w:ascii="Times New Roman" w:hAnsi="Times New Roman" w:cs="Times New Roman"/>
          <w:sz w:val="20"/>
          <w:szCs w:val="20"/>
          <w:lang w:val="en-US"/>
        </w:rPr>
        <w:instrText xml:space="preserve"> ADDIN REFMGR.REFLIST </w:instrText>
      </w:r>
      <w:r w:rsidRPr="00985DAE">
        <w:rPr>
          <w:rFonts w:ascii="Times New Roman" w:hAnsi="Times New Roman" w:cs="Times New Roman"/>
          <w:sz w:val="20"/>
          <w:szCs w:val="20"/>
          <w:lang w:val="en-US"/>
        </w:rPr>
        <w:fldChar w:fldCharType="separate"/>
      </w:r>
      <w:r w:rsidR="00390EE9">
        <w:rPr>
          <w:rFonts w:ascii="Times New Roman" w:hAnsi="Times New Roman" w:cs="Times New Roman"/>
          <w:sz w:val="20"/>
          <w:szCs w:val="20"/>
          <w:lang w:val="en-US"/>
        </w:rPr>
        <w:t>SUPPLEMENTA</w:t>
      </w:r>
      <w:r w:rsidR="006336D2">
        <w:rPr>
          <w:rFonts w:ascii="Times New Roman" w:hAnsi="Times New Roman" w:cs="Times New Roman"/>
          <w:sz w:val="20"/>
          <w:szCs w:val="20"/>
          <w:lang w:val="en-US"/>
        </w:rPr>
        <w:t xml:space="preserve">RY </w:t>
      </w:r>
      <w:r w:rsidR="00390EE9">
        <w:rPr>
          <w:rFonts w:ascii="Times New Roman" w:hAnsi="Times New Roman" w:cs="Times New Roman"/>
          <w:sz w:val="20"/>
          <w:szCs w:val="20"/>
          <w:lang w:val="en-US"/>
        </w:rPr>
        <w:t>REFERENCES</w:t>
      </w:r>
    </w:p>
    <w:p w:rsidR="00390EE9" w:rsidRDefault="00390EE9" w:rsidP="00390EE9">
      <w:pPr>
        <w:jc w:val="center"/>
        <w:rPr>
          <w:rFonts w:ascii="Times New Roman" w:hAnsi="Times New Roman" w:cs="Times New Roman"/>
          <w:sz w:val="20"/>
          <w:szCs w:val="20"/>
          <w:lang w:val="en-US"/>
        </w:rPr>
      </w:pPr>
    </w:p>
    <w:p w:rsidR="00390EE9" w:rsidRDefault="00390EE9" w:rsidP="00390EE9">
      <w:pPr>
        <w:tabs>
          <w:tab w:val="right" w:pos="180"/>
          <w:tab w:val="left" w:pos="360"/>
        </w:tabs>
        <w:spacing w:after="0" w:line="240" w:lineRule="auto"/>
        <w:ind w:left="360" w:hanging="360"/>
        <w:rPr>
          <w:rFonts w:ascii="Times New Roman" w:hAnsi="Times New Roman" w:cs="Times New Roman"/>
          <w:sz w:val="20"/>
          <w:szCs w:val="20"/>
          <w:lang w:val="en-US"/>
        </w:rPr>
      </w:pPr>
      <w:r>
        <w:rPr>
          <w:rFonts w:ascii="Times New Roman" w:hAnsi="Times New Roman" w:cs="Times New Roman"/>
          <w:sz w:val="20"/>
          <w:szCs w:val="20"/>
          <w:lang w:val="en-US"/>
        </w:rPr>
        <w:tab/>
        <w:t>(1)</w:t>
      </w:r>
      <w:r>
        <w:rPr>
          <w:rFonts w:ascii="Times New Roman" w:hAnsi="Times New Roman" w:cs="Times New Roman"/>
          <w:sz w:val="20"/>
          <w:szCs w:val="20"/>
          <w:lang w:val="en-US"/>
        </w:rPr>
        <w:tab/>
        <w:t>Wahlgren N, Ahmed N, Davalos A, et al. Thrombolysis with alteplase for acute ischaemic stroke in the Safe Implementation of Thrombolysis in Stroke-Monitoring Study (SITS-MOST): an observational study. Lancet 2007;369:275-282.</w:t>
      </w:r>
    </w:p>
    <w:p w:rsidR="00390EE9" w:rsidRDefault="00390EE9" w:rsidP="00390EE9">
      <w:pPr>
        <w:tabs>
          <w:tab w:val="right" w:pos="180"/>
          <w:tab w:val="left" w:pos="360"/>
        </w:tabs>
        <w:spacing w:after="0" w:line="240" w:lineRule="auto"/>
        <w:ind w:left="360" w:hanging="360"/>
        <w:rPr>
          <w:rFonts w:ascii="Times New Roman" w:hAnsi="Times New Roman" w:cs="Times New Roman"/>
          <w:sz w:val="20"/>
          <w:szCs w:val="20"/>
          <w:lang w:val="en-US"/>
        </w:rPr>
      </w:pPr>
    </w:p>
    <w:p w:rsidR="00041D09" w:rsidRPr="00985DAE" w:rsidRDefault="00E0653E" w:rsidP="00390EE9">
      <w:pPr>
        <w:tabs>
          <w:tab w:val="right" w:pos="180"/>
          <w:tab w:val="left" w:pos="360"/>
        </w:tabs>
        <w:spacing w:after="0" w:line="240" w:lineRule="auto"/>
        <w:ind w:left="360" w:hanging="360"/>
        <w:rPr>
          <w:rFonts w:ascii="Times New Roman" w:hAnsi="Times New Roman" w:cs="Times New Roman"/>
          <w:sz w:val="20"/>
          <w:szCs w:val="20"/>
          <w:lang w:val="en-US"/>
        </w:rPr>
      </w:pPr>
      <w:r w:rsidRPr="00985DAE">
        <w:rPr>
          <w:rFonts w:ascii="Times New Roman" w:hAnsi="Times New Roman" w:cs="Times New Roman"/>
          <w:sz w:val="20"/>
          <w:szCs w:val="20"/>
          <w:lang w:val="en-US"/>
        </w:rPr>
        <w:fldChar w:fldCharType="end"/>
      </w:r>
    </w:p>
    <w:sectPr w:rsidR="00041D09" w:rsidRPr="00985DAE" w:rsidSect="00932445">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60" w:rsidRDefault="008F5560" w:rsidP="000621E3">
      <w:pPr>
        <w:spacing w:after="0" w:line="240" w:lineRule="auto"/>
      </w:pPr>
      <w:r>
        <w:separator/>
      </w:r>
    </w:p>
  </w:endnote>
  <w:endnote w:type="continuationSeparator" w:id="0">
    <w:p w:rsidR="008F5560" w:rsidRDefault="008F5560" w:rsidP="00062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97860"/>
      <w:docPartObj>
        <w:docPartGallery w:val="Page Numbers (Bottom of Page)"/>
        <w:docPartUnique/>
      </w:docPartObj>
    </w:sdtPr>
    <w:sdtContent>
      <w:p w:rsidR="008F5560" w:rsidRDefault="00E0653E">
        <w:pPr>
          <w:pStyle w:val="Peu"/>
          <w:jc w:val="right"/>
        </w:pPr>
        <w:r w:rsidRPr="009F7F0C">
          <w:rPr>
            <w:rFonts w:ascii="Times New Roman" w:hAnsi="Times New Roman" w:cs="Times New Roman"/>
            <w:sz w:val="20"/>
          </w:rPr>
          <w:fldChar w:fldCharType="begin"/>
        </w:r>
        <w:r w:rsidR="008F5560" w:rsidRPr="009F7F0C">
          <w:rPr>
            <w:rFonts w:ascii="Times New Roman" w:hAnsi="Times New Roman" w:cs="Times New Roman"/>
            <w:sz w:val="20"/>
          </w:rPr>
          <w:instrText xml:space="preserve"> PAGE   \* MERGEFORMAT </w:instrText>
        </w:r>
        <w:r w:rsidRPr="009F7F0C">
          <w:rPr>
            <w:rFonts w:ascii="Times New Roman" w:hAnsi="Times New Roman" w:cs="Times New Roman"/>
            <w:sz w:val="20"/>
          </w:rPr>
          <w:fldChar w:fldCharType="separate"/>
        </w:r>
        <w:r w:rsidR="00662CE0">
          <w:rPr>
            <w:rFonts w:ascii="Times New Roman" w:hAnsi="Times New Roman" w:cs="Times New Roman"/>
            <w:noProof/>
            <w:sz w:val="20"/>
          </w:rPr>
          <w:t>1</w:t>
        </w:r>
        <w:r w:rsidRPr="009F7F0C">
          <w:rPr>
            <w:rFonts w:ascii="Times New Roman" w:hAnsi="Times New Roman" w:cs="Times New Roman"/>
            <w:sz w:val="20"/>
          </w:rPr>
          <w:fldChar w:fldCharType="end"/>
        </w:r>
      </w:p>
    </w:sdtContent>
  </w:sdt>
  <w:p w:rsidR="008F5560" w:rsidRDefault="008F5560">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60" w:rsidRDefault="008F5560" w:rsidP="000621E3">
      <w:pPr>
        <w:spacing w:after="0" w:line="240" w:lineRule="auto"/>
      </w:pPr>
      <w:r>
        <w:separator/>
      </w:r>
    </w:p>
  </w:footnote>
  <w:footnote w:type="continuationSeparator" w:id="0">
    <w:p w:rsidR="008F5560" w:rsidRDefault="008F5560" w:rsidP="00062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04E"/>
    <w:multiLevelType w:val="hybridMultilevel"/>
    <w:tmpl w:val="BEE62624"/>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C972FD4"/>
    <w:multiLevelType w:val="hybridMultilevel"/>
    <w:tmpl w:val="1F0A12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E811674"/>
    <w:multiLevelType w:val="hybridMultilevel"/>
    <w:tmpl w:val="AAEEDD6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0694742"/>
    <w:multiLevelType w:val="hybridMultilevel"/>
    <w:tmpl w:val="9154EA10"/>
    <w:lvl w:ilvl="0" w:tplc="6BC007B8">
      <w:start w:val="4"/>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C4F4AAD"/>
    <w:multiLevelType w:val="hybridMultilevel"/>
    <w:tmpl w:val="24E0FE9C"/>
    <w:lvl w:ilvl="0" w:tplc="E7B008E8">
      <w:start w:val="66"/>
      <w:numFmt w:val="bullet"/>
      <w:lvlText w:val=""/>
      <w:lvlJc w:val="left"/>
      <w:pPr>
        <w:ind w:left="720" w:hanging="360"/>
      </w:pPr>
      <w:rPr>
        <w:rFonts w:ascii="Symbol" w:eastAsiaTheme="minorHAnsi"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7094A7C"/>
    <w:multiLevelType w:val="hybridMultilevel"/>
    <w:tmpl w:val="4FFE1A42"/>
    <w:lvl w:ilvl="0" w:tplc="C8502AEE">
      <w:start w:val="16"/>
      <w:numFmt w:val="bullet"/>
      <w:lvlText w:val=""/>
      <w:lvlJc w:val="left"/>
      <w:pPr>
        <w:ind w:left="720" w:hanging="360"/>
      </w:pPr>
      <w:rPr>
        <w:rFonts w:ascii="Symbol" w:eastAsiaTheme="minorHAnsi"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361AD9"/>
    <w:multiLevelType w:val="hybridMultilevel"/>
    <w:tmpl w:val="34761C38"/>
    <w:lvl w:ilvl="0" w:tplc="26A28DD2">
      <w:start w:val="20"/>
      <w:numFmt w:val="bullet"/>
      <w:lvlText w:val=""/>
      <w:lvlJc w:val="left"/>
      <w:pPr>
        <w:ind w:left="720" w:hanging="360"/>
      </w:pPr>
      <w:rPr>
        <w:rFonts w:ascii="Symbol" w:eastAsiaTheme="minorHAnsi"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FD379D5"/>
    <w:multiLevelType w:val="hybridMultilevel"/>
    <w:tmpl w:val="63CC0A50"/>
    <w:lvl w:ilvl="0" w:tplc="FCCCEBF8">
      <w:start w:val="1"/>
      <w:numFmt w:val="decimal"/>
      <w:lvlText w:val="(%1)"/>
      <w:lvlJc w:val="left"/>
      <w:pPr>
        <w:ind w:left="720" w:hanging="360"/>
      </w:pPr>
      <w:rPr>
        <w:rFonts w:ascii="Times New Roman" w:eastAsiaTheme="minorHAnsi" w:hAnsi="Times New Roman"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12358D5"/>
    <w:multiLevelType w:val="hybridMultilevel"/>
    <w:tmpl w:val="92EAA2F2"/>
    <w:lvl w:ilvl="0" w:tplc="5C2095BA">
      <w:start w:val="19"/>
      <w:numFmt w:val="bullet"/>
      <w:lvlText w:val="-"/>
      <w:lvlJc w:val="left"/>
      <w:pPr>
        <w:ind w:left="720" w:hanging="360"/>
      </w:pPr>
      <w:rPr>
        <w:rFonts w:ascii="Times New Roman" w:eastAsiaTheme="minorHAnsi"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85D7C4E"/>
    <w:multiLevelType w:val="hybridMultilevel"/>
    <w:tmpl w:val="E5C41418"/>
    <w:lvl w:ilvl="0" w:tplc="74FC441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43C3440E"/>
    <w:multiLevelType w:val="hybridMultilevel"/>
    <w:tmpl w:val="43D0FDD8"/>
    <w:lvl w:ilvl="0" w:tplc="0403000D">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5DC59C3"/>
    <w:multiLevelType w:val="hybridMultilevel"/>
    <w:tmpl w:val="96444C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CC031CB"/>
    <w:multiLevelType w:val="hybridMultilevel"/>
    <w:tmpl w:val="F4367ACA"/>
    <w:lvl w:ilvl="0" w:tplc="0403000D">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D0A3ABC"/>
    <w:multiLevelType w:val="hybridMultilevel"/>
    <w:tmpl w:val="A252D38E"/>
    <w:lvl w:ilvl="0" w:tplc="7ED8B45C">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685A0B5D"/>
    <w:multiLevelType w:val="hybridMultilevel"/>
    <w:tmpl w:val="C59C705C"/>
    <w:lvl w:ilvl="0" w:tplc="7DA0C00A">
      <w:start w:val="20"/>
      <w:numFmt w:val="bullet"/>
      <w:lvlText w:val=""/>
      <w:lvlJc w:val="left"/>
      <w:pPr>
        <w:ind w:left="720" w:hanging="360"/>
      </w:pPr>
      <w:rPr>
        <w:rFonts w:ascii="Symbol" w:eastAsiaTheme="minorHAnsi"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A73968"/>
    <w:multiLevelType w:val="hybridMultilevel"/>
    <w:tmpl w:val="0A9C82B0"/>
    <w:lvl w:ilvl="0" w:tplc="A42E22EE">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D3F27CC"/>
    <w:multiLevelType w:val="hybridMultilevel"/>
    <w:tmpl w:val="732E4748"/>
    <w:lvl w:ilvl="0" w:tplc="D08C4B48">
      <w:start w:val="4"/>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5"/>
  </w:num>
  <w:num w:numId="5">
    <w:abstractNumId w:val="7"/>
  </w:num>
  <w:num w:numId="6">
    <w:abstractNumId w:val="2"/>
  </w:num>
  <w:num w:numId="7">
    <w:abstractNumId w:val="4"/>
  </w:num>
  <w:num w:numId="8">
    <w:abstractNumId w:val="5"/>
  </w:num>
  <w:num w:numId="9">
    <w:abstractNumId w:val="13"/>
  </w:num>
  <w:num w:numId="10">
    <w:abstractNumId w:val="9"/>
  </w:num>
  <w:num w:numId="11">
    <w:abstractNumId w:val="14"/>
  </w:num>
  <w:num w:numId="12">
    <w:abstractNumId w:val="6"/>
  </w:num>
  <w:num w:numId="13">
    <w:abstractNumId w:val="11"/>
  </w:num>
  <w:num w:numId="14">
    <w:abstractNumId w:val="8"/>
  </w:num>
  <w:num w:numId="15">
    <w:abstractNumId w:val="0"/>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Neurology&lt;/StartingRefnum&gt;&lt;FontName&gt;Times New Roman&lt;/FontName&gt;&lt;FontSize&gt;10&lt;/FontSize&gt;&lt;ReflistTitle&gt;SUPPLEMENTAL 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thrombolysis&lt;/item&gt;&lt;/Libraries&gt;&lt;/Databases&gt;"/>
  </w:docVars>
  <w:rsids>
    <w:rsidRoot w:val="000621E3"/>
    <w:rsid w:val="00041D09"/>
    <w:rsid w:val="000621E3"/>
    <w:rsid w:val="00073A50"/>
    <w:rsid w:val="00085B1E"/>
    <w:rsid w:val="000A797F"/>
    <w:rsid w:val="000C7A48"/>
    <w:rsid w:val="000E109C"/>
    <w:rsid w:val="000F38AD"/>
    <w:rsid w:val="000F64E0"/>
    <w:rsid w:val="001076D1"/>
    <w:rsid w:val="00120F9E"/>
    <w:rsid w:val="001C4420"/>
    <w:rsid w:val="001E7705"/>
    <w:rsid w:val="0021529B"/>
    <w:rsid w:val="00241A9D"/>
    <w:rsid w:val="00244DA3"/>
    <w:rsid w:val="00272296"/>
    <w:rsid w:val="002A4F67"/>
    <w:rsid w:val="0033041D"/>
    <w:rsid w:val="00350496"/>
    <w:rsid w:val="00370A66"/>
    <w:rsid w:val="00381D34"/>
    <w:rsid w:val="00387ECB"/>
    <w:rsid w:val="00390EE9"/>
    <w:rsid w:val="003A7044"/>
    <w:rsid w:val="003B05C7"/>
    <w:rsid w:val="003B2206"/>
    <w:rsid w:val="003B53AA"/>
    <w:rsid w:val="003B61D0"/>
    <w:rsid w:val="004657B8"/>
    <w:rsid w:val="00471204"/>
    <w:rsid w:val="0048060F"/>
    <w:rsid w:val="00492C36"/>
    <w:rsid w:val="004C03F1"/>
    <w:rsid w:val="004C7132"/>
    <w:rsid w:val="00557B8B"/>
    <w:rsid w:val="005A0AA8"/>
    <w:rsid w:val="005A0D1B"/>
    <w:rsid w:val="005A130B"/>
    <w:rsid w:val="005B73A5"/>
    <w:rsid w:val="005D5E8A"/>
    <w:rsid w:val="00617E20"/>
    <w:rsid w:val="00622530"/>
    <w:rsid w:val="006336D2"/>
    <w:rsid w:val="00635A61"/>
    <w:rsid w:val="006401F9"/>
    <w:rsid w:val="00647338"/>
    <w:rsid w:val="00662CE0"/>
    <w:rsid w:val="00674067"/>
    <w:rsid w:val="00696EFE"/>
    <w:rsid w:val="006B7E8B"/>
    <w:rsid w:val="006E4DDC"/>
    <w:rsid w:val="00707246"/>
    <w:rsid w:val="00723C12"/>
    <w:rsid w:val="00765E23"/>
    <w:rsid w:val="007C53B8"/>
    <w:rsid w:val="007E5376"/>
    <w:rsid w:val="00846608"/>
    <w:rsid w:val="008B2EDD"/>
    <w:rsid w:val="008C5FC7"/>
    <w:rsid w:val="008F5560"/>
    <w:rsid w:val="00914AA7"/>
    <w:rsid w:val="009213FB"/>
    <w:rsid w:val="00932445"/>
    <w:rsid w:val="00985DAE"/>
    <w:rsid w:val="00994ED1"/>
    <w:rsid w:val="009F7B59"/>
    <w:rsid w:val="009F7F0C"/>
    <w:rsid w:val="00A05BB6"/>
    <w:rsid w:val="00A35687"/>
    <w:rsid w:val="00A7042B"/>
    <w:rsid w:val="00A812B1"/>
    <w:rsid w:val="00A81774"/>
    <w:rsid w:val="00A920CD"/>
    <w:rsid w:val="00B37D6E"/>
    <w:rsid w:val="00B53300"/>
    <w:rsid w:val="00B73F82"/>
    <w:rsid w:val="00B749F6"/>
    <w:rsid w:val="00B77E19"/>
    <w:rsid w:val="00B94ED9"/>
    <w:rsid w:val="00BC27D6"/>
    <w:rsid w:val="00BC5CB0"/>
    <w:rsid w:val="00BD0EAE"/>
    <w:rsid w:val="00C2762B"/>
    <w:rsid w:val="00C400AD"/>
    <w:rsid w:val="00C4210D"/>
    <w:rsid w:val="00C61492"/>
    <w:rsid w:val="00C6524A"/>
    <w:rsid w:val="00C73F4D"/>
    <w:rsid w:val="00C9699E"/>
    <w:rsid w:val="00CB09F8"/>
    <w:rsid w:val="00CB5C18"/>
    <w:rsid w:val="00CF02B2"/>
    <w:rsid w:val="00D15DD6"/>
    <w:rsid w:val="00D77886"/>
    <w:rsid w:val="00D80C15"/>
    <w:rsid w:val="00D931A6"/>
    <w:rsid w:val="00D945A5"/>
    <w:rsid w:val="00DD64C4"/>
    <w:rsid w:val="00E0653E"/>
    <w:rsid w:val="00E30D09"/>
    <w:rsid w:val="00E35D08"/>
    <w:rsid w:val="00E62053"/>
    <w:rsid w:val="00E6370B"/>
    <w:rsid w:val="00EE7D3F"/>
    <w:rsid w:val="00F7047A"/>
    <w:rsid w:val="00F76AB0"/>
    <w:rsid w:val="00F859A6"/>
    <w:rsid w:val="00FA2711"/>
    <w:rsid w:val="00FC1B11"/>
    <w:rsid w:val="00FC3B1A"/>
    <w:rsid w:val="00FF61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rsid w:val="000621E3"/>
    <w:rPr>
      <w:color w:val="0000FF"/>
      <w:u w:val="single"/>
    </w:rPr>
  </w:style>
  <w:style w:type="paragraph" w:styleId="Capalera">
    <w:name w:val="header"/>
    <w:basedOn w:val="Normal"/>
    <w:link w:val="CapaleraCar"/>
    <w:uiPriority w:val="99"/>
    <w:unhideWhenUsed/>
    <w:rsid w:val="000621E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621E3"/>
  </w:style>
  <w:style w:type="paragraph" w:styleId="Peu">
    <w:name w:val="footer"/>
    <w:basedOn w:val="Normal"/>
    <w:link w:val="PeuCar"/>
    <w:uiPriority w:val="99"/>
    <w:unhideWhenUsed/>
    <w:rsid w:val="000621E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621E3"/>
  </w:style>
  <w:style w:type="paragraph" w:customStyle="1" w:styleId="H1">
    <w:name w:val="H1"/>
    <w:basedOn w:val="Normal"/>
    <w:next w:val="Normal"/>
    <w:uiPriority w:val="99"/>
    <w:rsid w:val="00041D0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Default">
    <w:name w:val="Default"/>
    <w:rsid w:val="00041D09"/>
    <w:pPr>
      <w:autoSpaceDE w:val="0"/>
      <w:autoSpaceDN w:val="0"/>
      <w:adjustRightInd w:val="0"/>
      <w:spacing w:after="0" w:line="240" w:lineRule="auto"/>
    </w:pPr>
    <w:rPr>
      <w:rFonts w:ascii="Arial" w:hAnsi="Arial" w:cs="Arial"/>
      <w:color w:val="000000"/>
      <w:sz w:val="24"/>
      <w:szCs w:val="24"/>
    </w:rPr>
  </w:style>
  <w:style w:type="table" w:styleId="Taulaambquadrcula">
    <w:name w:val="Table Grid"/>
    <w:basedOn w:val="Taulanormal"/>
    <w:uiPriority w:val="59"/>
    <w:rsid w:val="00041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041D09"/>
    <w:rPr>
      <w:sz w:val="16"/>
      <w:szCs w:val="16"/>
    </w:rPr>
  </w:style>
  <w:style w:type="paragraph" w:styleId="Textdecomentari">
    <w:name w:val="annotation text"/>
    <w:basedOn w:val="Normal"/>
    <w:link w:val="TextdecomentariCar"/>
    <w:uiPriority w:val="99"/>
    <w:semiHidden/>
    <w:unhideWhenUsed/>
    <w:rsid w:val="00041D09"/>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41D09"/>
    <w:rPr>
      <w:sz w:val="20"/>
      <w:szCs w:val="20"/>
    </w:rPr>
  </w:style>
  <w:style w:type="paragraph" w:styleId="Temadelcomentari">
    <w:name w:val="annotation subject"/>
    <w:basedOn w:val="Textdecomentari"/>
    <w:next w:val="Textdecomentari"/>
    <w:link w:val="TemadelcomentariCar"/>
    <w:uiPriority w:val="99"/>
    <w:semiHidden/>
    <w:unhideWhenUsed/>
    <w:rsid w:val="00041D09"/>
    <w:rPr>
      <w:b/>
      <w:bCs/>
    </w:rPr>
  </w:style>
  <w:style w:type="character" w:customStyle="1" w:styleId="TemadelcomentariCar">
    <w:name w:val="Tema del comentari Car"/>
    <w:basedOn w:val="TextdecomentariCar"/>
    <w:link w:val="Temadelcomentari"/>
    <w:uiPriority w:val="99"/>
    <w:semiHidden/>
    <w:rsid w:val="00041D09"/>
    <w:rPr>
      <w:b/>
      <w:bCs/>
    </w:rPr>
  </w:style>
  <w:style w:type="paragraph" w:styleId="Textdeglobus">
    <w:name w:val="Balloon Text"/>
    <w:basedOn w:val="Normal"/>
    <w:link w:val="TextdeglobusCar"/>
    <w:uiPriority w:val="99"/>
    <w:semiHidden/>
    <w:unhideWhenUsed/>
    <w:rsid w:val="00041D0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41D09"/>
    <w:rPr>
      <w:rFonts w:ascii="Tahoma" w:hAnsi="Tahoma" w:cs="Tahoma"/>
      <w:sz w:val="16"/>
      <w:szCs w:val="16"/>
    </w:rPr>
  </w:style>
  <w:style w:type="table" w:styleId="Quadrculamitjana3mfasi3">
    <w:name w:val="Medium Grid 3 Accent 3"/>
    <w:basedOn w:val="Taulanormal"/>
    <w:uiPriority w:val="69"/>
    <w:rsid w:val="00041D0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Pargrafdellista">
    <w:name w:val="List Paragraph"/>
    <w:basedOn w:val="Normal"/>
    <w:uiPriority w:val="34"/>
    <w:qFormat/>
    <w:rsid w:val="00041D09"/>
    <w:pPr>
      <w:ind w:left="720"/>
      <w:contextualSpacing/>
    </w:pPr>
  </w:style>
  <w:style w:type="table" w:styleId="Ombrejatsuaumfasi3">
    <w:name w:val="Light Shading Accent 3"/>
    <w:basedOn w:val="Taulanormal"/>
    <w:uiPriority w:val="60"/>
    <w:rsid w:val="00041D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mbrejatmitj1mfasi3">
    <w:name w:val="Medium Shading 1 Accent 3"/>
    <w:basedOn w:val="Taulanormal"/>
    <w:uiPriority w:val="63"/>
    <w:rsid w:val="00041D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denotaalfinal">
    <w:name w:val="endnote text"/>
    <w:basedOn w:val="Normal"/>
    <w:link w:val="TextdenotaalfinalCar"/>
    <w:uiPriority w:val="99"/>
    <w:unhideWhenUsed/>
    <w:rsid w:val="00041D0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041D09"/>
    <w:rPr>
      <w:sz w:val="20"/>
      <w:szCs w:val="20"/>
    </w:rPr>
  </w:style>
  <w:style w:type="character" w:styleId="Refernciadenotaalfinal">
    <w:name w:val="endnote reference"/>
    <w:basedOn w:val="Tipusdelletraperdefectedelpargraf"/>
    <w:uiPriority w:val="99"/>
    <w:semiHidden/>
    <w:unhideWhenUsed/>
    <w:rsid w:val="00041D09"/>
    <w:rPr>
      <w:vertAlign w:val="superscript"/>
    </w:rPr>
  </w:style>
  <w:style w:type="table" w:customStyle="1" w:styleId="Llistaclara1">
    <w:name w:val="Llista clara1"/>
    <w:basedOn w:val="Taulanormal"/>
    <w:uiPriority w:val="61"/>
    <w:rsid w:val="00041D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041D09"/>
    <w:pPr>
      <w:spacing w:before="100" w:beforeAutospacing="1" w:after="100" w:afterAutospacing="1" w:line="240" w:lineRule="auto"/>
    </w:pPr>
    <w:rPr>
      <w:rFonts w:ascii="Times New Roman" w:eastAsia="Times New Roman" w:hAnsi="Times New Roman" w:cs="Times New Roman"/>
      <w:sz w:val="24"/>
      <w:szCs w:val="24"/>
      <w:lang w:eastAsia="ca-ES"/>
    </w:rPr>
  </w:style>
  <w:style w:type="table" w:styleId="Llistaclara">
    <w:name w:val="Light List"/>
    <w:basedOn w:val="Taulanormal"/>
    <w:uiPriority w:val="61"/>
    <w:rsid w:val="00041D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
    <w:name w:val="Revision"/>
    <w:hidden/>
    <w:uiPriority w:val="99"/>
    <w:semiHidden/>
    <w:rsid w:val="00041D09"/>
    <w:pPr>
      <w:spacing w:after="0" w:line="240" w:lineRule="auto"/>
    </w:pPr>
  </w:style>
  <w:style w:type="character" w:styleId="Textennegreta">
    <w:name w:val="Strong"/>
    <w:basedOn w:val="Tipusdelletraperdefectedelpargraf"/>
    <w:uiPriority w:val="99"/>
    <w:qFormat/>
    <w:rsid w:val="00041D09"/>
    <w:rPr>
      <w:b/>
      <w:bCs/>
    </w:rPr>
  </w:style>
</w:styles>
</file>

<file path=word/webSettings.xml><?xml version="1.0" encoding="utf-8"?>
<w:webSettings xmlns:r="http://schemas.openxmlformats.org/officeDocument/2006/relationships" xmlns:w="http://schemas.openxmlformats.org/wordprocessingml/2006/main">
  <w:divs>
    <w:div w:id="816611108">
      <w:bodyDiv w:val="1"/>
      <w:marLeft w:val="0"/>
      <w:marRight w:val="0"/>
      <w:marTop w:val="0"/>
      <w:marBottom w:val="0"/>
      <w:divBdr>
        <w:top w:val="none" w:sz="0" w:space="0" w:color="auto"/>
        <w:left w:val="none" w:sz="0" w:space="0" w:color="auto"/>
        <w:bottom w:val="none" w:sz="0" w:space="0" w:color="auto"/>
        <w:right w:val="none" w:sz="0" w:space="0" w:color="auto"/>
      </w:divBdr>
    </w:div>
    <w:div w:id="1031152516">
      <w:bodyDiv w:val="1"/>
      <w:marLeft w:val="0"/>
      <w:marRight w:val="0"/>
      <w:marTop w:val="0"/>
      <w:marBottom w:val="0"/>
      <w:divBdr>
        <w:top w:val="none" w:sz="0" w:space="0" w:color="auto"/>
        <w:left w:val="none" w:sz="0" w:space="0" w:color="auto"/>
        <w:bottom w:val="none" w:sz="0" w:space="0" w:color="auto"/>
        <w:right w:val="none" w:sz="0" w:space="0" w:color="auto"/>
      </w:divBdr>
    </w:div>
    <w:div w:id="21449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1555</Words>
  <Characters>8866</Characters>
  <Application>Microsoft Office Word</Application>
  <DocSecurity>0</DocSecurity>
  <Lines>73</Lines>
  <Paragraphs>20</Paragraphs>
  <ScaleCrop>false</ScaleCrop>
  <HeadingPairs>
    <vt:vector size="2" baseType="variant">
      <vt:variant>
        <vt:lpstr>Títol</vt:lpstr>
      </vt:variant>
      <vt:variant>
        <vt:i4>1</vt:i4>
      </vt:variant>
    </vt:vector>
  </HeadingPairs>
  <TitlesOfParts>
    <vt:vector size="1" baseType="lpstr">
      <vt:lpstr/>
    </vt:vector>
  </TitlesOfParts>
  <Company>SCS</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sabilleira</dc:creator>
  <cp:keywords/>
  <dc:description/>
  <cp:lastModifiedBy>sabilleira</cp:lastModifiedBy>
  <cp:revision>3</cp:revision>
  <cp:lastPrinted>2013-11-07T14:49:00Z</cp:lastPrinted>
  <dcterms:created xsi:type="dcterms:W3CDTF">2014-06-19T10:40:00Z</dcterms:created>
  <dcterms:modified xsi:type="dcterms:W3CDTF">2014-06-23T11:58:00Z</dcterms:modified>
</cp:coreProperties>
</file>