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CD" w:rsidRPr="00E0277A" w:rsidRDefault="00AC3B1F" w:rsidP="00E02779">
      <w:pPr>
        <w:tabs>
          <w:tab w:val="center" w:pos="4680"/>
        </w:tabs>
        <w:spacing w:after="120" w:line="480" w:lineRule="auto"/>
        <w:jc w:val="both"/>
        <w:rPr>
          <w:rFonts w:ascii="Times New Roman" w:hAnsi="Times New Roman"/>
          <w:b/>
          <w:sz w:val="24"/>
          <w:szCs w:val="24"/>
        </w:rPr>
      </w:pPr>
      <w:bookmarkStart w:id="0" w:name="_GoBack"/>
      <w:r w:rsidRPr="00E0277A">
        <w:rPr>
          <w:rFonts w:ascii="Times New Roman" w:hAnsi="Times New Roman"/>
          <w:b/>
          <w:sz w:val="24"/>
          <w:szCs w:val="24"/>
        </w:rPr>
        <w:t>Supplemental</w:t>
      </w:r>
      <w:r w:rsidR="007B4CCD" w:rsidRPr="00E0277A">
        <w:rPr>
          <w:rFonts w:ascii="Times New Roman" w:hAnsi="Times New Roman"/>
          <w:b/>
          <w:sz w:val="24"/>
          <w:szCs w:val="24"/>
        </w:rPr>
        <w:t xml:space="preserve"> material</w:t>
      </w:r>
      <w:r w:rsidR="007459AC" w:rsidRPr="00E0277A">
        <w:rPr>
          <w:rFonts w:ascii="Times New Roman" w:hAnsi="Times New Roman"/>
          <w:b/>
          <w:sz w:val="24"/>
          <w:szCs w:val="24"/>
        </w:rPr>
        <w:tab/>
      </w:r>
    </w:p>
    <w:p w:rsidR="009F6B30" w:rsidRPr="00E0277A" w:rsidRDefault="009F6B30" w:rsidP="00E02779">
      <w:pPr>
        <w:spacing w:after="120" w:line="480" w:lineRule="auto"/>
        <w:jc w:val="both"/>
        <w:rPr>
          <w:rFonts w:ascii="Times New Roman" w:hAnsi="Times New Roman"/>
          <w:b/>
        </w:rPr>
      </w:pPr>
      <w:r w:rsidRPr="00E0277A">
        <w:rPr>
          <w:rFonts w:ascii="Times New Roman" w:hAnsi="Times New Roman"/>
          <w:b/>
        </w:rPr>
        <w:t xml:space="preserve">Cerebral palsy and polymorphism of the chemokine </w:t>
      </w:r>
      <w:r w:rsidRPr="00E0277A">
        <w:rPr>
          <w:rFonts w:ascii="Times New Roman" w:hAnsi="Times New Roman"/>
          <w:b/>
          <w:i/>
        </w:rPr>
        <w:t>CCL18</w:t>
      </w:r>
      <w:r w:rsidRPr="00E0277A">
        <w:rPr>
          <w:rFonts w:ascii="Times New Roman" w:hAnsi="Times New Roman"/>
          <w:b/>
        </w:rPr>
        <w:t xml:space="preserve"> in very preterm children</w:t>
      </w:r>
    </w:p>
    <w:p w:rsidR="009F6B30" w:rsidRPr="00E0277A" w:rsidRDefault="009F6B30" w:rsidP="00E02779">
      <w:pPr>
        <w:spacing w:after="120" w:line="480" w:lineRule="auto"/>
        <w:jc w:val="both"/>
        <w:rPr>
          <w:rFonts w:ascii="Times New Roman" w:hAnsi="Times New Roman"/>
          <w:bCs/>
          <w:lang w:val="fi-FI"/>
        </w:rPr>
      </w:pPr>
      <w:r w:rsidRPr="00E0277A">
        <w:rPr>
          <w:rFonts w:ascii="Times New Roman" w:hAnsi="Times New Roman"/>
          <w:bCs/>
          <w:lang w:val="fi-FI"/>
        </w:rPr>
        <w:t xml:space="preserve">Hanna Kallankari, Johanna M. Huusko, Tuula Kaukola, Marja Ojaniemi, Mari Mahlman, Riitta Marttila, Stephen F. Kingsmore, </w:t>
      </w:r>
      <w:r w:rsidRPr="00E0277A">
        <w:rPr>
          <w:rFonts w:ascii="Times New Roman" w:hAnsi="Times New Roman"/>
          <w:lang w:val="fi-FI"/>
        </w:rPr>
        <w:t xml:space="preserve">Leena Haataja, Pascal M. Lavoie, </w:t>
      </w:r>
      <w:r w:rsidRPr="00E0277A">
        <w:rPr>
          <w:rFonts w:ascii="Times New Roman" w:hAnsi="Times New Roman"/>
          <w:bCs/>
          <w:lang w:val="fi-FI"/>
        </w:rPr>
        <w:t>Anne Synnes, Mikko Hallman.</w:t>
      </w:r>
    </w:p>
    <w:p w:rsidR="00D4391C" w:rsidRPr="00E0277A" w:rsidRDefault="007B4CCD" w:rsidP="00E02779">
      <w:pPr>
        <w:spacing w:after="120" w:line="480" w:lineRule="auto"/>
        <w:jc w:val="both"/>
        <w:rPr>
          <w:rFonts w:ascii="Times New Roman" w:hAnsi="Times New Roman"/>
        </w:rPr>
      </w:pPr>
      <w:r w:rsidRPr="00E0277A">
        <w:rPr>
          <w:rFonts w:ascii="Times New Roman" w:hAnsi="Times New Roman"/>
          <w:b/>
        </w:rPr>
        <w:t xml:space="preserve">1.1. </w:t>
      </w:r>
      <w:r w:rsidR="00D4391C" w:rsidRPr="00E0277A">
        <w:rPr>
          <w:rFonts w:ascii="Times New Roman" w:hAnsi="Times New Roman"/>
          <w:b/>
        </w:rPr>
        <w:t>Description of the antenatal and neonatal factors</w:t>
      </w:r>
    </w:p>
    <w:p w:rsidR="00C72164" w:rsidRPr="00E0277A" w:rsidRDefault="00D4391C" w:rsidP="00E02779">
      <w:pPr>
        <w:spacing w:after="120" w:line="480" w:lineRule="auto"/>
        <w:jc w:val="both"/>
        <w:rPr>
          <w:rFonts w:ascii="Times New Roman" w:hAnsi="Times New Roman"/>
        </w:rPr>
      </w:pPr>
      <w:r w:rsidRPr="00E0277A">
        <w:rPr>
          <w:rFonts w:ascii="Times New Roman" w:hAnsi="Times New Roman"/>
        </w:rPr>
        <w:t>GA was confirmed by ultrasound before 20 wk of gestation. I</w:t>
      </w:r>
      <w:r w:rsidRPr="00E0277A">
        <w:rPr>
          <w:rFonts w:ascii="Times New Roman" w:eastAsia="Arial Unicode MS" w:hAnsi="Times New Roman"/>
        </w:rPr>
        <w:t xml:space="preserve">nfants with BW below </w:t>
      </w:r>
      <w:r w:rsidRPr="00E0277A">
        <w:rPr>
          <w:rFonts w:ascii="Times New Roman" w:hAnsi="Times New Roman"/>
        </w:rPr>
        <w:t xml:space="preserve">two standard deviations </w:t>
      </w:r>
      <w:r w:rsidRPr="00E0277A">
        <w:rPr>
          <w:rFonts w:ascii="Times New Roman" w:eastAsia="Arial Unicode MS" w:hAnsi="Times New Roman"/>
        </w:rPr>
        <w:t>from the mean of gestation-adjusted BW were classified as small for gestational age.</w:t>
      </w:r>
      <w:r w:rsidRPr="00E0277A">
        <w:rPr>
          <w:rFonts w:ascii="Times New Roman" w:hAnsi="Times New Roman"/>
          <w:bCs/>
        </w:rPr>
        <w:t xml:space="preserve"> </w:t>
      </w:r>
      <w:r w:rsidRPr="00E0277A">
        <w:rPr>
          <w:rFonts w:ascii="Times New Roman" w:hAnsi="Times New Roman"/>
        </w:rPr>
        <w:t xml:space="preserve">The infants underwent serial brain ultrasound assessments.  IVH was classified according to </w:t>
      </w:r>
      <w:proofErr w:type="spellStart"/>
      <w:r w:rsidRPr="00E0277A">
        <w:rPr>
          <w:rFonts w:ascii="Times New Roman" w:hAnsi="Times New Roman"/>
        </w:rPr>
        <w:t>Papile</w:t>
      </w:r>
      <w:proofErr w:type="spellEnd"/>
      <w:r w:rsidRPr="00E0277A">
        <w:rPr>
          <w:rFonts w:ascii="Times New Roman" w:hAnsi="Times New Roman"/>
        </w:rPr>
        <w:t xml:space="preserve"> </w:t>
      </w:r>
      <w:r w:rsidR="00BE1B46" w:rsidRPr="00E0277A">
        <w:rPr>
          <w:rFonts w:ascii="Times New Roman" w:hAnsi="Times New Roman"/>
        </w:rPr>
        <w:fldChar w:fldCharType="begin"/>
      </w:r>
      <w:r w:rsidR="005005E1" w:rsidRPr="00E0277A">
        <w:rPr>
          <w:rFonts w:ascii="Times New Roman" w:hAnsi="Times New Roman"/>
        </w:rPr>
        <w:instrText>ADDIN RW.CITE{{47 Papile,L.A. 1978}}</w:instrText>
      </w:r>
      <w:r w:rsidR="00BE1B46" w:rsidRPr="00E0277A">
        <w:rPr>
          <w:rFonts w:ascii="Times New Roman" w:hAnsi="Times New Roman"/>
        </w:rPr>
        <w:fldChar w:fldCharType="separate"/>
      </w:r>
      <w:r w:rsidR="005005E1" w:rsidRPr="00E0277A">
        <w:rPr>
          <w:rFonts w:ascii="Times New Roman" w:eastAsia="Times New Roman" w:hAnsi="Times New Roman"/>
        </w:rPr>
        <w:t>[1]</w:t>
      </w:r>
      <w:r w:rsidR="00BE1B46" w:rsidRPr="00E0277A">
        <w:rPr>
          <w:rFonts w:ascii="Times New Roman" w:hAnsi="Times New Roman"/>
        </w:rPr>
        <w:fldChar w:fldCharType="end"/>
      </w:r>
      <w:r w:rsidR="005005E1" w:rsidRPr="00E0277A">
        <w:rPr>
          <w:rFonts w:ascii="Times New Roman" w:hAnsi="Times New Roman"/>
        </w:rPr>
        <w:t xml:space="preserve">, </w:t>
      </w:r>
      <w:r w:rsidRPr="00E0277A">
        <w:rPr>
          <w:rFonts w:ascii="Times New Roman" w:hAnsi="Times New Roman"/>
        </w:rPr>
        <w:t>and the most severe grade was included in the present analyses. BPD was defined as chronic respiratory disease requiring supplemental oxygen or any form of positive pressure ventilation therapy at the age of 36 postmenstrual wk</w:t>
      </w:r>
      <w:r w:rsidR="005005E1" w:rsidRPr="00E0277A">
        <w:rPr>
          <w:rFonts w:ascii="Times New Roman" w:hAnsi="Times New Roman"/>
        </w:rPr>
        <w:t xml:space="preserve"> </w:t>
      </w:r>
      <w:r w:rsidR="00BE1B46" w:rsidRPr="00E0277A">
        <w:rPr>
          <w:rFonts w:ascii="Times New Roman" w:hAnsi="Times New Roman"/>
        </w:rPr>
        <w:fldChar w:fldCharType="begin"/>
      </w:r>
      <w:r w:rsidR="005005E1" w:rsidRPr="00E0277A">
        <w:rPr>
          <w:rFonts w:ascii="Times New Roman" w:hAnsi="Times New Roman"/>
        </w:rPr>
        <w:instrText>ADDIN RW.CITE{{471 Walsh,M.C. 2004}}</w:instrText>
      </w:r>
      <w:r w:rsidR="00BE1B46" w:rsidRPr="00E0277A">
        <w:rPr>
          <w:rFonts w:ascii="Times New Roman" w:hAnsi="Times New Roman"/>
        </w:rPr>
        <w:fldChar w:fldCharType="separate"/>
      </w:r>
      <w:r w:rsidR="005005E1" w:rsidRPr="00E0277A">
        <w:rPr>
          <w:rFonts w:ascii="Times New Roman" w:eastAsia="Times New Roman" w:hAnsi="Times New Roman"/>
        </w:rPr>
        <w:t>[2]</w:t>
      </w:r>
      <w:r w:rsidR="00BE1B46" w:rsidRPr="00E0277A">
        <w:rPr>
          <w:rFonts w:ascii="Times New Roman" w:hAnsi="Times New Roman"/>
        </w:rPr>
        <w:fldChar w:fldCharType="end"/>
      </w:r>
      <w:r w:rsidRPr="00E0277A">
        <w:rPr>
          <w:rFonts w:ascii="Times New Roman" w:hAnsi="Times New Roman"/>
        </w:rPr>
        <w:t>.</w:t>
      </w:r>
    </w:p>
    <w:p w:rsidR="005005E1" w:rsidRPr="00E0277A" w:rsidRDefault="00BE1B46" w:rsidP="00E02779">
      <w:pPr>
        <w:pStyle w:val="NormalWeb"/>
        <w:spacing w:before="0" w:beforeAutospacing="0" w:after="120" w:afterAutospacing="0" w:line="480" w:lineRule="auto"/>
        <w:jc w:val="both"/>
        <w:divId w:val="45839733"/>
        <w:rPr>
          <w:sz w:val="18"/>
          <w:szCs w:val="18"/>
        </w:rPr>
      </w:pPr>
      <w:r w:rsidRPr="00E0277A">
        <w:rPr>
          <w:sz w:val="18"/>
          <w:szCs w:val="18"/>
        </w:rPr>
        <w:fldChar w:fldCharType="begin"/>
      </w:r>
      <w:r w:rsidR="005005E1" w:rsidRPr="00E0277A">
        <w:rPr>
          <w:sz w:val="18"/>
          <w:szCs w:val="18"/>
        </w:rPr>
        <w:instrText>ADDIN RW.BIB</w:instrText>
      </w:r>
      <w:r w:rsidRPr="00E0277A">
        <w:rPr>
          <w:sz w:val="18"/>
          <w:szCs w:val="18"/>
        </w:rPr>
        <w:fldChar w:fldCharType="separate"/>
      </w:r>
      <w:r w:rsidR="005005E1" w:rsidRPr="00E0277A">
        <w:rPr>
          <w:sz w:val="18"/>
          <w:szCs w:val="18"/>
        </w:rPr>
        <w:t xml:space="preserve">1 Papile LA, Burstein J, Burstein R, Koffler H: Incidence and evolution of subependymal and intraventricular hemorrhage: a study of infants with birth weights less than 1,500 gm. J Pediatr 1978;92:529-534. </w:t>
      </w:r>
    </w:p>
    <w:p w:rsidR="009F6B30" w:rsidRPr="00E0277A" w:rsidRDefault="005005E1" w:rsidP="00E02779">
      <w:pPr>
        <w:pStyle w:val="NormalWeb"/>
        <w:spacing w:before="0" w:beforeAutospacing="0" w:after="120" w:afterAutospacing="0" w:line="480" w:lineRule="auto"/>
        <w:jc w:val="both"/>
        <w:divId w:val="45839733"/>
        <w:rPr>
          <w:sz w:val="18"/>
          <w:szCs w:val="18"/>
        </w:rPr>
      </w:pPr>
      <w:r w:rsidRPr="00E0277A">
        <w:rPr>
          <w:sz w:val="18"/>
          <w:szCs w:val="18"/>
        </w:rPr>
        <w:t xml:space="preserve">2 Walsh MC, Yao Q, Gettner P, Hale E, Collins M, Hensman A, Everette R, Peters N, Miller N, Muran G, Auten K, Newman N, Rowan G, Grisby C, Arnell K, Miller L, Ball B, McDavid G, National Institute of Child Health and Human Development Neonatal Research Network: Impact of a physiologic definition on bronchopulmonary dysplasia rates. Pediatrics 2004;114:1305-1311. </w:t>
      </w:r>
    </w:p>
    <w:p w:rsidR="00A46266" w:rsidRPr="00E0277A" w:rsidRDefault="00BE1B46" w:rsidP="00E02779">
      <w:pPr>
        <w:spacing w:after="120" w:line="480" w:lineRule="auto"/>
        <w:jc w:val="both"/>
        <w:rPr>
          <w:rFonts w:ascii="Times New Roman" w:eastAsia="Calibri" w:hAnsi="Times New Roman" w:cs="Times New Roman"/>
          <w:b/>
        </w:rPr>
      </w:pPr>
      <w:r w:rsidRPr="00E0277A">
        <w:rPr>
          <w:sz w:val="18"/>
          <w:szCs w:val="18"/>
        </w:rPr>
        <w:fldChar w:fldCharType="end"/>
      </w:r>
      <w:r w:rsidR="00204637" w:rsidRPr="00E0277A">
        <w:rPr>
          <w:rFonts w:ascii="Times New Roman" w:eastAsia="Calibri" w:hAnsi="Times New Roman" w:cs="Times New Roman"/>
          <w:b/>
        </w:rPr>
        <w:t>1.2</w:t>
      </w:r>
      <w:r w:rsidR="00A46266" w:rsidRPr="00E0277A">
        <w:rPr>
          <w:rFonts w:ascii="Times New Roman" w:eastAsia="Calibri" w:hAnsi="Times New Roman" w:cs="Times New Roman"/>
          <w:b/>
        </w:rPr>
        <w:t>. DNA sample preparation</w:t>
      </w:r>
    </w:p>
    <w:p w:rsidR="000A5C44" w:rsidRPr="00E0277A" w:rsidRDefault="00A46266" w:rsidP="00E02779">
      <w:pPr>
        <w:spacing w:after="120" w:line="480" w:lineRule="auto"/>
        <w:jc w:val="both"/>
        <w:rPr>
          <w:rFonts w:ascii="Times New Roman" w:eastAsia="Calibri" w:hAnsi="Times New Roman" w:cs="Times New Roman"/>
          <w:strike/>
        </w:rPr>
      </w:pPr>
      <w:r w:rsidRPr="00E0277A">
        <w:rPr>
          <w:rFonts w:ascii="Times New Roman" w:eastAsia="Calibri" w:hAnsi="Times New Roman" w:cs="Times New Roman"/>
        </w:rPr>
        <w:t xml:space="preserve">Genomic DNA was extracted from buccal cells, umbilical cord blood, or paper blood samples. Extraction methods used were </w:t>
      </w:r>
      <w:proofErr w:type="spellStart"/>
      <w:r w:rsidRPr="00E0277A">
        <w:rPr>
          <w:rFonts w:ascii="Times New Roman" w:eastAsia="Calibri" w:hAnsi="Times New Roman" w:cs="Times New Roman"/>
        </w:rPr>
        <w:t>Chelex</w:t>
      </w:r>
      <w:proofErr w:type="spellEnd"/>
      <w:r w:rsidRPr="00E0277A">
        <w:rPr>
          <w:rFonts w:ascii="Times New Roman" w:eastAsia="Calibri" w:hAnsi="Times New Roman" w:cs="Times New Roman"/>
        </w:rPr>
        <w:t xml:space="preserve"> 100 (Bio-Rad, Hercules, CA, USA) for buccal cells, </w:t>
      </w:r>
      <w:proofErr w:type="spellStart"/>
      <w:r w:rsidRPr="00E0277A">
        <w:rPr>
          <w:rFonts w:ascii="Times New Roman" w:eastAsia="Calibri" w:hAnsi="Times New Roman" w:cs="Times New Roman"/>
        </w:rPr>
        <w:t>UltraClean</w:t>
      </w:r>
      <w:proofErr w:type="spellEnd"/>
      <w:r w:rsidRPr="00E0277A">
        <w:rPr>
          <w:rFonts w:ascii="Times New Roman" w:eastAsia="Calibri" w:hAnsi="Times New Roman" w:cs="Times New Roman"/>
        </w:rPr>
        <w:t xml:space="preserve"> DNA Blood Isolation kit (MO BIO Laboratories, Carlsbad, CA, USA) for umbilical cord blood, and MOBIO </w:t>
      </w:r>
      <w:proofErr w:type="spellStart"/>
      <w:r w:rsidRPr="00E0277A">
        <w:rPr>
          <w:rFonts w:ascii="Times New Roman" w:eastAsia="Calibri" w:hAnsi="Times New Roman" w:cs="Times New Roman"/>
        </w:rPr>
        <w:t>UltraClean</w:t>
      </w:r>
      <w:proofErr w:type="spellEnd"/>
      <w:r w:rsidRPr="00E0277A">
        <w:rPr>
          <w:rFonts w:ascii="Times New Roman" w:eastAsia="Calibri" w:hAnsi="Times New Roman" w:cs="Times New Roman"/>
        </w:rPr>
        <w:t xml:space="preserve"> </w:t>
      </w:r>
      <w:proofErr w:type="spellStart"/>
      <w:r w:rsidRPr="00E0277A">
        <w:rPr>
          <w:rFonts w:ascii="Times New Roman" w:eastAsia="Calibri" w:hAnsi="Times New Roman" w:cs="Times New Roman"/>
        </w:rPr>
        <w:t>BloodSpin</w:t>
      </w:r>
      <w:proofErr w:type="spellEnd"/>
      <w:r w:rsidRPr="00E0277A">
        <w:rPr>
          <w:rFonts w:ascii="Times New Roman" w:eastAsia="Calibri" w:hAnsi="Times New Roman" w:cs="Times New Roman"/>
        </w:rPr>
        <w:t xml:space="preserve"> DNA Isolation Kit (MO BIO Laboratories) for dried paper blood spots on Guthrie cards. </w:t>
      </w:r>
      <w:proofErr w:type="gramStart"/>
      <w:r w:rsidRPr="00E0277A">
        <w:rPr>
          <w:rFonts w:ascii="Times New Roman" w:eastAsia="Calibri" w:hAnsi="Times New Roman" w:cs="Times New Roman"/>
        </w:rPr>
        <w:t>A whole-genome</w:t>
      </w:r>
      <w:proofErr w:type="gramEnd"/>
      <w:r w:rsidRPr="00E0277A">
        <w:rPr>
          <w:rFonts w:ascii="Times New Roman" w:eastAsia="Calibri" w:hAnsi="Times New Roman" w:cs="Times New Roman"/>
        </w:rPr>
        <w:t xml:space="preserve"> amplification was performed for buccal cell and paper blood DNA samples, as described previously [3]</w:t>
      </w:r>
      <w:r w:rsidR="00CA1EF6" w:rsidRPr="00E0277A">
        <w:rPr>
          <w:rFonts w:ascii="Times New Roman" w:eastAsia="Calibri" w:hAnsi="Times New Roman" w:cs="Times New Roman"/>
        </w:rPr>
        <w:t>.</w:t>
      </w:r>
      <w:r w:rsidR="002B3FE4" w:rsidRPr="00E0277A">
        <w:rPr>
          <w:rFonts w:ascii="Times New Roman" w:eastAsia="Calibri" w:hAnsi="Times New Roman" w:cs="Times New Roman"/>
        </w:rPr>
        <w:t xml:space="preserve"> </w:t>
      </w:r>
      <w:r w:rsidR="000A5C44" w:rsidRPr="00E0277A">
        <w:rPr>
          <w:rFonts w:ascii="Times New Roman" w:hAnsi="Times New Roman" w:cs="Times New Roman"/>
        </w:rPr>
        <w:t xml:space="preserve">DNA samples that originated in Canada were extracted with the </w:t>
      </w:r>
      <w:proofErr w:type="spellStart"/>
      <w:r w:rsidR="000A5C44" w:rsidRPr="00E0277A">
        <w:rPr>
          <w:rFonts w:ascii="Times New Roman" w:hAnsi="Times New Roman" w:cs="Times New Roman"/>
        </w:rPr>
        <w:t>ChargeSwitch</w:t>
      </w:r>
      <w:proofErr w:type="spellEnd"/>
      <w:r w:rsidR="000A5C44" w:rsidRPr="00E0277A">
        <w:rPr>
          <w:rFonts w:ascii="Times New Roman" w:hAnsi="Times New Roman" w:cs="Times New Roman"/>
        </w:rPr>
        <w:t xml:space="preserve"> </w:t>
      </w:r>
      <w:proofErr w:type="spellStart"/>
      <w:r w:rsidR="000A5C44" w:rsidRPr="00E0277A">
        <w:rPr>
          <w:rFonts w:ascii="Times New Roman" w:hAnsi="Times New Roman" w:cs="Times New Roman"/>
        </w:rPr>
        <w:t>gDNA</w:t>
      </w:r>
      <w:proofErr w:type="spellEnd"/>
      <w:r w:rsidR="000A5C44" w:rsidRPr="00E0277A">
        <w:rPr>
          <w:rFonts w:ascii="Times New Roman" w:hAnsi="Times New Roman" w:cs="Times New Roman"/>
        </w:rPr>
        <w:t xml:space="preserve"> Mini Tissue Kit (Invitrogen, Carlsbad, CA, USA) for umbilical cord tissue and cell samples, </w:t>
      </w:r>
      <w:proofErr w:type="spellStart"/>
      <w:r w:rsidR="000A5C44" w:rsidRPr="00E0277A">
        <w:rPr>
          <w:rFonts w:ascii="Times New Roman" w:hAnsi="Times New Roman" w:cs="Times New Roman"/>
        </w:rPr>
        <w:lastRenderedPageBreak/>
        <w:t>QIAamp</w:t>
      </w:r>
      <w:proofErr w:type="spellEnd"/>
      <w:r w:rsidR="000A5C44" w:rsidRPr="00E0277A">
        <w:rPr>
          <w:rFonts w:ascii="Times New Roman" w:hAnsi="Times New Roman" w:cs="Times New Roman"/>
        </w:rPr>
        <w:t xml:space="preserve"> DNA Blood Midi Kit (</w:t>
      </w:r>
      <w:proofErr w:type="spellStart"/>
      <w:r w:rsidR="000A5C44" w:rsidRPr="00E0277A">
        <w:rPr>
          <w:rFonts w:ascii="Times New Roman" w:hAnsi="Times New Roman" w:cs="Times New Roman"/>
        </w:rPr>
        <w:t>Qiagen</w:t>
      </w:r>
      <w:proofErr w:type="spellEnd"/>
      <w:r w:rsidR="000A5C44" w:rsidRPr="00E0277A">
        <w:rPr>
          <w:rFonts w:ascii="Times New Roman" w:hAnsi="Times New Roman" w:cs="Times New Roman"/>
        </w:rPr>
        <w:t xml:space="preserve">) for whole blood specimens, and </w:t>
      </w:r>
      <w:proofErr w:type="spellStart"/>
      <w:r w:rsidR="000A5C44" w:rsidRPr="00E0277A">
        <w:rPr>
          <w:rFonts w:ascii="Times New Roman" w:hAnsi="Times New Roman" w:cs="Times New Roman"/>
        </w:rPr>
        <w:t>ChargeSwitch</w:t>
      </w:r>
      <w:proofErr w:type="spellEnd"/>
      <w:r w:rsidR="000A5C44" w:rsidRPr="00E0277A">
        <w:rPr>
          <w:rFonts w:ascii="Times New Roman" w:hAnsi="Times New Roman" w:cs="Times New Roman"/>
        </w:rPr>
        <w:t xml:space="preserve"> </w:t>
      </w:r>
      <w:proofErr w:type="spellStart"/>
      <w:r w:rsidR="000A5C44" w:rsidRPr="00E0277A">
        <w:rPr>
          <w:rFonts w:ascii="Times New Roman" w:hAnsi="Times New Roman" w:cs="Times New Roman"/>
        </w:rPr>
        <w:t>gDNA</w:t>
      </w:r>
      <w:proofErr w:type="spellEnd"/>
      <w:r w:rsidR="000A5C44" w:rsidRPr="00E0277A">
        <w:rPr>
          <w:rFonts w:ascii="Times New Roman" w:hAnsi="Times New Roman" w:cs="Times New Roman"/>
        </w:rPr>
        <w:t xml:space="preserve"> Buccal Cell Kit (Invitrogen) for tracheal aspirate samples.</w:t>
      </w:r>
    </w:p>
    <w:p w:rsidR="009F6B30" w:rsidRPr="00E0277A" w:rsidRDefault="00E145B8" w:rsidP="00E02779">
      <w:pPr>
        <w:pStyle w:val="NormalWeb"/>
        <w:spacing w:before="0" w:beforeAutospacing="0" w:after="120" w:afterAutospacing="0" w:line="480" w:lineRule="auto"/>
        <w:jc w:val="both"/>
        <w:rPr>
          <w:sz w:val="18"/>
          <w:szCs w:val="18"/>
        </w:rPr>
      </w:pPr>
      <w:r w:rsidRPr="00E0277A">
        <w:rPr>
          <w:sz w:val="18"/>
          <w:szCs w:val="18"/>
        </w:rPr>
        <w:t xml:space="preserve">3 </w:t>
      </w:r>
      <w:proofErr w:type="spellStart"/>
      <w:r w:rsidRPr="00E0277A">
        <w:rPr>
          <w:sz w:val="18"/>
          <w:szCs w:val="18"/>
        </w:rPr>
        <w:t>Karjalainen</w:t>
      </w:r>
      <w:proofErr w:type="spellEnd"/>
      <w:r w:rsidRPr="00E0277A">
        <w:rPr>
          <w:sz w:val="18"/>
          <w:szCs w:val="18"/>
        </w:rPr>
        <w:t xml:space="preserve"> MK, Huusko JM, </w:t>
      </w:r>
      <w:proofErr w:type="spellStart"/>
      <w:r w:rsidRPr="00E0277A">
        <w:rPr>
          <w:sz w:val="18"/>
          <w:szCs w:val="18"/>
        </w:rPr>
        <w:t>Ulvila</w:t>
      </w:r>
      <w:proofErr w:type="spellEnd"/>
      <w:r w:rsidRPr="00E0277A">
        <w:rPr>
          <w:sz w:val="18"/>
          <w:szCs w:val="18"/>
        </w:rPr>
        <w:t xml:space="preserve"> J, </w:t>
      </w:r>
      <w:proofErr w:type="spellStart"/>
      <w:r w:rsidRPr="00E0277A">
        <w:rPr>
          <w:sz w:val="18"/>
          <w:szCs w:val="18"/>
        </w:rPr>
        <w:t>Sotkasiira</w:t>
      </w:r>
      <w:proofErr w:type="spellEnd"/>
      <w:r w:rsidRPr="00E0277A">
        <w:rPr>
          <w:sz w:val="18"/>
          <w:szCs w:val="18"/>
        </w:rPr>
        <w:t xml:space="preserve"> J, </w:t>
      </w:r>
      <w:proofErr w:type="spellStart"/>
      <w:r w:rsidRPr="00E0277A">
        <w:rPr>
          <w:sz w:val="18"/>
          <w:szCs w:val="18"/>
        </w:rPr>
        <w:t>Luukkonen</w:t>
      </w:r>
      <w:proofErr w:type="spellEnd"/>
      <w:r w:rsidRPr="00E0277A">
        <w:rPr>
          <w:sz w:val="18"/>
          <w:szCs w:val="18"/>
        </w:rPr>
        <w:t xml:space="preserve"> A, Teramo K, Plunkett J, </w:t>
      </w:r>
      <w:proofErr w:type="spellStart"/>
      <w:r w:rsidRPr="00E0277A">
        <w:rPr>
          <w:sz w:val="18"/>
          <w:szCs w:val="18"/>
        </w:rPr>
        <w:t>Anttila</w:t>
      </w:r>
      <w:proofErr w:type="spellEnd"/>
      <w:r w:rsidRPr="00E0277A">
        <w:rPr>
          <w:sz w:val="18"/>
          <w:szCs w:val="18"/>
        </w:rPr>
        <w:t xml:space="preserve"> V, </w:t>
      </w:r>
      <w:proofErr w:type="spellStart"/>
      <w:r w:rsidRPr="00E0277A">
        <w:rPr>
          <w:sz w:val="18"/>
          <w:szCs w:val="18"/>
        </w:rPr>
        <w:t>Palotie</w:t>
      </w:r>
      <w:proofErr w:type="spellEnd"/>
      <w:r w:rsidRPr="00E0277A">
        <w:rPr>
          <w:sz w:val="18"/>
          <w:szCs w:val="18"/>
        </w:rPr>
        <w:t xml:space="preserve"> A, Haataja R, Muglia LJ, Hallman M: A potential novel spontaneous preterm birth gene, AR, identified by linkage and association analysis of X chromosomal markers. </w:t>
      </w:r>
      <w:proofErr w:type="spellStart"/>
      <w:r w:rsidRPr="00E0277A">
        <w:rPr>
          <w:sz w:val="18"/>
          <w:szCs w:val="18"/>
        </w:rPr>
        <w:t>PLoS</w:t>
      </w:r>
      <w:proofErr w:type="spellEnd"/>
      <w:r w:rsidRPr="00E0277A">
        <w:rPr>
          <w:sz w:val="18"/>
          <w:szCs w:val="18"/>
        </w:rPr>
        <w:t xml:space="preserve"> One 2012</w:t>
      </w:r>
      <w:proofErr w:type="gramStart"/>
      <w:r w:rsidRPr="00E0277A">
        <w:rPr>
          <w:sz w:val="18"/>
          <w:szCs w:val="18"/>
        </w:rPr>
        <w:t>;7:e51378</w:t>
      </w:r>
      <w:proofErr w:type="gramEnd"/>
      <w:r w:rsidRPr="00E0277A">
        <w:rPr>
          <w:sz w:val="18"/>
          <w:szCs w:val="18"/>
        </w:rPr>
        <w:t xml:space="preserve">. </w:t>
      </w:r>
    </w:p>
    <w:p w:rsidR="00204637" w:rsidRPr="00E0277A" w:rsidRDefault="00204637" w:rsidP="00E02779">
      <w:pPr>
        <w:pStyle w:val="Heading2"/>
        <w:tabs>
          <w:tab w:val="left" w:pos="634"/>
        </w:tabs>
        <w:spacing w:before="0" w:after="120" w:line="480" w:lineRule="auto"/>
        <w:ind w:right="567"/>
        <w:rPr>
          <w:rFonts w:ascii="Times New Roman" w:hAnsi="Times New Roman"/>
          <w:i w:val="0"/>
          <w:sz w:val="22"/>
          <w:szCs w:val="22"/>
        </w:rPr>
      </w:pPr>
      <w:r w:rsidRPr="00E0277A">
        <w:rPr>
          <w:rFonts w:ascii="Times New Roman" w:hAnsi="Times New Roman"/>
          <w:i w:val="0"/>
          <w:sz w:val="22"/>
          <w:szCs w:val="22"/>
        </w:rPr>
        <w:t>1.3. Analysis of CCL18 levels in cord blood</w:t>
      </w:r>
    </w:p>
    <w:p w:rsidR="00204637" w:rsidRPr="00E0277A" w:rsidRDefault="002B3FE4" w:rsidP="00E02779">
      <w:pPr>
        <w:pStyle w:val="NormalWeb"/>
        <w:spacing w:before="0" w:beforeAutospacing="0" w:after="120" w:afterAutospacing="0" w:line="480" w:lineRule="auto"/>
        <w:jc w:val="both"/>
        <w:rPr>
          <w:sz w:val="22"/>
          <w:szCs w:val="22"/>
        </w:rPr>
      </w:pPr>
      <w:r w:rsidRPr="00E0277A">
        <w:rPr>
          <w:sz w:val="22"/>
          <w:szCs w:val="22"/>
        </w:rPr>
        <w:t xml:space="preserve">Concentrations of CCL18 were analyzed using antibody-based protein microarrays with DNA amplification and the concentrations were reported as fluorescence units </w:t>
      </w:r>
      <w:r w:rsidR="00BE1B46" w:rsidRPr="00E0277A">
        <w:rPr>
          <w:sz w:val="22"/>
          <w:szCs w:val="22"/>
        </w:rPr>
        <w:fldChar w:fldCharType="begin"/>
      </w:r>
      <w:r w:rsidRPr="00E0277A">
        <w:rPr>
          <w:sz w:val="22"/>
          <w:szCs w:val="22"/>
        </w:rPr>
        <w:instrText>ADDIN RW.CITE{{25 Schweitzer,B. 2002}}</w:instrText>
      </w:r>
      <w:r w:rsidR="00BE1B46" w:rsidRPr="00E0277A">
        <w:rPr>
          <w:sz w:val="22"/>
          <w:szCs w:val="22"/>
        </w:rPr>
        <w:fldChar w:fldCharType="separate"/>
      </w:r>
      <w:r w:rsidRPr="00E0277A">
        <w:rPr>
          <w:rFonts w:eastAsia="Times New Roman"/>
          <w:sz w:val="22"/>
          <w:szCs w:val="22"/>
        </w:rPr>
        <w:t>[4]</w:t>
      </w:r>
      <w:r w:rsidR="00BE1B46" w:rsidRPr="00E0277A">
        <w:rPr>
          <w:sz w:val="22"/>
          <w:szCs w:val="22"/>
        </w:rPr>
        <w:fldChar w:fldCharType="end"/>
      </w:r>
      <w:r w:rsidRPr="00E0277A">
        <w:rPr>
          <w:sz w:val="22"/>
          <w:szCs w:val="22"/>
        </w:rPr>
        <w:t xml:space="preserve"> .</w:t>
      </w:r>
      <w:r w:rsidR="00204637" w:rsidRPr="00E0277A">
        <w:rPr>
          <w:sz w:val="22"/>
          <w:szCs w:val="22"/>
        </w:rPr>
        <w:t xml:space="preserve">Briefly, a sample protein is captured by a specific antibody that is affixed to an oligonucleotide primer. A second, </w:t>
      </w:r>
      <w:proofErr w:type="spellStart"/>
      <w:r w:rsidR="00204637" w:rsidRPr="00E0277A">
        <w:rPr>
          <w:sz w:val="22"/>
          <w:szCs w:val="22"/>
        </w:rPr>
        <w:t>biotinylated</w:t>
      </w:r>
      <w:proofErr w:type="spellEnd"/>
      <w:r w:rsidR="00204637" w:rsidRPr="00E0277A">
        <w:rPr>
          <w:sz w:val="22"/>
          <w:szCs w:val="22"/>
        </w:rPr>
        <w:t xml:space="preserve"> detector antibody then binds to the antibody-DNA conjugate. Thereafter, a universal </w:t>
      </w:r>
      <w:proofErr w:type="spellStart"/>
      <w:r w:rsidR="00204637" w:rsidRPr="00E0277A">
        <w:rPr>
          <w:sz w:val="22"/>
          <w:szCs w:val="22"/>
        </w:rPr>
        <w:t>antibiotin</w:t>
      </w:r>
      <w:proofErr w:type="spellEnd"/>
      <w:r w:rsidR="00204637" w:rsidRPr="00E0277A">
        <w:rPr>
          <w:sz w:val="22"/>
          <w:szCs w:val="22"/>
        </w:rPr>
        <w:t xml:space="preserve"> antibody is bound to a second antibody. In the presence of DNA polymerase and fluorescent nucleotides, rolling-circle replication then occurs on the universal antibody. In the process of rolling-circle signal amplification, a circular DNA hybridizes to the oligonucleotide DNA primer. The rolling-circle signal amplification product, the fluorescence, is then detected by a microarray scanner. The amount of fluorescence equals the amount of a sample protein.</w:t>
      </w:r>
    </w:p>
    <w:p w:rsidR="002B3FE4" w:rsidRPr="00E0277A" w:rsidRDefault="002B3FE4" w:rsidP="00E02779">
      <w:pPr>
        <w:pStyle w:val="NormalWeb"/>
        <w:spacing w:before="0" w:beforeAutospacing="0" w:after="120" w:afterAutospacing="0" w:line="480" w:lineRule="auto"/>
        <w:jc w:val="both"/>
        <w:rPr>
          <w:sz w:val="18"/>
          <w:szCs w:val="18"/>
        </w:rPr>
      </w:pPr>
      <w:r w:rsidRPr="00E0277A">
        <w:rPr>
          <w:sz w:val="18"/>
          <w:szCs w:val="18"/>
        </w:rPr>
        <w:t xml:space="preserve">4 Schweitzer B, Roberts S, </w:t>
      </w:r>
      <w:proofErr w:type="spellStart"/>
      <w:r w:rsidRPr="00E0277A">
        <w:rPr>
          <w:sz w:val="18"/>
          <w:szCs w:val="18"/>
        </w:rPr>
        <w:t>Grimwade</w:t>
      </w:r>
      <w:proofErr w:type="spellEnd"/>
      <w:r w:rsidRPr="00E0277A">
        <w:rPr>
          <w:sz w:val="18"/>
          <w:szCs w:val="18"/>
        </w:rPr>
        <w:t xml:space="preserve"> B, Shao W, Wang M, Fu Q, Shu Q, </w:t>
      </w:r>
      <w:proofErr w:type="spellStart"/>
      <w:r w:rsidRPr="00E0277A">
        <w:rPr>
          <w:sz w:val="18"/>
          <w:szCs w:val="18"/>
        </w:rPr>
        <w:t>Laroche</w:t>
      </w:r>
      <w:proofErr w:type="spellEnd"/>
      <w:r w:rsidRPr="00E0277A">
        <w:rPr>
          <w:sz w:val="18"/>
          <w:szCs w:val="18"/>
        </w:rPr>
        <w:t xml:space="preserve"> I, Zhou Z, </w:t>
      </w:r>
      <w:proofErr w:type="spellStart"/>
      <w:r w:rsidRPr="00E0277A">
        <w:rPr>
          <w:sz w:val="18"/>
          <w:szCs w:val="18"/>
        </w:rPr>
        <w:t>Tchernev</w:t>
      </w:r>
      <w:proofErr w:type="spellEnd"/>
      <w:r w:rsidRPr="00E0277A">
        <w:rPr>
          <w:sz w:val="18"/>
          <w:szCs w:val="18"/>
        </w:rPr>
        <w:t xml:space="preserve"> VT, Christiansen J, </w:t>
      </w:r>
      <w:proofErr w:type="spellStart"/>
      <w:r w:rsidRPr="00E0277A">
        <w:rPr>
          <w:sz w:val="18"/>
          <w:szCs w:val="18"/>
        </w:rPr>
        <w:t>Velleca</w:t>
      </w:r>
      <w:proofErr w:type="spellEnd"/>
      <w:r w:rsidRPr="00E0277A">
        <w:rPr>
          <w:sz w:val="18"/>
          <w:szCs w:val="18"/>
        </w:rPr>
        <w:t xml:space="preserve"> M, </w:t>
      </w:r>
      <w:proofErr w:type="spellStart"/>
      <w:r w:rsidRPr="00E0277A">
        <w:rPr>
          <w:sz w:val="18"/>
          <w:szCs w:val="18"/>
        </w:rPr>
        <w:t>Kingsmore</w:t>
      </w:r>
      <w:proofErr w:type="spellEnd"/>
      <w:r w:rsidRPr="00E0277A">
        <w:rPr>
          <w:sz w:val="18"/>
          <w:szCs w:val="18"/>
        </w:rPr>
        <w:t xml:space="preserve"> SF: Multiplexed protein profiling on microarrays by rolling-circle amplification. Nat </w:t>
      </w:r>
      <w:proofErr w:type="spellStart"/>
      <w:r w:rsidRPr="00E0277A">
        <w:rPr>
          <w:sz w:val="18"/>
          <w:szCs w:val="18"/>
        </w:rPr>
        <w:t>Biotechnol</w:t>
      </w:r>
      <w:proofErr w:type="spellEnd"/>
      <w:r w:rsidRPr="00E0277A">
        <w:rPr>
          <w:sz w:val="18"/>
          <w:szCs w:val="18"/>
        </w:rPr>
        <w:t xml:space="preserve"> 2002</w:t>
      </w:r>
      <w:proofErr w:type="gramStart"/>
      <w:r w:rsidRPr="00E0277A">
        <w:rPr>
          <w:sz w:val="18"/>
          <w:szCs w:val="18"/>
        </w:rPr>
        <w:t>;20:359</w:t>
      </w:r>
      <w:proofErr w:type="gramEnd"/>
      <w:r w:rsidRPr="00E0277A">
        <w:rPr>
          <w:sz w:val="18"/>
          <w:szCs w:val="18"/>
        </w:rPr>
        <w:t>-365.</w:t>
      </w:r>
    </w:p>
    <w:p w:rsidR="00A46266" w:rsidRPr="00E0277A" w:rsidRDefault="00204637" w:rsidP="00E02779">
      <w:pPr>
        <w:spacing w:after="120" w:line="480" w:lineRule="auto"/>
        <w:jc w:val="both"/>
        <w:rPr>
          <w:rFonts w:ascii="Times New Roman" w:hAnsi="Times New Roman"/>
          <w:b/>
        </w:rPr>
      </w:pPr>
      <w:r w:rsidRPr="00E0277A">
        <w:rPr>
          <w:rFonts w:ascii="Times New Roman" w:hAnsi="Times New Roman"/>
          <w:b/>
        </w:rPr>
        <w:t>1.4</w:t>
      </w:r>
      <w:r w:rsidR="00A46266" w:rsidRPr="00E0277A">
        <w:rPr>
          <w:rFonts w:ascii="Times New Roman" w:hAnsi="Times New Roman"/>
          <w:b/>
        </w:rPr>
        <w:t>. Acknowledgements</w:t>
      </w:r>
    </w:p>
    <w:p w:rsidR="00A46266" w:rsidRPr="00E0277A" w:rsidRDefault="00A46266" w:rsidP="00E02779">
      <w:pPr>
        <w:spacing w:after="120" w:line="480" w:lineRule="auto"/>
        <w:rPr>
          <w:rFonts w:ascii="Times" w:hAnsi="Times"/>
          <w:sz w:val="20"/>
          <w:szCs w:val="20"/>
        </w:rPr>
      </w:pPr>
      <w:r w:rsidRPr="00E0277A">
        <w:rPr>
          <w:rFonts w:ascii="Times New Roman" w:hAnsi="Times New Roman"/>
          <w:bCs/>
        </w:rPr>
        <w:t xml:space="preserve">We would like to thank Maarit Haarala for laboratory assistance and Riitta Vikeväinen and Pia Pohjola for sample and data collection. </w:t>
      </w:r>
      <w:proofErr w:type="spellStart"/>
      <w:r w:rsidRPr="00E0277A">
        <w:rPr>
          <w:rFonts w:ascii="Times New Roman" w:hAnsi="Times New Roman"/>
          <w:bCs/>
        </w:rPr>
        <w:t>Mihoko</w:t>
      </w:r>
      <w:proofErr w:type="spellEnd"/>
      <w:r w:rsidRPr="00E0277A">
        <w:rPr>
          <w:rFonts w:ascii="Times New Roman" w:hAnsi="Times New Roman"/>
          <w:bCs/>
        </w:rPr>
        <w:t xml:space="preserve"> Ladd, Chandra Pham, and Kristi Finlay are acknowledged for sample collection and enrollment in Vancouver, Canada. We would also like to thank our collaborators Helena </w:t>
      </w:r>
      <w:proofErr w:type="spellStart"/>
      <w:r w:rsidRPr="00E0277A">
        <w:rPr>
          <w:rFonts w:ascii="Times New Roman" w:hAnsi="Times New Roman"/>
          <w:bCs/>
        </w:rPr>
        <w:t>Lapinleimu</w:t>
      </w:r>
      <w:proofErr w:type="spellEnd"/>
      <w:r w:rsidRPr="00E0277A">
        <w:rPr>
          <w:rFonts w:ascii="Times New Roman" w:hAnsi="Times New Roman"/>
          <w:bCs/>
        </w:rPr>
        <w:t xml:space="preserve"> in Turku and </w:t>
      </w:r>
      <w:proofErr w:type="spellStart"/>
      <w:r w:rsidRPr="00E0277A">
        <w:rPr>
          <w:rFonts w:ascii="Times New Roman" w:hAnsi="Times New Roman"/>
          <w:bCs/>
        </w:rPr>
        <w:t>Sture</w:t>
      </w:r>
      <w:proofErr w:type="spellEnd"/>
      <w:r w:rsidRPr="00E0277A">
        <w:rPr>
          <w:rFonts w:ascii="Times New Roman" w:hAnsi="Times New Roman"/>
          <w:bCs/>
        </w:rPr>
        <w:t xml:space="preserve"> Andersson in Helsinki, Finland. The genotyping of SNP markers was performed by the Technology Centre, Institute for Molecular Medicine Finland (FIMM), University of Helsinki.</w:t>
      </w:r>
      <w:r w:rsidR="00E02779" w:rsidRPr="00E0277A">
        <w:rPr>
          <w:rFonts w:ascii="Times New Roman" w:hAnsi="Times New Roman"/>
          <w:bCs/>
        </w:rPr>
        <w:t xml:space="preserve"> </w:t>
      </w:r>
      <w:r w:rsidR="00E02779" w:rsidRPr="00E0277A">
        <w:rPr>
          <w:rFonts w:ascii="Times New Roman" w:hAnsi="Times New Roman" w:cs="Times New Roman"/>
          <w:szCs w:val="24"/>
        </w:rPr>
        <w:t xml:space="preserve">The study was funded by the National Graduate School of Clinical Investigation (HK), the </w:t>
      </w:r>
      <w:r w:rsidR="00E02779" w:rsidRPr="00E0277A">
        <w:rPr>
          <w:rFonts w:ascii="Times New Roman" w:hAnsi="Times New Roman" w:cs="Times New Roman"/>
          <w:szCs w:val="24"/>
        </w:rPr>
        <w:lastRenderedPageBreak/>
        <w:t xml:space="preserve">Foundation for Pediatric Research (HK, TK), the Sigrid </w:t>
      </w:r>
      <w:proofErr w:type="spellStart"/>
      <w:r w:rsidR="00E02779" w:rsidRPr="00E0277A">
        <w:rPr>
          <w:rFonts w:ascii="Times New Roman" w:hAnsi="Times New Roman" w:cs="Times New Roman"/>
          <w:szCs w:val="24"/>
        </w:rPr>
        <w:t>Jusélius</w:t>
      </w:r>
      <w:proofErr w:type="spellEnd"/>
      <w:r w:rsidR="00E02779" w:rsidRPr="00E0277A">
        <w:rPr>
          <w:rFonts w:ascii="Times New Roman" w:hAnsi="Times New Roman" w:cs="Times New Roman"/>
          <w:szCs w:val="24"/>
        </w:rPr>
        <w:t xml:space="preserve"> Foundation (MH), and </w:t>
      </w:r>
      <w:r w:rsidR="00E02779" w:rsidRPr="00E0277A">
        <w:rPr>
          <w:rFonts w:ascii="Times New Roman" w:hAnsi="Times New Roman"/>
          <w:szCs w:val="23"/>
          <w:shd w:val="clear" w:color="auto" w:fill="FFFFFF"/>
        </w:rPr>
        <w:t>Jane and</w:t>
      </w:r>
      <w:r w:rsidR="00E02779" w:rsidRPr="00E0277A">
        <w:rPr>
          <w:rFonts w:ascii="Times New Roman" w:hAnsi="Times New Roman"/>
        </w:rPr>
        <w:t xml:space="preserve"> </w:t>
      </w:r>
      <w:proofErr w:type="spellStart"/>
      <w:r w:rsidR="00E02779" w:rsidRPr="00E0277A">
        <w:rPr>
          <w:rFonts w:ascii="Times New Roman" w:hAnsi="Times New Roman"/>
        </w:rPr>
        <w:t>Aatos</w:t>
      </w:r>
      <w:proofErr w:type="spellEnd"/>
      <w:r w:rsidR="00E02779" w:rsidRPr="00E0277A">
        <w:rPr>
          <w:rFonts w:ascii="Times New Roman" w:hAnsi="Times New Roman"/>
        </w:rPr>
        <w:t xml:space="preserve"> </w:t>
      </w:r>
      <w:proofErr w:type="spellStart"/>
      <w:r w:rsidR="00E02779" w:rsidRPr="00E0277A">
        <w:rPr>
          <w:rFonts w:ascii="Times New Roman" w:hAnsi="Times New Roman"/>
          <w:szCs w:val="23"/>
          <w:shd w:val="clear" w:color="auto" w:fill="FFFFFF"/>
        </w:rPr>
        <w:t>Erkko</w:t>
      </w:r>
      <w:proofErr w:type="spellEnd"/>
      <w:r w:rsidR="00E02779" w:rsidRPr="00E0277A">
        <w:rPr>
          <w:rFonts w:ascii="Times New Roman" w:hAnsi="Times New Roman"/>
          <w:szCs w:val="23"/>
          <w:shd w:val="clear" w:color="auto" w:fill="FFFFFF"/>
        </w:rPr>
        <w:t xml:space="preserve"> Foundation (MH).</w:t>
      </w:r>
    </w:p>
    <w:p w:rsidR="007B4CCD" w:rsidRPr="00E0277A" w:rsidRDefault="007B4CCD" w:rsidP="009F6B30">
      <w:pPr>
        <w:spacing w:line="480" w:lineRule="auto"/>
        <w:jc w:val="both"/>
        <w:rPr>
          <w:sz w:val="18"/>
          <w:szCs w:val="18"/>
        </w:rPr>
      </w:pPr>
    </w:p>
    <w:p w:rsidR="007B4CCD" w:rsidRPr="00E0277A" w:rsidRDefault="007B4CCD" w:rsidP="009F6B30">
      <w:pPr>
        <w:jc w:val="both"/>
        <w:rPr>
          <w:sz w:val="18"/>
          <w:szCs w:val="18"/>
        </w:rPr>
      </w:pPr>
      <w:r w:rsidRPr="00E0277A">
        <w:rPr>
          <w:sz w:val="18"/>
          <w:szCs w:val="18"/>
        </w:rPr>
        <w:br w:type="page"/>
      </w:r>
    </w:p>
    <w:tbl>
      <w:tblPr>
        <w:tblpPr w:leftFromText="180" w:rightFromText="180" w:vertAnchor="page" w:horzAnchor="margin" w:tblpY="1597"/>
        <w:tblW w:w="8046" w:type="dxa"/>
        <w:tblLayout w:type="fixed"/>
        <w:tblCellMar>
          <w:top w:w="57" w:type="dxa"/>
        </w:tblCellMar>
        <w:tblLook w:val="04A0" w:firstRow="1" w:lastRow="0" w:firstColumn="1" w:lastColumn="0" w:noHBand="0" w:noVBand="1"/>
      </w:tblPr>
      <w:tblGrid>
        <w:gridCol w:w="1809"/>
        <w:gridCol w:w="1843"/>
        <w:gridCol w:w="3119"/>
        <w:gridCol w:w="1275"/>
      </w:tblGrid>
      <w:tr w:rsidR="00E0277A" w:rsidRPr="00E0277A">
        <w:trPr>
          <w:trHeight w:val="340"/>
        </w:trPr>
        <w:tc>
          <w:tcPr>
            <w:tcW w:w="8046" w:type="dxa"/>
            <w:gridSpan w:val="4"/>
            <w:tcBorders>
              <w:bottom w:val="single" w:sz="4" w:space="0" w:color="auto"/>
            </w:tcBorders>
          </w:tcPr>
          <w:p w:rsidR="007B4CCD" w:rsidRPr="00E0277A" w:rsidRDefault="007B4CCD" w:rsidP="009F6B30">
            <w:pPr>
              <w:spacing w:after="120" w:line="240" w:lineRule="auto"/>
              <w:jc w:val="both"/>
              <w:rPr>
                <w:rFonts w:ascii="Times New Roman" w:eastAsia="Calibri" w:hAnsi="Times New Roman" w:cs="Times New Roman"/>
                <w:b/>
                <w:sz w:val="20"/>
                <w:szCs w:val="20"/>
              </w:rPr>
            </w:pPr>
            <w:r w:rsidRPr="00E0277A">
              <w:rPr>
                <w:rFonts w:ascii="Times New Roman" w:eastAsia="Calibri" w:hAnsi="Times New Roman" w:cs="Times New Roman"/>
                <w:b/>
                <w:sz w:val="20"/>
                <w:szCs w:val="20"/>
              </w:rPr>
              <w:lastRenderedPageBreak/>
              <w:t xml:space="preserve">Supplemental Table 1. </w:t>
            </w:r>
            <w:r w:rsidRPr="00E0277A">
              <w:rPr>
                <w:rFonts w:ascii="Times New Roman" w:eastAsia="Calibri" w:hAnsi="Times New Roman" w:cs="Times New Roman"/>
                <w:b/>
                <w:i/>
                <w:sz w:val="24"/>
                <w:szCs w:val="24"/>
              </w:rPr>
              <w:t xml:space="preserve"> </w:t>
            </w:r>
            <w:r w:rsidRPr="00E0277A">
              <w:rPr>
                <w:rFonts w:ascii="Times New Roman" w:eastAsia="Calibri" w:hAnsi="Times New Roman" w:cs="Times New Roman"/>
                <w:b/>
                <w:i/>
                <w:sz w:val="20"/>
                <w:szCs w:val="20"/>
              </w:rPr>
              <w:t>CCL18</w:t>
            </w:r>
            <w:r w:rsidRPr="00E0277A">
              <w:rPr>
                <w:rFonts w:ascii="Times New Roman" w:eastAsia="Calibri" w:hAnsi="Times New Roman" w:cs="Times New Roman"/>
                <w:b/>
                <w:sz w:val="20"/>
                <w:szCs w:val="20"/>
              </w:rPr>
              <w:t xml:space="preserve"> polymorphisms and cord blood levels of CCL18 </w:t>
            </w:r>
          </w:p>
        </w:tc>
      </w:tr>
      <w:tr w:rsidR="00E0277A" w:rsidRPr="00E0277A">
        <w:trPr>
          <w:trHeight w:val="340"/>
        </w:trPr>
        <w:tc>
          <w:tcPr>
            <w:tcW w:w="1809" w:type="dxa"/>
            <w:tcBorders>
              <w:top w:val="single" w:sz="4" w:space="0" w:color="auto"/>
              <w:bottom w:val="single" w:sz="4" w:space="0" w:color="auto"/>
            </w:tcBorders>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i/>
                <w:sz w:val="20"/>
                <w:szCs w:val="20"/>
              </w:rPr>
              <w:t xml:space="preserve">CCL18 </w:t>
            </w:r>
            <w:r w:rsidRPr="00E0277A">
              <w:rPr>
                <w:rFonts w:ascii="Times New Roman" w:eastAsia="Calibri" w:hAnsi="Times New Roman" w:cs="Times New Roman"/>
                <w:sz w:val="20"/>
                <w:szCs w:val="20"/>
              </w:rPr>
              <w:t>polymorphism</w:t>
            </w:r>
          </w:p>
        </w:tc>
        <w:tc>
          <w:tcPr>
            <w:tcW w:w="1843" w:type="dxa"/>
            <w:tcBorders>
              <w:top w:val="single" w:sz="4" w:space="0" w:color="auto"/>
              <w:bottom w:val="single" w:sz="4" w:space="0" w:color="auto"/>
            </w:tcBorders>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vertAlign w:val="superscript"/>
              </w:rPr>
            </w:pPr>
            <w:r w:rsidRPr="00E0277A">
              <w:rPr>
                <w:rFonts w:ascii="Times New Roman" w:eastAsia="Calibri" w:hAnsi="Times New Roman" w:cs="Times New Roman"/>
                <w:sz w:val="20"/>
                <w:szCs w:val="20"/>
              </w:rPr>
              <w:t>Genotypes (n)</w:t>
            </w:r>
          </w:p>
        </w:tc>
        <w:tc>
          <w:tcPr>
            <w:tcW w:w="3119" w:type="dxa"/>
            <w:tcBorders>
              <w:top w:val="single" w:sz="4" w:space="0" w:color="auto"/>
              <w:bottom w:val="single" w:sz="4" w:space="0" w:color="auto"/>
            </w:tcBorders>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CCL18 levels</w:t>
            </w:r>
          </w:p>
          <w:p w:rsidR="007B4CCD" w:rsidRPr="00E0277A" w:rsidRDefault="007B4CCD" w:rsidP="009F6B30">
            <w:pPr>
              <w:spacing w:after="0" w:line="240" w:lineRule="auto"/>
              <w:jc w:val="both"/>
              <w:rPr>
                <w:rFonts w:ascii="Times New Roman" w:eastAsia="Calibri" w:hAnsi="Times New Roman" w:cs="Times New Roman"/>
                <w:sz w:val="20"/>
                <w:szCs w:val="20"/>
                <w:u w:val="single"/>
              </w:rPr>
            </w:pPr>
            <w:r w:rsidRPr="00E0277A">
              <w:rPr>
                <w:rFonts w:ascii="Times New Roman" w:eastAsia="Calibri" w:hAnsi="Times New Roman" w:cs="Times New Roman"/>
                <w:sz w:val="20"/>
                <w:szCs w:val="20"/>
              </w:rPr>
              <w:t>mean (SD)</w:t>
            </w:r>
          </w:p>
        </w:tc>
        <w:tc>
          <w:tcPr>
            <w:tcW w:w="1275" w:type="dxa"/>
            <w:tcBorders>
              <w:top w:val="single" w:sz="4" w:space="0" w:color="auto"/>
              <w:bottom w:val="single" w:sz="4" w:space="0" w:color="auto"/>
            </w:tcBorders>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vertAlign w:val="superscript"/>
              </w:rPr>
            </w:pPr>
            <w:r w:rsidRPr="00E0277A">
              <w:rPr>
                <w:rFonts w:ascii="Times New Roman" w:eastAsia="Lucida Sans Unicode" w:hAnsi="Times New Roman" w:cs="Times New Roman"/>
                <w:sz w:val="20"/>
                <w:szCs w:val="20"/>
              </w:rPr>
              <w:t>p value</w:t>
            </w:r>
            <w:r w:rsidR="00536E3F" w:rsidRPr="00E0277A">
              <w:rPr>
                <w:rFonts w:ascii="Times New Roman" w:eastAsia="Lucida Sans Unicode" w:hAnsi="Times New Roman" w:cs="Times New Roman"/>
                <w:sz w:val="20"/>
                <w:szCs w:val="20"/>
                <w:vertAlign w:val="superscript"/>
              </w:rPr>
              <w:t>1</w:t>
            </w:r>
          </w:p>
        </w:tc>
      </w:tr>
      <w:tr w:rsidR="00E0277A" w:rsidRPr="00E0277A">
        <w:trPr>
          <w:trHeight w:val="340"/>
        </w:trPr>
        <w:tc>
          <w:tcPr>
            <w:tcW w:w="1809" w:type="dxa"/>
            <w:tcBorders>
              <w:top w:val="single" w:sz="4" w:space="0" w:color="auto"/>
            </w:tcBorders>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rs1102934</w:t>
            </w:r>
          </w:p>
        </w:tc>
        <w:tc>
          <w:tcPr>
            <w:tcW w:w="1843" w:type="dxa"/>
            <w:tcBorders>
              <w:top w:val="single" w:sz="4" w:space="0" w:color="auto"/>
            </w:tcBorders>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GA+GG (25)</w:t>
            </w:r>
          </w:p>
        </w:tc>
        <w:tc>
          <w:tcPr>
            <w:tcW w:w="3119" w:type="dxa"/>
            <w:tcBorders>
              <w:top w:val="single" w:sz="4" w:space="0" w:color="auto"/>
            </w:tcBorders>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6818 (2353)</w:t>
            </w:r>
          </w:p>
        </w:tc>
        <w:tc>
          <w:tcPr>
            <w:tcW w:w="1275" w:type="dxa"/>
            <w:tcBorders>
              <w:top w:val="single" w:sz="4" w:space="0" w:color="auto"/>
            </w:tcBorders>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0.16</w:t>
            </w:r>
          </w:p>
        </w:tc>
      </w:tr>
      <w:tr w:rsidR="00E0277A" w:rsidRPr="00E0277A">
        <w:trPr>
          <w:trHeight w:val="340"/>
        </w:trPr>
        <w:tc>
          <w:tcPr>
            <w:tcW w:w="180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p>
        </w:tc>
        <w:tc>
          <w:tcPr>
            <w:tcW w:w="1843"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AA (61)</w:t>
            </w:r>
          </w:p>
        </w:tc>
        <w:tc>
          <w:tcPr>
            <w:tcW w:w="311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5972 (2572)</w:t>
            </w:r>
          </w:p>
        </w:tc>
        <w:tc>
          <w:tcPr>
            <w:tcW w:w="1275"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p>
        </w:tc>
      </w:tr>
      <w:tr w:rsidR="00E0277A" w:rsidRPr="00E0277A">
        <w:trPr>
          <w:trHeight w:val="340"/>
        </w:trPr>
        <w:tc>
          <w:tcPr>
            <w:tcW w:w="180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rs2015086</w:t>
            </w:r>
          </w:p>
        </w:tc>
        <w:tc>
          <w:tcPr>
            <w:tcW w:w="1843"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CC+CT (29)</w:t>
            </w:r>
          </w:p>
        </w:tc>
        <w:tc>
          <w:tcPr>
            <w:tcW w:w="311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7055 (2366)</w:t>
            </w:r>
          </w:p>
        </w:tc>
        <w:tc>
          <w:tcPr>
            <w:tcW w:w="1275"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0.033</w:t>
            </w:r>
          </w:p>
        </w:tc>
      </w:tr>
      <w:tr w:rsidR="00E0277A" w:rsidRPr="00E0277A">
        <w:trPr>
          <w:trHeight w:val="340"/>
        </w:trPr>
        <w:tc>
          <w:tcPr>
            <w:tcW w:w="180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p>
        </w:tc>
        <w:tc>
          <w:tcPr>
            <w:tcW w:w="1843"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TT (70)</w:t>
            </w:r>
          </w:p>
        </w:tc>
        <w:tc>
          <w:tcPr>
            <w:tcW w:w="311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5869 (2522)</w:t>
            </w:r>
          </w:p>
        </w:tc>
        <w:tc>
          <w:tcPr>
            <w:tcW w:w="1275"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p>
        </w:tc>
      </w:tr>
      <w:tr w:rsidR="00E0277A" w:rsidRPr="00E0277A">
        <w:trPr>
          <w:trHeight w:val="340"/>
        </w:trPr>
        <w:tc>
          <w:tcPr>
            <w:tcW w:w="180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rs2015070</w:t>
            </w:r>
          </w:p>
        </w:tc>
        <w:tc>
          <w:tcPr>
            <w:tcW w:w="1843"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AA+GA (18)</w:t>
            </w:r>
          </w:p>
        </w:tc>
        <w:tc>
          <w:tcPr>
            <w:tcW w:w="311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7213 (2515)</w:t>
            </w:r>
          </w:p>
        </w:tc>
        <w:tc>
          <w:tcPr>
            <w:tcW w:w="1275"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0.064</w:t>
            </w:r>
          </w:p>
        </w:tc>
      </w:tr>
      <w:tr w:rsidR="00E0277A" w:rsidRPr="00E0277A">
        <w:trPr>
          <w:trHeight w:val="340"/>
        </w:trPr>
        <w:tc>
          <w:tcPr>
            <w:tcW w:w="180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p>
        </w:tc>
        <w:tc>
          <w:tcPr>
            <w:tcW w:w="1843"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GG (81)</w:t>
            </w:r>
          </w:p>
        </w:tc>
        <w:tc>
          <w:tcPr>
            <w:tcW w:w="311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5995 (2487)</w:t>
            </w:r>
          </w:p>
        </w:tc>
        <w:tc>
          <w:tcPr>
            <w:tcW w:w="1275"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p>
        </w:tc>
      </w:tr>
      <w:tr w:rsidR="00E0277A" w:rsidRPr="00E0277A">
        <w:trPr>
          <w:trHeight w:val="340"/>
        </w:trPr>
        <w:tc>
          <w:tcPr>
            <w:tcW w:w="180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rs2735835</w:t>
            </w:r>
          </w:p>
        </w:tc>
        <w:tc>
          <w:tcPr>
            <w:tcW w:w="1843"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AA+GA (56)</w:t>
            </w:r>
          </w:p>
        </w:tc>
        <w:tc>
          <w:tcPr>
            <w:tcW w:w="311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6378 (2674)</w:t>
            </w:r>
          </w:p>
        </w:tc>
        <w:tc>
          <w:tcPr>
            <w:tcW w:w="1275"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0.69</w:t>
            </w:r>
          </w:p>
        </w:tc>
      </w:tr>
      <w:tr w:rsidR="00E0277A" w:rsidRPr="00E0277A">
        <w:trPr>
          <w:trHeight w:val="340"/>
        </w:trPr>
        <w:tc>
          <w:tcPr>
            <w:tcW w:w="180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p>
        </w:tc>
        <w:tc>
          <w:tcPr>
            <w:tcW w:w="1843"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GG (40)</w:t>
            </w:r>
          </w:p>
        </w:tc>
        <w:tc>
          <w:tcPr>
            <w:tcW w:w="311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6171 (2323)</w:t>
            </w:r>
          </w:p>
        </w:tc>
        <w:tc>
          <w:tcPr>
            <w:tcW w:w="1275"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p>
        </w:tc>
      </w:tr>
      <w:tr w:rsidR="00E0277A" w:rsidRPr="00E0277A">
        <w:trPr>
          <w:trHeight w:val="340"/>
        </w:trPr>
        <w:tc>
          <w:tcPr>
            <w:tcW w:w="180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rs712044</w:t>
            </w:r>
          </w:p>
        </w:tc>
        <w:tc>
          <w:tcPr>
            <w:tcW w:w="1843"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GG+AG (39)</w:t>
            </w:r>
          </w:p>
        </w:tc>
        <w:tc>
          <w:tcPr>
            <w:tcW w:w="311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6177 (1756)</w:t>
            </w:r>
          </w:p>
        </w:tc>
        <w:tc>
          <w:tcPr>
            <w:tcW w:w="1275"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0.93</w:t>
            </w:r>
          </w:p>
        </w:tc>
      </w:tr>
      <w:tr w:rsidR="00E0277A" w:rsidRPr="00E0277A">
        <w:trPr>
          <w:trHeight w:val="340"/>
        </w:trPr>
        <w:tc>
          <w:tcPr>
            <w:tcW w:w="180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p>
        </w:tc>
        <w:tc>
          <w:tcPr>
            <w:tcW w:w="1843"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AA (57)</w:t>
            </w:r>
          </w:p>
        </w:tc>
        <w:tc>
          <w:tcPr>
            <w:tcW w:w="3119"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r w:rsidRPr="00E0277A">
              <w:rPr>
                <w:rFonts w:ascii="Times New Roman" w:eastAsia="Calibri" w:hAnsi="Times New Roman" w:cs="Times New Roman"/>
                <w:sz w:val="20"/>
                <w:szCs w:val="20"/>
              </w:rPr>
              <w:t>6218 (3007)</w:t>
            </w:r>
          </w:p>
        </w:tc>
        <w:tc>
          <w:tcPr>
            <w:tcW w:w="1275" w:type="dxa"/>
            <w:shd w:val="clear" w:color="auto" w:fill="auto"/>
          </w:tcPr>
          <w:p w:rsidR="007B4CCD" w:rsidRPr="00E0277A" w:rsidRDefault="007B4CCD" w:rsidP="009F6B30">
            <w:pPr>
              <w:spacing w:after="0" w:line="240" w:lineRule="auto"/>
              <w:jc w:val="both"/>
              <w:rPr>
                <w:rFonts w:ascii="Times New Roman" w:eastAsia="Calibri" w:hAnsi="Times New Roman" w:cs="Times New Roman"/>
                <w:sz w:val="20"/>
                <w:szCs w:val="20"/>
              </w:rPr>
            </w:pPr>
          </w:p>
        </w:tc>
      </w:tr>
      <w:tr w:rsidR="00E0277A" w:rsidRPr="00E0277A">
        <w:trPr>
          <w:trHeight w:val="113"/>
        </w:trPr>
        <w:tc>
          <w:tcPr>
            <w:tcW w:w="8046" w:type="dxa"/>
            <w:gridSpan w:val="4"/>
            <w:tcBorders>
              <w:top w:val="single" w:sz="4" w:space="0" w:color="auto"/>
            </w:tcBorders>
          </w:tcPr>
          <w:p w:rsidR="007B4CCD" w:rsidRPr="00E0277A" w:rsidRDefault="00536E3F" w:rsidP="009F6B30">
            <w:pPr>
              <w:spacing w:after="0" w:line="240" w:lineRule="auto"/>
              <w:jc w:val="both"/>
              <w:rPr>
                <w:rFonts w:ascii="Times New Roman" w:eastAsia="Calibri" w:hAnsi="Times New Roman" w:cs="Times New Roman"/>
                <w:sz w:val="18"/>
                <w:szCs w:val="18"/>
              </w:rPr>
            </w:pPr>
            <w:r w:rsidRPr="00E0277A">
              <w:rPr>
                <w:rFonts w:ascii="Times New Roman" w:eastAsia="Calibri" w:hAnsi="Times New Roman" w:cs="Times New Roman"/>
                <w:sz w:val="18"/>
                <w:szCs w:val="18"/>
                <w:vertAlign w:val="superscript"/>
              </w:rPr>
              <w:t>1</w:t>
            </w:r>
            <w:r w:rsidR="007B4CCD" w:rsidRPr="00E0277A">
              <w:rPr>
                <w:rFonts w:ascii="Times New Roman" w:eastAsia="Calibri" w:hAnsi="Times New Roman" w:cs="Times New Roman"/>
                <w:sz w:val="18"/>
                <w:szCs w:val="18"/>
              </w:rPr>
              <w:t>Student’s t-test.</w:t>
            </w:r>
          </w:p>
          <w:p w:rsidR="007B4CCD" w:rsidRPr="00E0277A" w:rsidRDefault="007B4CCD" w:rsidP="009F6B30">
            <w:pPr>
              <w:spacing w:after="0" w:line="240" w:lineRule="auto"/>
              <w:jc w:val="both"/>
              <w:rPr>
                <w:rFonts w:ascii="Times New Roman" w:eastAsia="Calibri" w:hAnsi="Times New Roman" w:cs="Times New Roman"/>
                <w:sz w:val="18"/>
                <w:szCs w:val="18"/>
              </w:rPr>
            </w:pPr>
            <w:r w:rsidRPr="00E0277A">
              <w:rPr>
                <w:rFonts w:ascii="Times New Roman" w:eastAsia="Calibri" w:hAnsi="Times New Roman" w:cs="Times New Roman"/>
                <w:sz w:val="18"/>
                <w:szCs w:val="18"/>
              </w:rPr>
              <w:t>CCL18 concentrations did not correlate with CP outcome among these 99 VLGA children.</w:t>
            </w:r>
          </w:p>
        </w:tc>
      </w:tr>
      <w:bookmarkEnd w:id="0"/>
    </w:tbl>
    <w:p w:rsidR="005005E1" w:rsidRPr="00E0277A" w:rsidRDefault="005005E1" w:rsidP="009F6B30">
      <w:pPr>
        <w:spacing w:line="480" w:lineRule="auto"/>
        <w:jc w:val="both"/>
      </w:pPr>
    </w:p>
    <w:sectPr w:rsidR="005005E1" w:rsidRPr="00E0277A" w:rsidSect="009F6B30">
      <w:pgSz w:w="12240" w:h="15840"/>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0C"/>
    <w:multiLevelType w:val="hybridMultilevel"/>
    <w:tmpl w:val="507625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1C"/>
    <w:rsid w:val="000A5C44"/>
    <w:rsid w:val="001212BE"/>
    <w:rsid w:val="00204637"/>
    <w:rsid w:val="00225E81"/>
    <w:rsid w:val="002B3FE4"/>
    <w:rsid w:val="00350F0C"/>
    <w:rsid w:val="0046348C"/>
    <w:rsid w:val="005005E1"/>
    <w:rsid w:val="00536E3F"/>
    <w:rsid w:val="006C2AD9"/>
    <w:rsid w:val="007459AC"/>
    <w:rsid w:val="007B4CCD"/>
    <w:rsid w:val="00865857"/>
    <w:rsid w:val="009F6B30"/>
    <w:rsid w:val="00A46266"/>
    <w:rsid w:val="00AC3B1F"/>
    <w:rsid w:val="00BE1B46"/>
    <w:rsid w:val="00C72164"/>
    <w:rsid w:val="00CA1EF6"/>
    <w:rsid w:val="00D4391C"/>
    <w:rsid w:val="00E02779"/>
    <w:rsid w:val="00E0277A"/>
    <w:rsid w:val="00E145B8"/>
    <w:rsid w:val="00F67F3E"/>
    <w:rsid w:val="00FF0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2">
    <w:name w:val="heading 2"/>
    <w:basedOn w:val="Normal"/>
    <w:next w:val="Normal"/>
    <w:link w:val="Heading2Char"/>
    <w:qFormat/>
    <w:rsid w:val="00204637"/>
    <w:pPr>
      <w:keepNext/>
      <w:spacing w:before="240" w:after="6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05E1"/>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A46266"/>
    <w:pPr>
      <w:spacing w:line="240" w:lineRule="auto"/>
    </w:pPr>
    <w:rPr>
      <w:sz w:val="20"/>
      <w:szCs w:val="20"/>
    </w:rPr>
  </w:style>
  <w:style w:type="character" w:customStyle="1" w:styleId="CommentTextChar">
    <w:name w:val="Comment Text Char"/>
    <w:basedOn w:val="DefaultParagraphFont"/>
    <w:link w:val="CommentText"/>
    <w:uiPriority w:val="99"/>
    <w:rsid w:val="00A46266"/>
    <w:rPr>
      <w:sz w:val="20"/>
      <w:szCs w:val="20"/>
    </w:rPr>
  </w:style>
  <w:style w:type="character" w:styleId="CommentReference">
    <w:name w:val="annotation reference"/>
    <w:uiPriority w:val="99"/>
    <w:rsid w:val="00A46266"/>
    <w:rPr>
      <w:sz w:val="18"/>
      <w:szCs w:val="18"/>
    </w:rPr>
  </w:style>
  <w:style w:type="character" w:customStyle="1" w:styleId="Heading2Char">
    <w:name w:val="Heading 2 Char"/>
    <w:basedOn w:val="DefaultParagraphFont"/>
    <w:link w:val="Heading2"/>
    <w:rsid w:val="00204637"/>
    <w:rPr>
      <w:rFonts w:ascii="Arial" w:eastAsia="Times New Roman" w:hAnsi="Arial" w:cs="Times New Roman"/>
      <w:b/>
      <w:bCs/>
      <w:i/>
      <w:iCs/>
      <w:sz w:val="28"/>
      <w:szCs w:val="28"/>
    </w:rPr>
  </w:style>
  <w:style w:type="paragraph" w:styleId="BalloonText">
    <w:name w:val="Balloon Text"/>
    <w:basedOn w:val="Normal"/>
    <w:link w:val="BalloonTextChar"/>
    <w:uiPriority w:val="99"/>
    <w:semiHidden/>
    <w:unhideWhenUsed/>
    <w:rsid w:val="002B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FE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F0868"/>
    <w:rPr>
      <w:b/>
      <w:bCs/>
    </w:rPr>
  </w:style>
  <w:style w:type="character" w:customStyle="1" w:styleId="CommentSubjectChar">
    <w:name w:val="Comment Subject Char"/>
    <w:basedOn w:val="CommentTextChar"/>
    <w:link w:val="CommentSubject"/>
    <w:uiPriority w:val="99"/>
    <w:semiHidden/>
    <w:rsid w:val="00FF0868"/>
    <w:rPr>
      <w:b/>
      <w:bCs/>
      <w:sz w:val="20"/>
      <w:szCs w:val="20"/>
    </w:rPr>
  </w:style>
  <w:style w:type="character" w:customStyle="1" w:styleId="apple-converted-space">
    <w:name w:val="apple-converted-space"/>
    <w:basedOn w:val="DefaultParagraphFont"/>
    <w:rsid w:val="00E02779"/>
  </w:style>
  <w:style w:type="character" w:customStyle="1" w:styleId="currenthithighlight">
    <w:name w:val="currenthithighlight"/>
    <w:basedOn w:val="DefaultParagraphFont"/>
    <w:rsid w:val="00E02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2">
    <w:name w:val="heading 2"/>
    <w:basedOn w:val="Normal"/>
    <w:next w:val="Normal"/>
    <w:link w:val="Heading2Char"/>
    <w:qFormat/>
    <w:rsid w:val="00204637"/>
    <w:pPr>
      <w:keepNext/>
      <w:spacing w:before="240" w:after="6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05E1"/>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A46266"/>
    <w:pPr>
      <w:spacing w:line="240" w:lineRule="auto"/>
    </w:pPr>
    <w:rPr>
      <w:sz w:val="20"/>
      <w:szCs w:val="20"/>
    </w:rPr>
  </w:style>
  <w:style w:type="character" w:customStyle="1" w:styleId="CommentTextChar">
    <w:name w:val="Comment Text Char"/>
    <w:basedOn w:val="DefaultParagraphFont"/>
    <w:link w:val="CommentText"/>
    <w:uiPriority w:val="99"/>
    <w:rsid w:val="00A46266"/>
    <w:rPr>
      <w:sz w:val="20"/>
      <w:szCs w:val="20"/>
    </w:rPr>
  </w:style>
  <w:style w:type="character" w:styleId="CommentReference">
    <w:name w:val="annotation reference"/>
    <w:uiPriority w:val="99"/>
    <w:rsid w:val="00A46266"/>
    <w:rPr>
      <w:sz w:val="18"/>
      <w:szCs w:val="18"/>
    </w:rPr>
  </w:style>
  <w:style w:type="character" w:customStyle="1" w:styleId="Heading2Char">
    <w:name w:val="Heading 2 Char"/>
    <w:basedOn w:val="DefaultParagraphFont"/>
    <w:link w:val="Heading2"/>
    <w:rsid w:val="00204637"/>
    <w:rPr>
      <w:rFonts w:ascii="Arial" w:eastAsia="Times New Roman" w:hAnsi="Arial" w:cs="Times New Roman"/>
      <w:b/>
      <w:bCs/>
      <w:i/>
      <w:iCs/>
      <w:sz w:val="28"/>
      <w:szCs w:val="28"/>
    </w:rPr>
  </w:style>
  <w:style w:type="paragraph" w:styleId="BalloonText">
    <w:name w:val="Balloon Text"/>
    <w:basedOn w:val="Normal"/>
    <w:link w:val="BalloonTextChar"/>
    <w:uiPriority w:val="99"/>
    <w:semiHidden/>
    <w:unhideWhenUsed/>
    <w:rsid w:val="002B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FE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F0868"/>
    <w:rPr>
      <w:b/>
      <w:bCs/>
    </w:rPr>
  </w:style>
  <w:style w:type="character" w:customStyle="1" w:styleId="CommentSubjectChar">
    <w:name w:val="Comment Subject Char"/>
    <w:basedOn w:val="CommentTextChar"/>
    <w:link w:val="CommentSubject"/>
    <w:uiPriority w:val="99"/>
    <w:semiHidden/>
    <w:rsid w:val="00FF0868"/>
    <w:rPr>
      <w:b/>
      <w:bCs/>
      <w:sz w:val="20"/>
      <w:szCs w:val="20"/>
    </w:rPr>
  </w:style>
  <w:style w:type="character" w:customStyle="1" w:styleId="apple-converted-space">
    <w:name w:val="apple-converted-space"/>
    <w:basedOn w:val="DefaultParagraphFont"/>
    <w:rsid w:val="00E02779"/>
  </w:style>
  <w:style w:type="character" w:customStyle="1" w:styleId="currenthithighlight">
    <w:name w:val="currenthithighlight"/>
    <w:basedOn w:val="DefaultParagraphFont"/>
    <w:rsid w:val="00E0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9733">
      <w:bodyDiv w:val="1"/>
      <w:marLeft w:val="0"/>
      <w:marRight w:val="0"/>
      <w:marTop w:val="0"/>
      <w:marBottom w:val="0"/>
      <w:divBdr>
        <w:top w:val="none" w:sz="0" w:space="0" w:color="auto"/>
        <w:left w:val="none" w:sz="0" w:space="0" w:color="auto"/>
        <w:bottom w:val="none" w:sz="0" w:space="0" w:color="auto"/>
        <w:right w:val="none" w:sz="0" w:space="0" w:color="auto"/>
      </w:divBdr>
    </w:div>
    <w:div w:id="13008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Jani</dc:creator>
  <cp:lastModifiedBy>Hanna Kallankari</cp:lastModifiedBy>
  <cp:revision>2</cp:revision>
  <dcterms:created xsi:type="dcterms:W3CDTF">2015-03-04T12:22:00Z</dcterms:created>
  <dcterms:modified xsi:type="dcterms:W3CDTF">2015-03-04T12:22:00Z</dcterms:modified>
</cp:coreProperties>
</file>