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FA" w:rsidRPr="00A51AE8" w:rsidRDefault="000200FA" w:rsidP="000200FA">
      <w:pPr>
        <w:spacing w:after="0" w:line="480" w:lineRule="auto"/>
        <w:rPr>
          <w:b/>
        </w:rPr>
      </w:pPr>
      <w:r w:rsidRPr="00A51AE8">
        <w:rPr>
          <w:b/>
        </w:rPr>
        <w:t>Supplementary Material</w:t>
      </w:r>
    </w:p>
    <w:p w:rsidR="000200FA" w:rsidRDefault="000200FA" w:rsidP="000200FA">
      <w:pPr>
        <w:spacing w:after="0" w:line="480" w:lineRule="auto"/>
      </w:pPr>
      <w:r w:rsidRPr="00A51AE8">
        <w:t xml:space="preserve">Table </w:t>
      </w:r>
      <w:r>
        <w:t>S</w:t>
      </w:r>
      <w:r w:rsidRPr="00A51AE8">
        <w:t>1.</w:t>
      </w:r>
      <w:r>
        <w:t xml:space="preserve"> Patient characteristics of cohorts created in the first quarter of each year of the study, peritoneal dialysis</w:t>
      </w:r>
    </w:p>
    <w:p w:rsidR="000200FA" w:rsidRDefault="000200FA" w:rsidP="000200FA">
      <w:pPr>
        <w:spacing w:after="0" w:line="480" w:lineRule="auto"/>
      </w:pPr>
      <w:r>
        <w:t>Table S2. Patient characteristics of cohorts created in the first quarter of each year of the study, hemodialysis</w:t>
      </w:r>
    </w:p>
    <w:p w:rsidR="000200FA" w:rsidRDefault="000200FA" w:rsidP="000200FA">
      <w:pPr>
        <w:spacing w:after="0" w:line="480" w:lineRule="auto"/>
      </w:pPr>
      <w:r>
        <w:t>Table S3. Model coefficient estimate for each outcome, ESA use and EPO dose</w:t>
      </w:r>
    </w:p>
    <w:p w:rsidR="000200FA" w:rsidRDefault="000200FA" w:rsidP="000200FA">
      <w:pPr>
        <w:spacing w:after="0" w:line="480" w:lineRule="auto"/>
      </w:pPr>
      <w:r>
        <w:t>Table S4. Model coefficient estimate for each outcome, EPO admin and IV iron use</w:t>
      </w:r>
    </w:p>
    <w:p w:rsidR="000200FA" w:rsidRDefault="000200FA" w:rsidP="000200FA">
      <w:pPr>
        <w:spacing w:after="0" w:line="480" w:lineRule="auto"/>
      </w:pPr>
      <w:r>
        <w:t>Table S5. Model coefficient estimate for each outcome, IV iron dose and IV iron administration</w:t>
      </w:r>
    </w:p>
    <w:p w:rsidR="000200FA" w:rsidRDefault="000200FA" w:rsidP="000200FA">
      <w:pPr>
        <w:spacing w:after="0" w:line="480" w:lineRule="auto"/>
      </w:pPr>
      <w:r>
        <w:t>Table S6. Model coefficient estimate for each outcome, hemoglobin and transfusion</w:t>
      </w:r>
    </w:p>
    <w:p w:rsidR="000200FA" w:rsidRDefault="000200FA" w:rsidP="000200FA">
      <w:pPr>
        <w:spacing w:after="0" w:line="480" w:lineRule="auto"/>
      </w:pPr>
      <w:r w:rsidRPr="00A51AE8">
        <w:t xml:space="preserve">Figure </w:t>
      </w:r>
      <w:r>
        <w:t>S</w:t>
      </w:r>
      <w:r w:rsidR="004501B1">
        <w:t>1</w:t>
      </w:r>
      <w:r w:rsidRPr="00A51AE8">
        <w:t xml:space="preserve">. </w:t>
      </w:r>
      <w:r w:rsidRPr="00403994">
        <w:t>Creation of the analytic cohort</w:t>
      </w:r>
      <w:r>
        <w:t>. The first quarter of the study is shown for representative purposes.</w:t>
      </w:r>
      <w:r>
        <w:br w:type="page"/>
      </w:r>
    </w:p>
    <w:p w:rsidR="000200FA" w:rsidRDefault="000200FA" w:rsidP="000200FA">
      <w:pPr>
        <w:spacing w:after="0" w:line="480" w:lineRule="auto"/>
      </w:pPr>
      <w:r w:rsidRPr="00F807EC">
        <w:lastRenderedPageBreak/>
        <w:t xml:space="preserve">Table S1. </w:t>
      </w:r>
      <w:r>
        <w:t>Patient characteristics of cohorts created in the first quarter of each year of the study, peritoneal dialysis</w:t>
      </w: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2265"/>
        <w:gridCol w:w="1440"/>
        <w:gridCol w:w="1440"/>
        <w:gridCol w:w="1440"/>
        <w:gridCol w:w="1440"/>
        <w:gridCol w:w="1440"/>
      </w:tblGrid>
      <w:tr w:rsidR="000200FA" w:rsidRPr="00A54965" w:rsidTr="008A4A94">
        <w:trPr>
          <w:trHeight w:val="259"/>
        </w:trPr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FA" w:rsidRPr="00A54965" w:rsidRDefault="000200FA" w:rsidP="008A4A9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A5496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4965">
              <w:rPr>
                <w:rFonts w:eastAsia="Times New Roman"/>
                <w:color w:val="000000"/>
                <w:sz w:val="20"/>
                <w:szCs w:val="20"/>
              </w:rPr>
              <w:t>Peritoneal Dialysis</w:t>
            </w:r>
          </w:p>
        </w:tc>
      </w:tr>
      <w:tr w:rsidR="000200FA" w:rsidRPr="00A54965" w:rsidTr="008A4A94">
        <w:trPr>
          <w:trHeight w:val="259"/>
        </w:trPr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A5496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4965">
              <w:rPr>
                <w:rFonts w:eastAsia="Times New Roman"/>
                <w:color w:val="000000"/>
                <w:sz w:val="20"/>
                <w:szCs w:val="20"/>
              </w:rPr>
              <w:t>Characteristics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A5496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4965">
              <w:rPr>
                <w:rFonts w:eastAsia="Times New Roman"/>
                <w:color w:val="000000"/>
                <w:sz w:val="20"/>
                <w:szCs w:val="20"/>
              </w:rPr>
              <w:t>2007 Q1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A5496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4965">
              <w:rPr>
                <w:rFonts w:eastAsia="Times New Roman"/>
                <w:color w:val="000000"/>
                <w:sz w:val="20"/>
                <w:szCs w:val="20"/>
              </w:rPr>
              <w:t>2008 Q1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A5496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4965">
              <w:rPr>
                <w:rFonts w:eastAsia="Times New Roman"/>
                <w:color w:val="000000"/>
                <w:sz w:val="20"/>
                <w:szCs w:val="20"/>
              </w:rPr>
              <w:t>2009 Q1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A5496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4965">
              <w:rPr>
                <w:rFonts w:eastAsia="Times New Roman"/>
                <w:color w:val="000000"/>
                <w:sz w:val="20"/>
                <w:szCs w:val="20"/>
              </w:rPr>
              <w:t>2010 Q1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A5496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4965">
              <w:rPr>
                <w:rFonts w:eastAsia="Times New Roman"/>
                <w:color w:val="000000"/>
                <w:sz w:val="20"/>
                <w:szCs w:val="20"/>
              </w:rPr>
              <w:t>2011 Q1</w:t>
            </w:r>
          </w:p>
        </w:tc>
      </w:tr>
      <w:tr w:rsidR="000200FA" w:rsidRPr="009430A0" w:rsidTr="008A4A94">
        <w:trPr>
          <w:trHeight w:val="259"/>
        </w:trPr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All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100.0 (14,958)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100.0 (15,166)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100.0 (15,043)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100.0 (15,303)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>100.0 (16,523)</w:t>
            </w:r>
          </w:p>
        </w:tc>
      </w:tr>
      <w:tr w:rsidR="000200FA" w:rsidRPr="009430A0" w:rsidTr="008A4A94">
        <w:trPr>
          <w:trHeight w:val="259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>Age, years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200FA" w:rsidRPr="009430A0" w:rsidTr="008A4A94">
        <w:trPr>
          <w:trHeight w:val="259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18-44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22.7 (3399)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22.6 (3423)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22.4 (3363)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22.0 (3373)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>21.7 (3580)</w:t>
            </w:r>
          </w:p>
        </w:tc>
      </w:tr>
      <w:tr w:rsidR="000200FA" w:rsidRPr="009430A0" w:rsidTr="008A4A94">
        <w:trPr>
          <w:trHeight w:val="259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45-64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41.7 (6239)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42.2 (6401)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42.8 (6432)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42.9 (6558)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>42.2 (6980)</w:t>
            </w:r>
          </w:p>
        </w:tc>
      </w:tr>
      <w:tr w:rsidR="000200FA" w:rsidRPr="009430A0" w:rsidTr="008A4A94">
        <w:trPr>
          <w:trHeight w:val="259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65-74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21.0 (3143)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20.8 (3150)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20.8 (3136)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20.7 (3170)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>21.1 (3479)</w:t>
            </w:r>
          </w:p>
        </w:tc>
      </w:tr>
      <w:tr w:rsidR="000200FA" w:rsidRPr="009430A0" w:rsidTr="008A4A94">
        <w:trPr>
          <w:trHeight w:val="259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≥ 75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14.6 (2177)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14.5 (2192)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14.0 (2112)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14.4 (2202)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>15.0 (2484)</w:t>
            </w:r>
          </w:p>
        </w:tc>
      </w:tr>
      <w:tr w:rsidR="000200FA" w:rsidRPr="009430A0" w:rsidTr="008A4A94">
        <w:trPr>
          <w:trHeight w:val="259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Sex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200FA" w:rsidRPr="009430A0" w:rsidTr="008A4A94">
        <w:trPr>
          <w:trHeight w:val="259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Men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51.8 (7753)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51.1 (7747)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51.4 (7738)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51.5 (7888)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>51.8 (8556)</w:t>
            </w:r>
          </w:p>
        </w:tc>
      </w:tr>
      <w:tr w:rsidR="000200FA" w:rsidRPr="009430A0" w:rsidTr="008A4A94">
        <w:trPr>
          <w:trHeight w:val="259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>Women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48.2 (7205)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48.9 (7419)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48.6 (7305)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48.5 (7415)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>48.2 (7967)</w:t>
            </w:r>
          </w:p>
        </w:tc>
      </w:tr>
      <w:tr w:rsidR="000200FA" w:rsidRPr="009430A0" w:rsidTr="008A4A94">
        <w:trPr>
          <w:trHeight w:val="259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Race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200FA" w:rsidRPr="009430A0" w:rsidTr="008A4A94">
        <w:trPr>
          <w:trHeight w:val="259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White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66.0 (9875)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66.3 (10,060)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66.1 (9948)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65.9 (10,083)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>65.9 (10,888)</w:t>
            </w:r>
          </w:p>
        </w:tc>
      </w:tr>
      <w:tr w:rsidR="000200FA" w:rsidRPr="009430A0" w:rsidTr="008A4A94">
        <w:trPr>
          <w:trHeight w:val="259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Black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26.4 (3943)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26.2 (3981)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26.5 (3986)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26.5 (4058)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>26.6 (4403)</w:t>
            </w:r>
          </w:p>
        </w:tc>
      </w:tr>
      <w:tr w:rsidR="000200FA" w:rsidRPr="009430A0" w:rsidTr="008A4A94">
        <w:trPr>
          <w:trHeight w:val="259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Other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7.6 (1140)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7.4 (1125)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7.4 (1109)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7.6 (1162)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>7.5 (1232)</w:t>
            </w:r>
          </w:p>
        </w:tc>
      </w:tr>
      <w:tr w:rsidR="000200FA" w:rsidRPr="009430A0" w:rsidTr="008A4A94">
        <w:trPr>
          <w:trHeight w:val="259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Primary cause of ESRD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200FA" w:rsidRPr="009430A0" w:rsidTr="008A4A94">
        <w:trPr>
          <w:trHeight w:val="259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Diabetes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32.8 (4904)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33.2 (5028)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32.5 (4891)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32.7 (4998)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>32.5 (5362)</w:t>
            </w:r>
          </w:p>
        </w:tc>
      </w:tr>
      <w:tr w:rsidR="000200FA" w:rsidRPr="009430A0" w:rsidTr="008A4A94">
        <w:trPr>
          <w:trHeight w:val="259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Hypertension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26.9 (4026)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27.0 (4097)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26.9 (4046)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27.0 (4125)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>27.5 (4551)</w:t>
            </w:r>
          </w:p>
        </w:tc>
      </w:tr>
      <w:tr w:rsidR="000200FA" w:rsidRPr="009430A0" w:rsidTr="008A4A94">
        <w:trPr>
          <w:trHeight w:val="259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Glomerulonephritis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18.3 (2734)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17.9 (2708)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18.4 (2773)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17.7 (2712)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>17.2 (2841)</w:t>
            </w:r>
          </w:p>
        </w:tc>
      </w:tr>
      <w:tr w:rsidR="000200FA" w:rsidRPr="009430A0" w:rsidTr="008A4A94">
        <w:trPr>
          <w:trHeight w:val="259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Other cause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22.0 (3294)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22.0 (3333)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22.2 (3333)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22.7 (3468)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>22.8 (3769)</w:t>
            </w:r>
          </w:p>
        </w:tc>
      </w:tr>
      <w:tr w:rsidR="000200FA" w:rsidRPr="009430A0" w:rsidTr="008A4A94">
        <w:trPr>
          <w:trHeight w:val="259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Dialysis duration, years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200FA" w:rsidRPr="009430A0" w:rsidTr="008A4A94">
        <w:trPr>
          <w:trHeight w:val="259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&lt; 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16.7 (2503)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15.2 (2312)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15.4 (2323)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15.8 (2416)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>17.1 (2822)</w:t>
            </w:r>
          </w:p>
        </w:tc>
      </w:tr>
      <w:tr w:rsidR="000200FA" w:rsidRPr="009430A0" w:rsidTr="008A4A94">
        <w:trPr>
          <w:trHeight w:val="259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1-&lt; 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36.3 (5436)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36.2 (5484)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34.2 (5140)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33.8 (5167)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>34.1 (5637)</w:t>
            </w:r>
          </w:p>
        </w:tc>
      </w:tr>
      <w:tr w:rsidR="000200FA" w:rsidRPr="009430A0" w:rsidTr="008A4A94">
        <w:trPr>
          <w:trHeight w:val="259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3-&lt; 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22.0 (3286)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22.9 (3475)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24.0 (3607)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23.6 (3607)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>22.2 (3669)</w:t>
            </w:r>
          </w:p>
        </w:tc>
      </w:tr>
      <w:tr w:rsidR="000200FA" w:rsidRPr="009430A0" w:rsidTr="008A4A94">
        <w:trPr>
          <w:trHeight w:val="259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≥ 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25.0 (3733)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25.7 (3895)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26.4 (3973)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26.9 (4113)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>26.6 (4395)</w:t>
            </w:r>
          </w:p>
        </w:tc>
      </w:tr>
      <w:tr w:rsidR="000200FA" w:rsidRPr="009430A0" w:rsidTr="008A4A94">
        <w:trPr>
          <w:trHeight w:val="259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Comorbidity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200FA" w:rsidRPr="009430A0" w:rsidTr="008A4A94">
        <w:trPr>
          <w:trHeight w:val="259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ASHD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20.0 (2998)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20.4 (3096)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20.7 (3107)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20.6 (3147)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>21.2 (3495)</w:t>
            </w:r>
          </w:p>
        </w:tc>
      </w:tr>
      <w:tr w:rsidR="000200FA" w:rsidRPr="009430A0" w:rsidTr="008A4A94">
        <w:trPr>
          <w:trHeight w:val="259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CHF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14.2 (2131)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14.2 (2146)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13.8 (2081)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13.8 (2115)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>14.4 (2375)</w:t>
            </w:r>
          </w:p>
        </w:tc>
      </w:tr>
      <w:tr w:rsidR="000200FA" w:rsidRPr="009430A0" w:rsidTr="008A4A94">
        <w:trPr>
          <w:trHeight w:val="259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CVA/TIA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6.4 (958)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6.4 (966)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6.9 (1033)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6.6 (1008)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>7.1 (1177)</w:t>
            </w:r>
          </w:p>
        </w:tc>
      </w:tr>
      <w:tr w:rsidR="000200FA" w:rsidRPr="009430A0" w:rsidTr="008A4A94">
        <w:trPr>
          <w:trHeight w:val="259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PVD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13.5 (2019)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13.4 (2035)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13.9 (2088)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13.9 (2130)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>14.3 (2366)</w:t>
            </w:r>
          </w:p>
        </w:tc>
      </w:tr>
      <w:tr w:rsidR="000200FA" w:rsidRPr="009430A0" w:rsidTr="008A4A94">
        <w:trPr>
          <w:trHeight w:val="259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Other cardiac disease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13.8 (2059)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13.4 (2028)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14.8 (2227)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14.3 (2185)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>15.2 (2509)</w:t>
            </w:r>
          </w:p>
        </w:tc>
      </w:tr>
      <w:tr w:rsidR="000200FA" w:rsidRPr="009430A0" w:rsidTr="008A4A94">
        <w:trPr>
          <w:trHeight w:val="259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COPD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7.6 (1144)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7.1 (1079)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7.8 (1172)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7.6 (1169)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>8.3 (1364)</w:t>
            </w:r>
          </w:p>
        </w:tc>
      </w:tr>
      <w:tr w:rsidR="000200FA" w:rsidRPr="009430A0" w:rsidTr="008A4A94">
        <w:trPr>
          <w:trHeight w:val="259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GI bleeding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3.3 (496)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3.5 (524)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3.5 (519)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3.6 (554)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>3.5 (572)</w:t>
            </w:r>
          </w:p>
        </w:tc>
      </w:tr>
      <w:tr w:rsidR="000200FA" w:rsidRPr="009430A0" w:rsidTr="008A4A94">
        <w:trPr>
          <w:trHeight w:val="259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Liver Disease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5.0 (746)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4.7 (715)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5.1 (774)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4.7 (724)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>5.5 (906)</w:t>
            </w:r>
          </w:p>
        </w:tc>
      </w:tr>
      <w:tr w:rsidR="000200FA" w:rsidRPr="009430A0" w:rsidTr="008A4A94">
        <w:trPr>
          <w:trHeight w:val="259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Dysrhythmia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12.8 (1921)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12.6 (1912)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13.2 (1986)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13.1 (2006)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>14.5 (2389)</w:t>
            </w:r>
          </w:p>
        </w:tc>
      </w:tr>
      <w:tr w:rsidR="000200FA" w:rsidRPr="009430A0" w:rsidTr="008A4A94">
        <w:trPr>
          <w:trHeight w:val="259"/>
        </w:trPr>
        <w:tc>
          <w:tcPr>
            <w:tcW w:w="2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Cancer 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4.8 (719) 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5.0 (765) 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5.4 (808) 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5.6 (864) 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>5.8 (961)</w:t>
            </w:r>
          </w:p>
        </w:tc>
      </w:tr>
      <w:tr w:rsidR="000200FA" w:rsidRPr="009430A0" w:rsidTr="008A4A94">
        <w:trPr>
          <w:trHeight w:val="259"/>
        </w:trPr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Diabetes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42.2 (6316)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43.3 (6562)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43.6 (6556)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 xml:space="preserve">43.6 (6673)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430A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0A0">
              <w:rPr>
                <w:rFonts w:eastAsia="Times New Roman"/>
                <w:color w:val="000000"/>
                <w:sz w:val="20"/>
                <w:szCs w:val="20"/>
              </w:rPr>
              <w:t>45.5 (7514)</w:t>
            </w:r>
          </w:p>
        </w:tc>
      </w:tr>
    </w:tbl>
    <w:p w:rsidR="000200FA" w:rsidRPr="00A54965" w:rsidRDefault="000200FA" w:rsidP="000200FA">
      <w:pPr>
        <w:spacing w:after="0" w:line="480" w:lineRule="auto"/>
      </w:pPr>
    </w:p>
    <w:p w:rsidR="000200FA" w:rsidRPr="00A54965" w:rsidRDefault="000200FA" w:rsidP="000200FA">
      <w:pPr>
        <w:spacing w:after="0" w:line="480" w:lineRule="auto"/>
      </w:pPr>
      <w:r w:rsidRPr="00A54965">
        <w:rPr>
          <w:i/>
        </w:rPr>
        <w:t>Note:</w:t>
      </w:r>
      <w:r w:rsidRPr="00A54965">
        <w:t xml:space="preserve"> Values are % (</w:t>
      </w:r>
      <w:r w:rsidRPr="00A54965">
        <w:rPr>
          <w:i/>
        </w:rPr>
        <w:t>n</w:t>
      </w:r>
      <w:r w:rsidRPr="00A54965">
        <w:t>).</w:t>
      </w:r>
    </w:p>
    <w:p w:rsidR="000200FA" w:rsidRPr="00A54965" w:rsidRDefault="000200FA" w:rsidP="000200FA">
      <w:pPr>
        <w:spacing w:after="0" w:line="480" w:lineRule="auto"/>
        <w:rPr>
          <w:rFonts w:eastAsia="Times New Roman"/>
          <w:color w:val="000000"/>
        </w:rPr>
      </w:pPr>
      <w:r w:rsidRPr="00A54965">
        <w:rPr>
          <w:rFonts w:eastAsia="Times New Roman"/>
          <w:color w:val="000000"/>
        </w:rPr>
        <w:t>ASHD, atherosclerotic heart disease; CHF, congestive heart failure; COPD, chronic obstructive pulmonary disease; CVA/TIA, cerebrovascular accident/transient ischemic attack; ESRD, end stage renal disease; GI, gastrointestinal; PVD, peripheral vascular disease</w:t>
      </w:r>
      <w:r>
        <w:rPr>
          <w:rFonts w:eastAsia="Times New Roman"/>
          <w:color w:val="000000"/>
        </w:rPr>
        <w:t>.</w:t>
      </w:r>
    </w:p>
    <w:p w:rsidR="000200FA" w:rsidRDefault="000200FA" w:rsidP="000200FA">
      <w:pPr>
        <w:spacing w:after="0" w:line="480" w:lineRule="auto"/>
      </w:pPr>
      <w:r w:rsidRPr="00A54965">
        <w:rPr>
          <w:rFonts w:eastAsia="Times New Roman"/>
          <w:color w:val="000000"/>
        </w:rPr>
        <w:br w:type="page"/>
      </w:r>
      <w:r w:rsidRPr="00F807EC">
        <w:lastRenderedPageBreak/>
        <w:t>Table S</w:t>
      </w:r>
      <w:r>
        <w:t>2</w:t>
      </w:r>
      <w:r w:rsidRPr="00F807EC">
        <w:t xml:space="preserve">. </w:t>
      </w:r>
      <w:r>
        <w:t>Patient characteristics of cohorts created in the first quarter of each year of the study, hemodialysis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2175"/>
        <w:gridCol w:w="1440"/>
        <w:gridCol w:w="1440"/>
        <w:gridCol w:w="1440"/>
        <w:gridCol w:w="1440"/>
        <w:gridCol w:w="1440"/>
      </w:tblGrid>
      <w:tr w:rsidR="000200FA" w:rsidRPr="00A54965" w:rsidTr="008A4A94">
        <w:trPr>
          <w:trHeight w:val="259"/>
        </w:trPr>
        <w:tc>
          <w:tcPr>
            <w:tcW w:w="21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FA" w:rsidRPr="00A54965" w:rsidRDefault="000200FA" w:rsidP="008A4A9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A5496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4965">
              <w:rPr>
                <w:rFonts w:eastAsia="Times New Roman"/>
                <w:color w:val="000000"/>
                <w:sz w:val="20"/>
                <w:szCs w:val="20"/>
              </w:rPr>
              <w:t>Hemodialysis</w:t>
            </w:r>
          </w:p>
        </w:tc>
      </w:tr>
      <w:tr w:rsidR="000200FA" w:rsidRPr="00A54965" w:rsidTr="008A4A94">
        <w:trPr>
          <w:trHeight w:val="259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A5496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4965">
              <w:rPr>
                <w:rFonts w:eastAsia="Times New Roman"/>
                <w:color w:val="000000"/>
                <w:sz w:val="20"/>
                <w:szCs w:val="20"/>
              </w:rPr>
              <w:t>Characteristics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A5496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4965">
              <w:rPr>
                <w:rFonts w:eastAsia="Times New Roman"/>
                <w:color w:val="000000"/>
                <w:sz w:val="20"/>
                <w:szCs w:val="20"/>
              </w:rPr>
              <w:t>2007 Q1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A5496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4965">
              <w:rPr>
                <w:rFonts w:eastAsia="Times New Roman"/>
                <w:color w:val="000000"/>
                <w:sz w:val="20"/>
                <w:szCs w:val="20"/>
              </w:rPr>
              <w:t>2008 Q1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A5496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4965">
              <w:rPr>
                <w:rFonts w:eastAsia="Times New Roman"/>
                <w:color w:val="000000"/>
                <w:sz w:val="20"/>
                <w:szCs w:val="20"/>
              </w:rPr>
              <w:t>2009 Q1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A5496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4965">
              <w:rPr>
                <w:rFonts w:eastAsia="Times New Roman"/>
                <w:color w:val="000000"/>
                <w:sz w:val="20"/>
                <w:szCs w:val="20"/>
              </w:rPr>
              <w:t>2010 Q1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A5496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4965">
              <w:rPr>
                <w:rFonts w:eastAsia="Times New Roman"/>
                <w:color w:val="000000"/>
                <w:sz w:val="20"/>
                <w:szCs w:val="20"/>
              </w:rPr>
              <w:t>2011 Q1</w:t>
            </w:r>
          </w:p>
        </w:tc>
      </w:tr>
      <w:tr w:rsidR="000200FA" w:rsidRPr="00933197" w:rsidTr="008A4A94">
        <w:trPr>
          <w:trHeight w:val="259"/>
        </w:trPr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All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100.0 (221.866)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100.0 (226,907)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100.0 (233,004)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100.0 (237,649)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>100.0 (246,530)</w:t>
            </w:r>
          </w:p>
        </w:tc>
      </w:tr>
      <w:tr w:rsidR="000200FA" w:rsidRPr="00933197" w:rsidTr="008A4A94">
        <w:trPr>
          <w:trHeight w:val="259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>Age, years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200FA" w:rsidRPr="00933197" w:rsidTr="008A4A94">
        <w:trPr>
          <w:trHeight w:val="259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18-44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13.2 (29.384)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13.2 (29,982)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13.1 (30,502)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12.9 (30,760)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>12.7 (31,374)</w:t>
            </w:r>
          </w:p>
        </w:tc>
      </w:tr>
      <w:tr w:rsidR="000200FA" w:rsidRPr="00933197" w:rsidTr="008A4A94">
        <w:trPr>
          <w:trHeight w:val="259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45-64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38.5 (85.506)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39.1 (88,820)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39.6 (92,327)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40.2 (95,629)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>40.7 (100,312)</w:t>
            </w:r>
          </w:p>
        </w:tc>
      </w:tr>
      <w:tr w:rsidR="000200FA" w:rsidRPr="00933197" w:rsidTr="008A4A94">
        <w:trPr>
          <w:trHeight w:val="259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65-74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24.5 (54,379)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24.3 (55,174)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24.2 (56,457)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24.0 (56,986)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>23.9 (59,033)</w:t>
            </w:r>
          </w:p>
        </w:tc>
      </w:tr>
      <w:tr w:rsidR="000200FA" w:rsidRPr="00933197" w:rsidTr="008A4A94">
        <w:trPr>
          <w:trHeight w:val="259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≥ 75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23.7 (52,597)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23.3 (52,931)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23.1 (53,718)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22.8 (54,274)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>22.6 (55,811)</w:t>
            </w:r>
          </w:p>
        </w:tc>
      </w:tr>
      <w:tr w:rsidR="000200FA" w:rsidRPr="00933197" w:rsidTr="008A4A94">
        <w:trPr>
          <w:trHeight w:val="259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Sex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200FA" w:rsidRPr="00933197" w:rsidTr="008A4A94">
        <w:trPr>
          <w:trHeight w:val="259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Men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54.5 (12,0908)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54.9 (124,534)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55.0 (128,246)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55.2 (131,072)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>55.3 (136,429)</w:t>
            </w:r>
          </w:p>
        </w:tc>
      </w:tr>
      <w:tr w:rsidR="000200FA" w:rsidRPr="00933197" w:rsidTr="008A4A94">
        <w:trPr>
          <w:trHeight w:val="259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>Women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45.5 (10,0958)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45.1 (102,373)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45.0 (104,758)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44.8 (106,577)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>44.7 (110,101)</w:t>
            </w:r>
          </w:p>
        </w:tc>
      </w:tr>
      <w:tr w:rsidR="000200FA" w:rsidRPr="00933197" w:rsidTr="008A4A94">
        <w:trPr>
          <w:trHeight w:val="259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Race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200FA" w:rsidRPr="00933197" w:rsidTr="008A4A94">
        <w:trPr>
          <w:trHeight w:val="259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White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54.1 (119,939)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54.1 (122,830)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54.2 (126,373)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54.3 (129,142)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>53.9 (132,910)</w:t>
            </w:r>
          </w:p>
        </w:tc>
      </w:tr>
      <w:tr w:rsidR="000200FA" w:rsidRPr="00933197" w:rsidTr="008A4A94">
        <w:trPr>
          <w:trHeight w:val="259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Black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40.0 (88,782)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39.9 (90,523)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39.8 (92,671)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39.6 (94,032)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>39.9 (98,301)</w:t>
            </w:r>
          </w:p>
        </w:tc>
      </w:tr>
      <w:tr w:rsidR="000200FA" w:rsidRPr="00933197" w:rsidTr="008A4A94">
        <w:trPr>
          <w:trHeight w:val="259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Other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5.9 (13,145)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6.0 (13,554)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6.0 (13,960)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6.1 (14,475)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>6.2 (15,319)</w:t>
            </w:r>
          </w:p>
        </w:tc>
      </w:tr>
      <w:tr w:rsidR="000200FA" w:rsidRPr="00933197" w:rsidTr="008A4A94">
        <w:trPr>
          <w:trHeight w:val="259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Primary cause of ESRD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200FA" w:rsidRPr="00933197" w:rsidTr="008A4A94">
        <w:trPr>
          <w:trHeight w:val="259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Diabetes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44.0 (97,529)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44.1 (100,143)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44.3 (103,259)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44.5 (105,671)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>44.6 (110,038)</w:t>
            </w:r>
          </w:p>
        </w:tc>
      </w:tr>
      <w:tr w:rsidR="000200FA" w:rsidRPr="00933197" w:rsidTr="008A4A94">
        <w:trPr>
          <w:trHeight w:val="259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Hypertension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29.3 (65,066)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29.2 (66,341)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29.2 (67,937)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29.2 (69,423)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>29.4 (72,511)</w:t>
            </w:r>
          </w:p>
        </w:tc>
      </w:tr>
      <w:tr w:rsidR="000200FA" w:rsidRPr="00933197" w:rsidTr="008A4A94">
        <w:trPr>
          <w:trHeight w:val="259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Glomerulonephritis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10.6 (23,418)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10.3 (23,371)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10.0 (23,416)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9.8 (23,276)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>9.5 (23,422)</w:t>
            </w:r>
          </w:p>
        </w:tc>
      </w:tr>
      <w:tr w:rsidR="000200FA" w:rsidRPr="00933197" w:rsidTr="008A4A94">
        <w:trPr>
          <w:trHeight w:val="259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Other cause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16.2 (35,853)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16.3 (37,052)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16.5 (38,392)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16.5 (39,279)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>16.5 (40,559)</w:t>
            </w:r>
          </w:p>
        </w:tc>
      </w:tr>
      <w:tr w:rsidR="000200FA" w:rsidRPr="00933197" w:rsidTr="008A4A94">
        <w:trPr>
          <w:trHeight w:val="259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Dialysis duration, years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200FA" w:rsidRPr="00933197" w:rsidTr="008A4A94">
        <w:trPr>
          <w:trHeight w:val="259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&lt; 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16.1 (35,647)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15.2 (34,524)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14.7 (34,280)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14.4 (34,324)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>13.9 (34,150)</w:t>
            </w:r>
          </w:p>
        </w:tc>
      </w:tr>
      <w:tr w:rsidR="000200FA" w:rsidRPr="00933197" w:rsidTr="008A4A94">
        <w:trPr>
          <w:trHeight w:val="259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1-&lt; 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31.3 (69,518)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31.2 (70,725)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30.4 (70,846)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29.5 (70,121)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>29.3 (72,268)</w:t>
            </w:r>
          </w:p>
        </w:tc>
      </w:tr>
      <w:tr w:rsidR="000200FA" w:rsidRPr="00933197" w:rsidTr="008A4A94">
        <w:trPr>
          <w:trHeight w:val="259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3-&lt; 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21.7 (48,132)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21.9 (49,605)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22.0 (51,376)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22.4 (53,191)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>22.2 (54,702)</w:t>
            </w:r>
          </w:p>
        </w:tc>
      </w:tr>
      <w:tr w:rsidR="000200FA" w:rsidRPr="00933197" w:rsidTr="008A4A94">
        <w:trPr>
          <w:trHeight w:val="259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≥ 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30.9 (68,569)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31.8 (72,053)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32.8 (76,502)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33.7 (80,013)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>34.6 (85,410)</w:t>
            </w:r>
          </w:p>
        </w:tc>
      </w:tr>
      <w:tr w:rsidR="000200FA" w:rsidRPr="00933197" w:rsidTr="008A4A94">
        <w:trPr>
          <w:trHeight w:val="259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Comorbidity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200FA" w:rsidRPr="00933197" w:rsidTr="008A4A94">
        <w:trPr>
          <w:trHeight w:val="259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ASHD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29.4 (65,304)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29.9 (67,878)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30.8 (71,654)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30.6 (72,618)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>31.1 (76,690)</w:t>
            </w:r>
          </w:p>
        </w:tc>
      </w:tr>
      <w:tr w:rsidR="000200FA" w:rsidRPr="00933197" w:rsidTr="008A4A94">
        <w:trPr>
          <w:trHeight w:val="259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CHF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27.2 (60,387)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27.1 (61,519)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27.8 (64,703)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27.9 (66,310)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>28.8 (70,888)</w:t>
            </w:r>
          </w:p>
        </w:tc>
      </w:tr>
      <w:tr w:rsidR="000200FA" w:rsidRPr="00933197" w:rsidTr="008A4A94">
        <w:trPr>
          <w:trHeight w:val="259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CVA/TIA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11.4 (25,355)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11.8 (26,682)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12.2 (28,499)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12.3 (29,185)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>12.5 (30,736)</w:t>
            </w:r>
          </w:p>
        </w:tc>
      </w:tr>
      <w:tr w:rsidR="000200FA" w:rsidRPr="00933197" w:rsidTr="008A4A94">
        <w:trPr>
          <w:trHeight w:val="259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PVD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26.3 (58,281)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26.3 (59,653)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27.3 (63,512)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27.2 (64,729)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>27.9 (68,893)</w:t>
            </w:r>
          </w:p>
        </w:tc>
      </w:tr>
      <w:tr w:rsidR="000200FA" w:rsidRPr="00933197" w:rsidTr="008A4A94">
        <w:trPr>
          <w:trHeight w:val="259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Other cardiac disease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22.4 (49,663)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21.9 (49,596)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22.3 (51,926)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22.2 (52,686)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>22.7 (55,951)</w:t>
            </w:r>
          </w:p>
        </w:tc>
      </w:tr>
      <w:tr w:rsidR="000200FA" w:rsidRPr="00933197" w:rsidTr="008A4A94">
        <w:trPr>
          <w:trHeight w:val="259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COPD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13.2 (2,262)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13.1 (29,721)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13.9 (32,321)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14.2 (33,654)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>15.2 (37,498)</w:t>
            </w:r>
          </w:p>
        </w:tc>
      </w:tr>
      <w:tr w:rsidR="000200FA" w:rsidRPr="00933197" w:rsidTr="008A4A94">
        <w:trPr>
          <w:trHeight w:val="259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GI bleeding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5.2 (11,618)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5.1 (11,499)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5.1 (11,870)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5.0 (11,888)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>5.1 (12,539)</w:t>
            </w:r>
          </w:p>
        </w:tc>
      </w:tr>
      <w:tr w:rsidR="000200FA" w:rsidRPr="00933197" w:rsidTr="008A4A94">
        <w:trPr>
          <w:trHeight w:val="259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Liver Disease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7.2 (15,877)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7.3 (16,587)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7.3 (16,961)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6.5 (15,527)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>7.5 (18,541)</w:t>
            </w:r>
          </w:p>
        </w:tc>
      </w:tr>
      <w:tr w:rsidR="000200FA" w:rsidRPr="00933197" w:rsidTr="008A4A94">
        <w:trPr>
          <w:trHeight w:val="259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Dysrhythmia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20.5 (45,592)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20.9 (47,413)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21.3 (49,637)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21.6 (51,376)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>22.8 (56,129)</w:t>
            </w:r>
          </w:p>
        </w:tc>
      </w:tr>
      <w:tr w:rsidR="000200FA" w:rsidRPr="00933197" w:rsidTr="008A4A94">
        <w:trPr>
          <w:trHeight w:val="259"/>
        </w:trPr>
        <w:tc>
          <w:tcPr>
            <w:tcW w:w="21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Cancer 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5.8 (12,968) 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5.8 (13,156) 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6.1 (14,274) 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6.1 (14,596) 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>6.5 (15,918)</w:t>
            </w:r>
          </w:p>
        </w:tc>
      </w:tr>
      <w:tr w:rsidR="000200FA" w:rsidRPr="00933197" w:rsidTr="008A4A94">
        <w:trPr>
          <w:trHeight w:val="259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Diabetes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57.3 (127,024)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58.4 (13,2578)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59.5 (138,680)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 xml:space="preserve">59.8 (142,158)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0FA" w:rsidRPr="0093319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3197">
              <w:rPr>
                <w:rFonts w:eastAsia="Times New Roman"/>
                <w:color w:val="000000"/>
                <w:sz w:val="20"/>
                <w:szCs w:val="20"/>
              </w:rPr>
              <w:t>61.7 (152,018)</w:t>
            </w:r>
          </w:p>
        </w:tc>
      </w:tr>
    </w:tbl>
    <w:p w:rsidR="000200FA" w:rsidRPr="00A54965" w:rsidRDefault="000200FA" w:rsidP="000200FA">
      <w:pPr>
        <w:spacing w:after="0" w:line="480" w:lineRule="auto"/>
        <w:rPr>
          <w:sz w:val="22"/>
          <w:szCs w:val="22"/>
        </w:rPr>
      </w:pPr>
    </w:p>
    <w:p w:rsidR="000200FA" w:rsidRPr="00A54965" w:rsidRDefault="000200FA" w:rsidP="000200FA">
      <w:pPr>
        <w:spacing w:after="0" w:line="480" w:lineRule="auto"/>
        <w:rPr>
          <w:sz w:val="22"/>
          <w:szCs w:val="22"/>
        </w:rPr>
      </w:pPr>
      <w:r w:rsidRPr="00A54965">
        <w:rPr>
          <w:sz w:val="22"/>
          <w:szCs w:val="22"/>
        </w:rPr>
        <w:t>Note: Values are % (</w:t>
      </w:r>
      <w:r w:rsidRPr="00A54965">
        <w:rPr>
          <w:i/>
          <w:sz w:val="22"/>
          <w:szCs w:val="22"/>
        </w:rPr>
        <w:t>n</w:t>
      </w:r>
      <w:r w:rsidRPr="00A54965">
        <w:rPr>
          <w:sz w:val="22"/>
          <w:szCs w:val="22"/>
        </w:rPr>
        <w:t>).</w:t>
      </w:r>
    </w:p>
    <w:p w:rsidR="000200FA" w:rsidRDefault="000200FA" w:rsidP="000200FA">
      <w:pPr>
        <w:spacing w:after="0" w:line="480" w:lineRule="auto"/>
      </w:pPr>
      <w:r w:rsidRPr="00A54965">
        <w:rPr>
          <w:rFonts w:eastAsia="Times New Roman"/>
          <w:color w:val="000000"/>
          <w:sz w:val="22"/>
          <w:szCs w:val="22"/>
        </w:rPr>
        <w:t>ASHD, atherosclerotic heart disease; CHF, congestive heart failure; COPD, chronic obstructive pulmonary disease; CVA/TIA, cerebrovascular accident/transient ischemic attack; ESRD, end stage renal disease; GI, gastrointestinal; PVD, peripheral vascular disease</w:t>
      </w:r>
      <w:r>
        <w:rPr>
          <w:rFonts w:eastAsia="Times New Roman"/>
          <w:color w:val="000000"/>
          <w:sz w:val="22"/>
          <w:szCs w:val="22"/>
        </w:rPr>
        <w:t>.</w:t>
      </w:r>
      <w:r>
        <w:br w:type="page"/>
      </w:r>
    </w:p>
    <w:p w:rsidR="000200FA" w:rsidRPr="00733860" w:rsidRDefault="000200FA" w:rsidP="000200FA">
      <w:pPr>
        <w:spacing w:after="0" w:line="480" w:lineRule="auto"/>
        <w:rPr>
          <w:rFonts w:eastAsia="Times New Roman"/>
          <w:color w:val="000000"/>
        </w:rPr>
      </w:pPr>
      <w:r w:rsidRPr="005A1182">
        <w:lastRenderedPageBreak/>
        <w:t>Table S</w:t>
      </w:r>
      <w:r>
        <w:t>3</w:t>
      </w:r>
      <w:r w:rsidRPr="005A1182">
        <w:t>.</w:t>
      </w:r>
      <w:r>
        <w:t xml:space="preserve"> Model coefficient estimate for each outcome, ESA use and EPO dose</w:t>
      </w:r>
    </w:p>
    <w:tbl>
      <w:tblPr>
        <w:tblW w:w="9783" w:type="dxa"/>
        <w:tblInd w:w="93" w:type="dxa"/>
        <w:tblLook w:val="04A0" w:firstRow="1" w:lastRow="0" w:firstColumn="1" w:lastColumn="0" w:noHBand="0" w:noVBand="1"/>
      </w:tblPr>
      <w:tblGrid>
        <w:gridCol w:w="1365"/>
        <w:gridCol w:w="1206"/>
        <w:gridCol w:w="966"/>
        <w:gridCol w:w="1116"/>
        <w:gridCol w:w="966"/>
        <w:gridCol w:w="1116"/>
        <w:gridCol w:w="966"/>
        <w:gridCol w:w="1116"/>
        <w:gridCol w:w="966"/>
      </w:tblGrid>
      <w:tr w:rsidR="000200FA" w:rsidRPr="00DB5F50" w:rsidTr="008A4A94">
        <w:trPr>
          <w:trHeight w:val="259"/>
        </w:trPr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FA" w:rsidRPr="00DB5F5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DB5F5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5F50">
              <w:rPr>
                <w:rFonts w:eastAsia="Times New Roman"/>
                <w:color w:val="000000"/>
                <w:sz w:val="20"/>
                <w:szCs w:val="20"/>
              </w:rPr>
              <w:t xml:space="preserve">ESA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U</w:t>
            </w:r>
            <w:r w:rsidRPr="00DB5F50">
              <w:rPr>
                <w:rFonts w:eastAsia="Times New Roman"/>
                <w:color w:val="000000"/>
                <w:sz w:val="20"/>
                <w:szCs w:val="20"/>
              </w:rPr>
              <w:t>se</w:t>
            </w:r>
          </w:p>
        </w:tc>
        <w:tc>
          <w:tcPr>
            <w:tcW w:w="41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DB5F5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5F50">
              <w:rPr>
                <w:rFonts w:eastAsia="Times New Roman"/>
                <w:color w:val="000000"/>
                <w:sz w:val="20"/>
                <w:szCs w:val="20"/>
              </w:rPr>
              <w:t xml:space="preserve">EPO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DB5F50">
              <w:rPr>
                <w:rFonts w:eastAsia="Times New Roman"/>
                <w:color w:val="000000"/>
                <w:sz w:val="20"/>
                <w:szCs w:val="20"/>
              </w:rPr>
              <w:t>ose</w:t>
            </w:r>
          </w:p>
        </w:tc>
      </w:tr>
      <w:tr w:rsidR="000200FA" w:rsidRPr="00DB5F50" w:rsidTr="008A4A94">
        <w:trPr>
          <w:trHeight w:val="259"/>
        </w:trPr>
        <w:tc>
          <w:tcPr>
            <w:tcW w:w="1365" w:type="dxa"/>
            <w:shd w:val="clear" w:color="auto" w:fill="auto"/>
            <w:vAlign w:val="center"/>
            <w:hideMark/>
          </w:tcPr>
          <w:p w:rsidR="000200FA" w:rsidRPr="00DB5F50" w:rsidRDefault="000200FA" w:rsidP="008A4A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DB5F5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5F50">
              <w:rPr>
                <w:rFonts w:eastAsia="Times New Roman"/>
                <w:color w:val="000000"/>
                <w:sz w:val="20"/>
                <w:szCs w:val="20"/>
              </w:rPr>
              <w:t>PD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DB5F5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5F50">
              <w:rPr>
                <w:rFonts w:eastAsia="Times New Roman"/>
                <w:color w:val="000000"/>
                <w:sz w:val="20"/>
                <w:szCs w:val="20"/>
              </w:rPr>
              <w:t>HD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DB5F5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5F50">
              <w:rPr>
                <w:rFonts w:eastAsia="Times New Roman"/>
                <w:color w:val="000000"/>
                <w:sz w:val="20"/>
                <w:szCs w:val="20"/>
              </w:rPr>
              <w:t>PD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DB5F50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5F50">
              <w:rPr>
                <w:rFonts w:eastAsia="Times New Roman"/>
                <w:color w:val="000000"/>
                <w:sz w:val="20"/>
                <w:szCs w:val="20"/>
              </w:rPr>
              <w:t>HD</w:t>
            </w:r>
          </w:p>
        </w:tc>
      </w:tr>
      <w:tr w:rsidR="000200FA" w:rsidRPr="00DF5A75" w:rsidTr="008A4A94">
        <w:trPr>
          <w:trHeight w:val="259"/>
        </w:trPr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B5F50">
              <w:rPr>
                <w:rFonts w:eastAsia="Times New Roman"/>
                <w:color w:val="000000"/>
                <w:sz w:val="20"/>
                <w:szCs w:val="20"/>
              </w:rPr>
              <w:t>Year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DB5F50">
              <w:rPr>
                <w:rFonts w:eastAsia="Times New Roman"/>
                <w:color w:val="000000"/>
                <w:sz w:val="20"/>
                <w:szCs w:val="20"/>
              </w:rPr>
              <w:t>Quarter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 xml:space="preserve"> Value</w:t>
            </w:r>
          </w:p>
        </w:tc>
      </w:tr>
      <w:tr w:rsidR="000200FA" w:rsidRPr="00DF5A75" w:rsidTr="008A4A94">
        <w:trPr>
          <w:trHeight w:val="259"/>
        </w:trPr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00FA" w:rsidRPr="00DF5A75" w:rsidRDefault="000200FA" w:rsidP="008A4A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00FA" w:rsidRPr="00DF5A7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DF5A7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Q2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-0.0960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-0.0392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-0.0274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0.0315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-0.0450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</w:tr>
      <w:tr w:rsidR="000200FA" w:rsidRPr="00DF5A7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DF5A7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Q3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-0.0743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0.0052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-0.0662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-0.0529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-0.0575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</w:tr>
      <w:tr w:rsidR="000200FA" w:rsidRPr="00DF5A7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DF5A7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Q4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-0.1275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-0.0952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-0.0688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-0.0535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</w:tr>
      <w:tr w:rsidR="000200FA" w:rsidRPr="00DF5A7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</w:tcPr>
          <w:p w:rsidR="000200FA" w:rsidRPr="00DF5A75" w:rsidRDefault="000200FA" w:rsidP="008A4A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00FA" w:rsidRPr="00DF5A7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DF5A7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Q1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-0.0727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0.0061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0.0550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-0.2909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-0.2453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</w:tr>
      <w:tr w:rsidR="000200FA" w:rsidRPr="00DF5A7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DF5A7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Q2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0.1797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0.0667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-0.1721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-0.2152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</w:tr>
      <w:tr w:rsidR="000200FA" w:rsidRPr="00DF5A7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DF5A7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Q3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0.2261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0.0372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-0.1374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-0.2253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</w:tr>
      <w:tr w:rsidR="000200FA" w:rsidRPr="00DF5A7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DF5A7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Q4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0.2118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-0.0286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0.0072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-0.1501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-0.2284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</w:tr>
      <w:tr w:rsidR="000200FA" w:rsidRPr="00DF5A7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</w:tcPr>
          <w:p w:rsidR="000200FA" w:rsidRPr="00DF5A75" w:rsidRDefault="000200FA" w:rsidP="008A4A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00FA" w:rsidRPr="00DF5A7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DF5A7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Q1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0.2147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-0.1082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-0.1561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-0.2534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</w:tr>
      <w:tr w:rsidR="000200FA" w:rsidRPr="00DF5A7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DF5A7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Q2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0.2371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-0.0756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-0.1501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-0.2026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</w:tr>
      <w:tr w:rsidR="000200FA" w:rsidRPr="00DF5A7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DF5A7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Q3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0.2200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-0.0669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-0.1438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-0.1986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</w:tr>
      <w:tr w:rsidR="000200FA" w:rsidRPr="00DF5A7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DF5A7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Q4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0.2451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-0.0832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-0.1414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-0.2116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</w:tr>
      <w:tr w:rsidR="000200FA" w:rsidRPr="00DF5A7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</w:tcPr>
          <w:p w:rsidR="000200FA" w:rsidRPr="00DF5A75" w:rsidRDefault="000200FA" w:rsidP="008A4A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00FA" w:rsidRPr="00DF5A7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DF5A7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Q1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0.3100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0.0833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-0.1399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-0.2158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</w:tr>
      <w:tr w:rsidR="000200FA" w:rsidRPr="00DF5A7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DF5A7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Q2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0.3036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0.0369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-0.1532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-0.2304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</w:tr>
      <w:tr w:rsidR="000200FA" w:rsidRPr="00DF5A7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DF5A7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Q3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0.2475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-0.0028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0.7936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-0.1769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-0.2476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</w:tr>
      <w:tr w:rsidR="000200FA" w:rsidRPr="00DF5A7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DF5A7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Q4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0.1692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-0.0636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-0.2074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-0.3121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</w:tr>
      <w:tr w:rsidR="000200FA" w:rsidRPr="00DF5A7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</w:tcPr>
          <w:p w:rsidR="000200FA" w:rsidRPr="00DF5A75" w:rsidRDefault="000200FA" w:rsidP="008A4A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00FA" w:rsidRPr="00DF5A7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DF5A7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Q1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0.0952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-0.1424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-0.2741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-0.3572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</w:tr>
      <w:tr w:rsidR="000200FA" w:rsidRPr="00DF5A7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DF5A7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Q2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0.0892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-0.1580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-0.2827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-0.3746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</w:tr>
      <w:tr w:rsidR="000200FA" w:rsidRPr="00DF5A7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DF5A7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Q3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0.9831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-0.2810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-0.3562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-0.4746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</w:tr>
      <w:tr w:rsidR="000200FA" w:rsidRPr="00DF5A75" w:rsidTr="008A4A94">
        <w:trPr>
          <w:trHeight w:val="259"/>
        </w:trPr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FA" w:rsidRPr="00DF5A7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Q4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-0.1773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-0.4844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-0.3972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-0.5384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7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</w:tr>
    </w:tbl>
    <w:p w:rsidR="000200FA" w:rsidRPr="00A54965" w:rsidRDefault="000200FA" w:rsidP="000200FA">
      <w:pPr>
        <w:spacing w:after="0" w:line="480" w:lineRule="auto"/>
        <w:rPr>
          <w:rFonts w:eastAsia="Times New Roman"/>
          <w:color w:val="000000"/>
        </w:rPr>
      </w:pPr>
    </w:p>
    <w:p w:rsidR="000200FA" w:rsidRPr="00A54965" w:rsidRDefault="000200FA" w:rsidP="000200FA">
      <w:pPr>
        <w:spacing w:after="0" w:line="480" w:lineRule="auto"/>
        <w:rPr>
          <w:rFonts w:eastAsia="Times New Roman"/>
          <w:color w:val="000000"/>
        </w:rPr>
      </w:pPr>
      <w:r w:rsidRPr="00DB5F50">
        <w:rPr>
          <w:rFonts w:eastAsia="Times New Roman"/>
          <w:i/>
          <w:color w:val="000000"/>
        </w:rPr>
        <w:t>Note:</w:t>
      </w:r>
      <w:r>
        <w:rPr>
          <w:rFonts w:eastAsia="Times New Roman"/>
          <w:color w:val="000000"/>
        </w:rPr>
        <w:t xml:space="preserve"> </w:t>
      </w:r>
      <w:r w:rsidRPr="00A54965">
        <w:rPr>
          <w:rFonts w:eastAsia="Times New Roman"/>
          <w:color w:val="000000"/>
        </w:rPr>
        <w:t xml:space="preserve">Models were adjusted for age, </w:t>
      </w:r>
      <w:r>
        <w:rPr>
          <w:rFonts w:eastAsia="Times New Roman"/>
          <w:color w:val="000000"/>
        </w:rPr>
        <w:t>sex</w:t>
      </w:r>
      <w:r w:rsidRPr="00A54965">
        <w:rPr>
          <w:rFonts w:eastAsia="Times New Roman"/>
          <w:color w:val="000000"/>
        </w:rPr>
        <w:t xml:space="preserve">, race, </w:t>
      </w:r>
      <w:r>
        <w:rPr>
          <w:rFonts w:eastAsia="Times New Roman"/>
          <w:color w:val="000000"/>
        </w:rPr>
        <w:t>dialysis duration</w:t>
      </w:r>
      <w:r w:rsidRPr="00A54965">
        <w:rPr>
          <w:rFonts w:eastAsia="Times New Roman"/>
          <w:color w:val="000000"/>
        </w:rPr>
        <w:t>, and primary cause of ESRD.</w:t>
      </w:r>
      <w:r>
        <w:rPr>
          <w:rFonts w:eastAsia="Times New Roman"/>
          <w:color w:val="000000"/>
        </w:rPr>
        <w:t xml:space="preserve"> Q</w:t>
      </w:r>
      <w:r w:rsidRPr="00A54965">
        <w:rPr>
          <w:rFonts w:eastAsia="Times New Roman"/>
          <w:color w:val="000000"/>
        </w:rPr>
        <w:t xml:space="preserve">uarter </w:t>
      </w:r>
      <w:r>
        <w:rPr>
          <w:rFonts w:eastAsia="Times New Roman"/>
          <w:color w:val="000000"/>
        </w:rPr>
        <w:t xml:space="preserve">1 </w:t>
      </w:r>
      <w:r w:rsidRPr="00A54965">
        <w:rPr>
          <w:rFonts w:eastAsia="Times New Roman"/>
          <w:color w:val="000000"/>
        </w:rPr>
        <w:t>of 2007 cohort is the referent level for model outcomes includ</w:t>
      </w:r>
      <w:r>
        <w:rPr>
          <w:rFonts w:eastAsia="Times New Roman"/>
          <w:color w:val="000000"/>
        </w:rPr>
        <w:t>ing</w:t>
      </w:r>
      <w:r w:rsidRPr="00A54965">
        <w:rPr>
          <w:rFonts w:eastAsia="Times New Roman"/>
          <w:color w:val="000000"/>
        </w:rPr>
        <w:t xml:space="preserve"> ESA use and EPO dose.</w:t>
      </w:r>
    </w:p>
    <w:p w:rsidR="000200FA" w:rsidRPr="00A54965" w:rsidRDefault="000200FA" w:rsidP="000200FA">
      <w:pPr>
        <w:spacing w:after="0" w:line="480" w:lineRule="auto"/>
        <w:rPr>
          <w:rFonts w:eastAsia="Times New Roman"/>
          <w:color w:val="000000"/>
        </w:rPr>
      </w:pPr>
      <w:r w:rsidRPr="00A54965">
        <w:rPr>
          <w:rFonts w:eastAsia="Times New Roman"/>
          <w:color w:val="000000"/>
        </w:rPr>
        <w:t xml:space="preserve">EPO, </w:t>
      </w:r>
      <w:proofErr w:type="spellStart"/>
      <w:r w:rsidRPr="00A54965">
        <w:rPr>
          <w:rFonts w:eastAsia="Times New Roman"/>
          <w:color w:val="000000"/>
        </w:rPr>
        <w:t>epoietin</w:t>
      </w:r>
      <w:proofErr w:type="spellEnd"/>
      <w:r w:rsidRPr="00A54965">
        <w:rPr>
          <w:rFonts w:eastAsia="Times New Roman"/>
          <w:color w:val="000000"/>
        </w:rPr>
        <w:t>-α;</w:t>
      </w:r>
      <w:r>
        <w:rPr>
          <w:rFonts w:eastAsia="Times New Roman"/>
          <w:color w:val="000000"/>
        </w:rPr>
        <w:t xml:space="preserve"> </w:t>
      </w:r>
      <w:r w:rsidRPr="00A54965">
        <w:rPr>
          <w:rFonts w:eastAsia="Times New Roman"/>
          <w:color w:val="000000"/>
        </w:rPr>
        <w:t>ESA</w:t>
      </w:r>
      <w:r>
        <w:rPr>
          <w:rFonts w:eastAsia="Times New Roman"/>
          <w:color w:val="000000"/>
        </w:rPr>
        <w:t>,</w:t>
      </w:r>
      <w:r w:rsidRPr="00A54965">
        <w:rPr>
          <w:rFonts w:eastAsia="Times New Roman"/>
          <w:color w:val="000000"/>
        </w:rPr>
        <w:t xml:space="preserve"> erythropoiesis stimulating agents; HD, hemodialysis; PD, peritoneal dialysis</w:t>
      </w:r>
      <w:r>
        <w:rPr>
          <w:rFonts w:eastAsia="Times New Roman"/>
          <w:color w:val="000000"/>
        </w:rPr>
        <w:t>.</w:t>
      </w:r>
    </w:p>
    <w:p w:rsidR="000200FA" w:rsidRPr="00A54965" w:rsidRDefault="000200FA" w:rsidP="000200FA">
      <w:pPr>
        <w:spacing w:after="0" w:line="480" w:lineRule="auto"/>
      </w:pPr>
      <w:r w:rsidRPr="00A54965">
        <w:br w:type="page"/>
      </w:r>
    </w:p>
    <w:p w:rsidR="000200FA" w:rsidRDefault="000200FA" w:rsidP="000200FA">
      <w:pPr>
        <w:spacing w:after="0" w:line="480" w:lineRule="auto"/>
      </w:pPr>
      <w:r w:rsidRPr="005A1182">
        <w:lastRenderedPageBreak/>
        <w:t>Table S</w:t>
      </w:r>
      <w:r>
        <w:t>4</w:t>
      </w:r>
      <w:r w:rsidRPr="005A1182">
        <w:t>.</w:t>
      </w:r>
      <w:r>
        <w:t xml:space="preserve"> Model coefficient estimate for each outcome, EPO administrations and IV iron use</w:t>
      </w:r>
    </w:p>
    <w:tbl>
      <w:tblPr>
        <w:tblW w:w="9873" w:type="dxa"/>
        <w:tblInd w:w="93" w:type="dxa"/>
        <w:tblLook w:val="04A0" w:firstRow="1" w:lastRow="0" w:firstColumn="1" w:lastColumn="0" w:noHBand="0" w:noVBand="1"/>
      </w:tblPr>
      <w:tblGrid>
        <w:gridCol w:w="1545"/>
        <w:gridCol w:w="1116"/>
        <w:gridCol w:w="966"/>
        <w:gridCol w:w="1116"/>
        <w:gridCol w:w="966"/>
        <w:gridCol w:w="1116"/>
        <w:gridCol w:w="966"/>
        <w:gridCol w:w="1116"/>
        <w:gridCol w:w="966"/>
      </w:tblGrid>
      <w:tr w:rsidR="000200FA" w:rsidRPr="004176BC" w:rsidTr="008A4A94">
        <w:trPr>
          <w:trHeight w:val="259"/>
        </w:trPr>
        <w:tc>
          <w:tcPr>
            <w:tcW w:w="15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FA" w:rsidRPr="004176BC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</w:p>
        </w:tc>
        <w:tc>
          <w:tcPr>
            <w:tcW w:w="41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4176BC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4176BC">
              <w:rPr>
                <w:rFonts w:eastAsia="Times New Roman"/>
                <w:color w:val="000000"/>
                <w:sz w:val="20"/>
                <w:szCs w:val="18"/>
              </w:rPr>
              <w:t xml:space="preserve">EPO </w:t>
            </w:r>
            <w:r>
              <w:rPr>
                <w:rFonts w:eastAsia="Times New Roman"/>
                <w:color w:val="000000"/>
                <w:sz w:val="20"/>
                <w:szCs w:val="18"/>
              </w:rPr>
              <w:t>Administration</w:t>
            </w:r>
          </w:p>
        </w:tc>
        <w:tc>
          <w:tcPr>
            <w:tcW w:w="41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4176BC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4176BC">
              <w:rPr>
                <w:rFonts w:eastAsia="Times New Roman"/>
                <w:color w:val="000000"/>
                <w:sz w:val="20"/>
                <w:szCs w:val="18"/>
              </w:rPr>
              <w:t xml:space="preserve">IV </w:t>
            </w:r>
            <w:r>
              <w:rPr>
                <w:rFonts w:eastAsia="Times New Roman"/>
                <w:color w:val="000000"/>
                <w:sz w:val="20"/>
                <w:szCs w:val="18"/>
              </w:rPr>
              <w:t>Iron Use</w:t>
            </w:r>
          </w:p>
        </w:tc>
      </w:tr>
      <w:tr w:rsidR="000200FA" w:rsidRPr="004176BC" w:rsidTr="008A4A94">
        <w:trPr>
          <w:trHeight w:val="259"/>
        </w:trPr>
        <w:tc>
          <w:tcPr>
            <w:tcW w:w="1545" w:type="dxa"/>
            <w:shd w:val="clear" w:color="auto" w:fill="auto"/>
            <w:vAlign w:val="center"/>
            <w:hideMark/>
          </w:tcPr>
          <w:p w:rsidR="000200FA" w:rsidRPr="004176BC" w:rsidRDefault="000200FA" w:rsidP="008A4A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1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4176BC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4176BC">
              <w:rPr>
                <w:rFonts w:eastAsia="Times New Roman"/>
                <w:color w:val="000000"/>
                <w:sz w:val="20"/>
                <w:szCs w:val="18"/>
              </w:rPr>
              <w:t>PD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4176BC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4176BC">
              <w:rPr>
                <w:rFonts w:eastAsia="Times New Roman"/>
                <w:color w:val="000000"/>
                <w:sz w:val="20"/>
                <w:szCs w:val="18"/>
              </w:rPr>
              <w:t>HD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4176BC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4176BC">
              <w:rPr>
                <w:rFonts w:eastAsia="Times New Roman"/>
                <w:color w:val="000000"/>
                <w:sz w:val="20"/>
                <w:szCs w:val="18"/>
              </w:rPr>
              <w:t>PD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4176BC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4176BC">
              <w:rPr>
                <w:rFonts w:eastAsia="Times New Roman"/>
                <w:color w:val="000000"/>
                <w:sz w:val="20"/>
                <w:szCs w:val="18"/>
              </w:rPr>
              <w:t>HD</w:t>
            </w:r>
          </w:p>
        </w:tc>
      </w:tr>
      <w:tr w:rsidR="000200FA" w:rsidRPr="00DF5A75" w:rsidTr="008A4A94">
        <w:trPr>
          <w:trHeight w:val="259"/>
        </w:trPr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18"/>
              </w:rPr>
            </w:pPr>
            <w:r w:rsidRPr="004176BC">
              <w:rPr>
                <w:rFonts w:eastAsia="Times New Roman"/>
                <w:color w:val="000000"/>
                <w:sz w:val="20"/>
                <w:szCs w:val="18"/>
              </w:rPr>
              <w:t>Year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, </w:t>
            </w:r>
            <w:r w:rsidRPr="004176BC">
              <w:rPr>
                <w:rFonts w:eastAsia="Times New Roman"/>
                <w:color w:val="000000"/>
                <w:sz w:val="20"/>
                <w:szCs w:val="18"/>
              </w:rPr>
              <w:t>Quarter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Coefficient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i/>
                <w:iCs/>
                <w:color w:val="000000"/>
                <w:sz w:val="20"/>
                <w:szCs w:val="18"/>
              </w:rPr>
              <w:t>P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 xml:space="preserve"> Value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Coefficient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i/>
                <w:iCs/>
                <w:color w:val="000000"/>
                <w:sz w:val="20"/>
                <w:szCs w:val="18"/>
              </w:rPr>
              <w:t>P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 xml:space="preserve"> Value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Coefficient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i/>
                <w:iCs/>
                <w:color w:val="000000"/>
                <w:sz w:val="20"/>
                <w:szCs w:val="18"/>
              </w:rPr>
              <w:t>P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 xml:space="preserve"> Value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Coefficient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i/>
                <w:iCs/>
                <w:color w:val="000000"/>
                <w:sz w:val="20"/>
                <w:szCs w:val="18"/>
              </w:rPr>
              <w:t>P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 xml:space="preserve"> Value</w:t>
            </w:r>
          </w:p>
        </w:tc>
      </w:tr>
      <w:tr w:rsidR="000200FA" w:rsidRPr="00DF5A75" w:rsidTr="008A4A94">
        <w:trPr>
          <w:trHeight w:val="259"/>
        </w:trPr>
        <w:tc>
          <w:tcPr>
            <w:tcW w:w="15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00FA" w:rsidRPr="00DF5A75" w:rsidRDefault="000200FA" w:rsidP="008A4A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18"/>
              </w:rPr>
            </w:pPr>
            <w:r>
              <w:rPr>
                <w:rFonts w:eastAsia="Times New Roman"/>
                <w:color w:val="000000"/>
                <w:sz w:val="20"/>
                <w:szCs w:val="18"/>
              </w:rPr>
              <w:t>2007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</w:p>
        </w:tc>
      </w:tr>
      <w:tr w:rsidR="000200FA" w:rsidRPr="00DF5A75" w:rsidTr="008A4A94">
        <w:trPr>
          <w:trHeight w:val="259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0200FA" w:rsidRPr="00DF5A7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18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-0.0044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0.8784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-0.0419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</w:tr>
      <w:tr w:rsidR="000200FA" w:rsidRPr="00DF5A75" w:rsidTr="008A4A94">
        <w:trPr>
          <w:trHeight w:val="259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0200FA" w:rsidRPr="00DF5A7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18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0.0329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0.2521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-0.0177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0.0070</w:t>
            </w:r>
          </w:p>
        </w:tc>
      </w:tr>
      <w:tr w:rsidR="000200FA" w:rsidRPr="00DF5A75" w:rsidTr="008A4A94">
        <w:trPr>
          <w:trHeight w:val="259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0200FA" w:rsidRPr="00DF5A7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18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0.0845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0.0030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0.0146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0.0263</w:t>
            </w:r>
          </w:p>
        </w:tc>
      </w:tr>
      <w:tr w:rsidR="000200FA" w:rsidRPr="00DF5A75" w:rsidTr="008A4A94">
        <w:trPr>
          <w:trHeight w:val="259"/>
        </w:trPr>
        <w:tc>
          <w:tcPr>
            <w:tcW w:w="1545" w:type="dxa"/>
            <w:shd w:val="clear" w:color="auto" w:fill="auto"/>
            <w:noWrap/>
            <w:vAlign w:val="bottom"/>
          </w:tcPr>
          <w:p w:rsidR="000200FA" w:rsidRPr="00DF5A75" w:rsidRDefault="000200FA" w:rsidP="008A4A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18"/>
              </w:rPr>
            </w:pPr>
            <w:r>
              <w:rPr>
                <w:rFonts w:eastAsia="Times New Roman"/>
                <w:color w:val="000000"/>
                <w:sz w:val="20"/>
                <w:szCs w:val="18"/>
              </w:rPr>
              <w:t>2008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</w:p>
        </w:tc>
      </w:tr>
      <w:tr w:rsidR="000200FA" w:rsidRPr="00DF5A75" w:rsidTr="008A4A94">
        <w:trPr>
          <w:trHeight w:val="259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0200FA" w:rsidRPr="00DF5A7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18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0.1352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0.1209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</w:tr>
      <w:tr w:rsidR="000200FA" w:rsidRPr="00DF5A75" w:rsidTr="008A4A94">
        <w:trPr>
          <w:trHeight w:val="259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0200FA" w:rsidRPr="00DF5A7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18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0.1510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0.0211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0.1752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0.1289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</w:tr>
      <w:tr w:rsidR="000200FA" w:rsidRPr="00DF5A75" w:rsidTr="008A4A94">
        <w:trPr>
          <w:trHeight w:val="259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0200FA" w:rsidRPr="00DF5A7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18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0.2033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0.0131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0.1691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0.0980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</w:tr>
      <w:tr w:rsidR="000200FA" w:rsidRPr="00DF5A75" w:rsidTr="008A4A94">
        <w:trPr>
          <w:trHeight w:val="259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0200FA" w:rsidRPr="00DF5A7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18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0.1941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0.0141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0.1235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0.0463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</w:tr>
      <w:tr w:rsidR="000200FA" w:rsidRPr="00DF5A75" w:rsidTr="008A4A94">
        <w:trPr>
          <w:trHeight w:val="259"/>
        </w:trPr>
        <w:tc>
          <w:tcPr>
            <w:tcW w:w="1545" w:type="dxa"/>
            <w:shd w:val="clear" w:color="auto" w:fill="auto"/>
            <w:noWrap/>
            <w:vAlign w:val="bottom"/>
          </w:tcPr>
          <w:p w:rsidR="000200FA" w:rsidRPr="00DF5A75" w:rsidRDefault="000200FA" w:rsidP="008A4A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18"/>
              </w:rPr>
            </w:pPr>
            <w:r>
              <w:rPr>
                <w:rFonts w:eastAsia="Times New Roman"/>
                <w:color w:val="000000"/>
                <w:sz w:val="20"/>
                <w:szCs w:val="18"/>
              </w:rPr>
              <w:t>2009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</w:p>
        </w:tc>
      </w:tr>
      <w:tr w:rsidR="000200FA" w:rsidRPr="00DF5A75" w:rsidTr="008A4A94">
        <w:trPr>
          <w:trHeight w:val="259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0200FA" w:rsidRPr="00DF5A7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18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0.1855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-0.0210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0.1885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0.0824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</w:tr>
      <w:tr w:rsidR="000200FA" w:rsidRPr="00DF5A75" w:rsidTr="008A4A94">
        <w:trPr>
          <w:trHeight w:val="259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0200FA" w:rsidRPr="00DF5A7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18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0.1905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0.0104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0.2313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0.1494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</w:tr>
      <w:tr w:rsidR="000200FA" w:rsidRPr="00DF5A75" w:rsidTr="008A4A94">
        <w:trPr>
          <w:trHeight w:val="259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0200FA" w:rsidRPr="00DF5A7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18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0.1913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0.0007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0.6101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0.2659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0.1504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</w:tr>
      <w:tr w:rsidR="000200FA" w:rsidRPr="00DF5A75" w:rsidTr="008A4A94">
        <w:trPr>
          <w:trHeight w:val="259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0200FA" w:rsidRPr="00DF5A7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18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0.1834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-0.0135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0.2298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0.1094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</w:tr>
      <w:tr w:rsidR="000200FA" w:rsidRPr="00DF5A75" w:rsidTr="008A4A94">
        <w:trPr>
          <w:trHeight w:val="259"/>
        </w:trPr>
        <w:tc>
          <w:tcPr>
            <w:tcW w:w="1545" w:type="dxa"/>
            <w:shd w:val="clear" w:color="auto" w:fill="auto"/>
            <w:noWrap/>
            <w:vAlign w:val="bottom"/>
          </w:tcPr>
          <w:p w:rsidR="000200FA" w:rsidRPr="00DF5A75" w:rsidRDefault="000200FA" w:rsidP="008A4A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18"/>
              </w:rPr>
            </w:pPr>
            <w:r>
              <w:rPr>
                <w:rFonts w:eastAsia="Times New Roman"/>
                <w:color w:val="000000"/>
                <w:sz w:val="20"/>
                <w:szCs w:val="18"/>
              </w:rPr>
              <w:t>2010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</w:p>
        </w:tc>
      </w:tr>
      <w:tr w:rsidR="000200FA" w:rsidRPr="00DF5A75" w:rsidTr="008A4A94">
        <w:trPr>
          <w:trHeight w:val="259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0200FA" w:rsidRPr="00DF5A7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18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0.1671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-0.0280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0.3071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0.1668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</w:tr>
      <w:tr w:rsidR="000200FA" w:rsidRPr="00DF5A75" w:rsidTr="008A4A94">
        <w:trPr>
          <w:trHeight w:val="259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0200FA" w:rsidRPr="00DF5A7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18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0.1727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-0.0348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0.3560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0.1416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</w:tr>
      <w:tr w:rsidR="000200FA" w:rsidRPr="00DF5A75" w:rsidTr="008A4A94">
        <w:trPr>
          <w:trHeight w:val="259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0200FA" w:rsidRPr="00DF5A7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18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0.1620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-0.0510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0.3599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0.1180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</w:tr>
      <w:tr w:rsidR="000200FA" w:rsidRPr="00DF5A75" w:rsidTr="008A4A94">
        <w:trPr>
          <w:trHeight w:val="259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0200FA" w:rsidRPr="00DF5A7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18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0.1315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-0.0993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0.4466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0.2072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</w:tr>
      <w:tr w:rsidR="000200FA" w:rsidRPr="00DF5A75" w:rsidTr="008A4A94">
        <w:trPr>
          <w:trHeight w:val="259"/>
        </w:trPr>
        <w:tc>
          <w:tcPr>
            <w:tcW w:w="1545" w:type="dxa"/>
            <w:shd w:val="clear" w:color="auto" w:fill="auto"/>
            <w:noWrap/>
            <w:vAlign w:val="bottom"/>
          </w:tcPr>
          <w:p w:rsidR="000200FA" w:rsidRPr="00DF5A75" w:rsidRDefault="000200FA" w:rsidP="008A4A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18"/>
              </w:rPr>
            </w:pPr>
            <w:r>
              <w:rPr>
                <w:rFonts w:eastAsia="Times New Roman"/>
                <w:color w:val="000000"/>
                <w:sz w:val="20"/>
                <w:szCs w:val="18"/>
              </w:rPr>
              <w:t>2011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</w:p>
        </w:tc>
      </w:tr>
      <w:tr w:rsidR="000200FA" w:rsidRPr="00DF5A75" w:rsidTr="008A4A94">
        <w:trPr>
          <w:trHeight w:val="259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0200FA" w:rsidRPr="00DF5A7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18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0.0650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-0.1350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0.6302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0.4464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</w:tr>
      <w:tr w:rsidR="000200FA" w:rsidRPr="00DF5A75" w:rsidTr="008A4A94">
        <w:trPr>
          <w:trHeight w:val="259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0200FA" w:rsidRPr="00DF5A7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18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0.0622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-0.1364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0.8091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0.5748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</w:tr>
      <w:tr w:rsidR="000200FA" w:rsidRPr="00DF5A75" w:rsidTr="008A4A94">
        <w:trPr>
          <w:trHeight w:val="259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0200FA" w:rsidRPr="00DF5A7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18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-0.0349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0.0003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-0.2156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0.9714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0.4320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</w:tr>
      <w:tr w:rsidR="000200FA" w:rsidRPr="00DF5A75" w:rsidTr="008A4A94">
        <w:trPr>
          <w:trHeight w:val="259"/>
        </w:trPr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FA" w:rsidRPr="00DF5A7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18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Q4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-0.0778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-0.1927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0.8534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0.2260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DF5A7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r w:rsidRPr="00DF5A75">
              <w:rPr>
                <w:rFonts w:eastAsia="Times New Roman"/>
                <w:color w:val="000000"/>
                <w:sz w:val="20"/>
                <w:szCs w:val="18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0</w:t>
            </w:r>
            <w:r w:rsidRPr="00DF5A75">
              <w:rPr>
                <w:rFonts w:eastAsia="Times New Roman"/>
                <w:color w:val="000000"/>
                <w:sz w:val="20"/>
                <w:szCs w:val="18"/>
              </w:rPr>
              <w:t>.0001</w:t>
            </w:r>
          </w:p>
        </w:tc>
      </w:tr>
    </w:tbl>
    <w:p w:rsidR="000200FA" w:rsidRPr="004176BC" w:rsidRDefault="000200FA" w:rsidP="000200FA">
      <w:pPr>
        <w:spacing w:after="0" w:line="480" w:lineRule="auto"/>
        <w:rPr>
          <w:rFonts w:eastAsia="Times New Roman"/>
          <w:color w:val="000000"/>
        </w:rPr>
      </w:pPr>
    </w:p>
    <w:p w:rsidR="000200FA" w:rsidRPr="004176BC" w:rsidRDefault="000200FA" w:rsidP="000200FA">
      <w:pPr>
        <w:spacing w:after="0" w:line="480" w:lineRule="auto"/>
        <w:rPr>
          <w:rFonts w:eastAsia="Times New Roman"/>
          <w:color w:val="000000"/>
        </w:rPr>
      </w:pPr>
      <w:r w:rsidRPr="004176BC">
        <w:rPr>
          <w:rFonts w:eastAsia="Times New Roman"/>
          <w:i/>
          <w:color w:val="000000"/>
        </w:rPr>
        <w:t>Note:</w:t>
      </w:r>
      <w:r w:rsidRPr="004176BC">
        <w:rPr>
          <w:rFonts w:eastAsia="Times New Roman"/>
          <w:color w:val="000000"/>
        </w:rPr>
        <w:t xml:space="preserve"> Models were adjusted for age, </w:t>
      </w:r>
      <w:r>
        <w:rPr>
          <w:rFonts w:eastAsia="Times New Roman"/>
          <w:color w:val="000000"/>
        </w:rPr>
        <w:t>sex</w:t>
      </w:r>
      <w:r w:rsidRPr="004176BC">
        <w:rPr>
          <w:rFonts w:eastAsia="Times New Roman"/>
          <w:color w:val="000000"/>
        </w:rPr>
        <w:t xml:space="preserve">, race, </w:t>
      </w:r>
      <w:r>
        <w:rPr>
          <w:rFonts w:eastAsia="Times New Roman"/>
          <w:color w:val="000000"/>
        </w:rPr>
        <w:t>dialysis duration</w:t>
      </w:r>
      <w:r w:rsidRPr="004176BC">
        <w:rPr>
          <w:rFonts w:eastAsia="Times New Roman"/>
          <w:color w:val="000000"/>
        </w:rPr>
        <w:t>, and primary cause of ESRD.</w:t>
      </w:r>
      <w:r>
        <w:rPr>
          <w:rFonts w:eastAsia="Times New Roman"/>
          <w:color w:val="000000"/>
        </w:rPr>
        <w:t xml:space="preserve"> Quarter 1 </w:t>
      </w:r>
      <w:r w:rsidRPr="004176BC">
        <w:rPr>
          <w:rFonts w:eastAsia="Times New Roman"/>
          <w:color w:val="000000"/>
        </w:rPr>
        <w:t>of 2007 cohort is the referent level for model outcomes includ</w:t>
      </w:r>
      <w:r>
        <w:rPr>
          <w:rFonts w:eastAsia="Times New Roman"/>
          <w:color w:val="000000"/>
        </w:rPr>
        <w:t>ing</w:t>
      </w:r>
      <w:r w:rsidRPr="004176BC">
        <w:rPr>
          <w:rFonts w:eastAsia="Times New Roman"/>
          <w:color w:val="000000"/>
        </w:rPr>
        <w:t xml:space="preserve"> IV iron use.</w:t>
      </w:r>
      <w:r>
        <w:rPr>
          <w:rFonts w:eastAsia="Times New Roman"/>
          <w:color w:val="000000"/>
        </w:rPr>
        <w:t xml:space="preserve"> Quarter 1 </w:t>
      </w:r>
      <w:r w:rsidRPr="004176BC">
        <w:rPr>
          <w:rFonts w:eastAsia="Times New Roman"/>
          <w:color w:val="000000"/>
        </w:rPr>
        <w:t>of 2008 cohort is the referent level for model outcomes includ</w:t>
      </w:r>
      <w:r>
        <w:rPr>
          <w:rFonts w:eastAsia="Times New Roman"/>
          <w:color w:val="000000"/>
        </w:rPr>
        <w:t>ing</w:t>
      </w:r>
      <w:r w:rsidRPr="004176BC">
        <w:rPr>
          <w:rFonts w:eastAsia="Times New Roman"/>
          <w:color w:val="000000"/>
        </w:rPr>
        <w:t xml:space="preserve"> EPO administration.</w:t>
      </w:r>
    </w:p>
    <w:p w:rsidR="000200FA" w:rsidRPr="004176BC" w:rsidRDefault="000200FA" w:rsidP="000200FA">
      <w:pPr>
        <w:spacing w:after="0" w:line="480" w:lineRule="auto"/>
        <w:rPr>
          <w:rFonts w:eastAsia="Times New Roman"/>
          <w:color w:val="000000"/>
        </w:rPr>
      </w:pPr>
      <w:r w:rsidRPr="004176BC">
        <w:rPr>
          <w:rFonts w:eastAsia="Times New Roman"/>
          <w:color w:val="000000"/>
        </w:rPr>
        <w:t xml:space="preserve"> EPO, </w:t>
      </w:r>
      <w:proofErr w:type="spellStart"/>
      <w:r w:rsidRPr="004176BC">
        <w:rPr>
          <w:rFonts w:eastAsia="Times New Roman"/>
          <w:color w:val="000000"/>
        </w:rPr>
        <w:t>epoietin</w:t>
      </w:r>
      <w:proofErr w:type="spellEnd"/>
      <w:r w:rsidRPr="004176BC">
        <w:rPr>
          <w:rFonts w:eastAsia="Times New Roman"/>
          <w:color w:val="000000"/>
        </w:rPr>
        <w:t xml:space="preserve">-α; IV, intravenous; </w:t>
      </w:r>
      <w:r>
        <w:rPr>
          <w:rFonts w:eastAsia="Times New Roman"/>
          <w:color w:val="000000"/>
        </w:rPr>
        <w:t xml:space="preserve">HD, hemodialysis; </w:t>
      </w:r>
      <w:r w:rsidRPr="004176BC">
        <w:rPr>
          <w:rFonts w:eastAsia="Times New Roman"/>
          <w:color w:val="000000"/>
        </w:rPr>
        <w:t>PD, peritoneal dialysis</w:t>
      </w:r>
      <w:r>
        <w:rPr>
          <w:rFonts w:eastAsia="Times New Roman"/>
          <w:color w:val="000000"/>
        </w:rPr>
        <w:t>.</w:t>
      </w:r>
    </w:p>
    <w:p w:rsidR="000200FA" w:rsidRPr="004176BC" w:rsidRDefault="000200FA" w:rsidP="000200FA">
      <w:pPr>
        <w:spacing w:after="0" w:line="480" w:lineRule="auto"/>
        <w:rPr>
          <w:rFonts w:eastAsia="Times New Roman"/>
          <w:color w:val="000000"/>
        </w:rPr>
      </w:pPr>
    </w:p>
    <w:p w:rsidR="000200FA" w:rsidRPr="004176BC" w:rsidRDefault="000200FA" w:rsidP="000200FA">
      <w:pPr>
        <w:spacing w:after="0" w:line="480" w:lineRule="auto"/>
      </w:pPr>
      <w:r w:rsidRPr="004176BC">
        <w:br w:type="page"/>
      </w:r>
    </w:p>
    <w:p w:rsidR="000200FA" w:rsidRDefault="000200FA" w:rsidP="000200FA">
      <w:pPr>
        <w:spacing w:after="0" w:line="480" w:lineRule="auto"/>
      </w:pPr>
      <w:r w:rsidRPr="005A1182">
        <w:lastRenderedPageBreak/>
        <w:t>Table S</w:t>
      </w:r>
      <w:r>
        <w:t>5</w:t>
      </w:r>
      <w:r w:rsidRPr="005A1182">
        <w:t>.</w:t>
      </w:r>
      <w:r>
        <w:t xml:space="preserve"> Model coefficient estimate for each outcome, IV iron dose and IV iron administration</w:t>
      </w:r>
    </w:p>
    <w:tbl>
      <w:tblPr>
        <w:tblW w:w="9993" w:type="dxa"/>
        <w:tblInd w:w="93" w:type="dxa"/>
        <w:tblLook w:val="04A0" w:firstRow="1" w:lastRow="0" w:firstColumn="1" w:lastColumn="0" w:noHBand="0" w:noVBand="1"/>
      </w:tblPr>
      <w:tblGrid>
        <w:gridCol w:w="1365"/>
        <w:gridCol w:w="1416"/>
        <w:gridCol w:w="966"/>
        <w:gridCol w:w="1116"/>
        <w:gridCol w:w="966"/>
        <w:gridCol w:w="1116"/>
        <w:gridCol w:w="966"/>
        <w:gridCol w:w="1116"/>
        <w:gridCol w:w="966"/>
      </w:tblGrid>
      <w:tr w:rsidR="000200FA" w:rsidRPr="00E27067" w:rsidTr="008A4A94">
        <w:trPr>
          <w:trHeight w:val="259"/>
        </w:trPr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FA" w:rsidRPr="00E27067" w:rsidRDefault="000200FA" w:rsidP="008A4A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4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E2706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067">
              <w:rPr>
                <w:rFonts w:eastAsia="Times New Roman"/>
                <w:color w:val="000000"/>
                <w:sz w:val="20"/>
                <w:szCs w:val="20"/>
              </w:rPr>
              <w:t xml:space="preserve">IV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Pr="00E27067">
              <w:rPr>
                <w:rFonts w:eastAsia="Times New Roman"/>
                <w:color w:val="000000"/>
                <w:sz w:val="20"/>
                <w:szCs w:val="20"/>
              </w:rPr>
              <w:t xml:space="preserve">ron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E27067">
              <w:rPr>
                <w:rFonts w:eastAsia="Times New Roman"/>
                <w:color w:val="000000"/>
                <w:sz w:val="20"/>
                <w:szCs w:val="20"/>
              </w:rPr>
              <w:t>ose</w:t>
            </w:r>
          </w:p>
        </w:tc>
        <w:tc>
          <w:tcPr>
            <w:tcW w:w="41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E2706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067">
              <w:rPr>
                <w:rFonts w:eastAsia="Times New Roman"/>
                <w:color w:val="000000"/>
                <w:sz w:val="20"/>
                <w:szCs w:val="20"/>
              </w:rPr>
              <w:t xml:space="preserve">IV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Pr="00E27067">
              <w:rPr>
                <w:rFonts w:eastAsia="Times New Roman"/>
                <w:color w:val="000000"/>
                <w:sz w:val="20"/>
                <w:szCs w:val="20"/>
              </w:rPr>
              <w:t xml:space="preserve">ron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E27067">
              <w:rPr>
                <w:rFonts w:eastAsia="Times New Roman"/>
                <w:color w:val="000000"/>
                <w:sz w:val="20"/>
                <w:szCs w:val="20"/>
              </w:rPr>
              <w:t>dmin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istration</w:t>
            </w:r>
          </w:p>
        </w:tc>
      </w:tr>
      <w:tr w:rsidR="000200FA" w:rsidRPr="00E27067" w:rsidTr="008A4A94">
        <w:trPr>
          <w:trHeight w:val="259"/>
        </w:trPr>
        <w:tc>
          <w:tcPr>
            <w:tcW w:w="1365" w:type="dxa"/>
            <w:shd w:val="clear" w:color="auto" w:fill="auto"/>
            <w:vAlign w:val="center"/>
            <w:hideMark/>
          </w:tcPr>
          <w:p w:rsidR="000200FA" w:rsidRPr="00E27067" w:rsidRDefault="000200FA" w:rsidP="008A4A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E2706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067">
              <w:rPr>
                <w:rFonts w:eastAsia="Times New Roman"/>
                <w:color w:val="000000"/>
                <w:sz w:val="20"/>
                <w:szCs w:val="20"/>
              </w:rPr>
              <w:t>PD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E2706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067">
              <w:rPr>
                <w:rFonts w:eastAsia="Times New Roman"/>
                <w:color w:val="000000"/>
                <w:sz w:val="20"/>
                <w:szCs w:val="20"/>
              </w:rPr>
              <w:t>HD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E2706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067">
              <w:rPr>
                <w:rFonts w:eastAsia="Times New Roman"/>
                <w:color w:val="000000"/>
                <w:sz w:val="20"/>
                <w:szCs w:val="20"/>
              </w:rPr>
              <w:t>PD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E27067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067">
              <w:rPr>
                <w:rFonts w:eastAsia="Times New Roman"/>
                <w:color w:val="000000"/>
                <w:sz w:val="20"/>
                <w:szCs w:val="20"/>
              </w:rPr>
              <w:t>HD</w:t>
            </w:r>
          </w:p>
        </w:tc>
      </w:tr>
      <w:tr w:rsidR="000200FA" w:rsidRPr="001D5AA5" w:rsidTr="008A4A94">
        <w:trPr>
          <w:trHeight w:val="259"/>
        </w:trPr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27067">
              <w:rPr>
                <w:rFonts w:eastAsia="Times New Roman"/>
                <w:color w:val="000000"/>
                <w:sz w:val="20"/>
                <w:szCs w:val="20"/>
              </w:rPr>
              <w:t>Year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E27067">
              <w:rPr>
                <w:rFonts w:eastAsia="Times New Roman"/>
                <w:color w:val="000000"/>
                <w:sz w:val="20"/>
                <w:szCs w:val="20"/>
              </w:rPr>
              <w:t>Quarter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 xml:space="preserve"> Value</w:t>
            </w:r>
          </w:p>
        </w:tc>
      </w:tr>
      <w:tr w:rsidR="000200FA" w:rsidRPr="001D5AA5" w:rsidTr="008A4A94">
        <w:trPr>
          <w:trHeight w:val="259"/>
        </w:trPr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00FA" w:rsidRPr="001D5AA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1D5AA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-0.0325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0.0993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-0.0161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00FA" w:rsidRPr="001D5AA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1D5AA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-0.0661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-0.0152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00FA" w:rsidRPr="001D5AA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1D5AA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-0.0590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0.0197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00FA" w:rsidRPr="001D5AA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00FA" w:rsidRPr="001D5AA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1D5AA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-0.0932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0.3255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00FA" w:rsidRPr="001D5AA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1D5AA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-0.0941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0.0122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0.0251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0.1190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0.0122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</w:tr>
      <w:tr w:rsidR="000200FA" w:rsidRPr="001D5AA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1D5AA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-0.1426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0.4078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0.0091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0.5716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0.0062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0.0063</w:t>
            </w:r>
          </w:p>
        </w:tc>
      </w:tr>
      <w:tr w:rsidR="000200FA" w:rsidRPr="001D5AA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1D5AA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-0.1314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0.0051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0.0404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0.0116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0.4740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0.0033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0.1426</w:t>
            </w:r>
          </w:p>
        </w:tc>
      </w:tr>
      <w:tr w:rsidR="000200FA" w:rsidRPr="001D5AA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00FA" w:rsidRPr="001D5AA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1D5AA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-0.0759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0.0078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0.0507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-0.0040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0.0772</w:t>
            </w:r>
          </w:p>
        </w:tc>
      </w:tr>
      <w:tr w:rsidR="000200FA" w:rsidRPr="001D5AA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1D5AA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-0.0587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0.0482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0.0463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0.0037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0.0352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</w:tr>
      <w:tr w:rsidR="000200FA" w:rsidRPr="001D5AA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1D5AA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-0.0784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0.0295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0.0425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0.0074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0.0150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</w:tr>
      <w:tr w:rsidR="000200FA" w:rsidRPr="001D5AA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1D5AA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-0.1196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0.0319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-0.0166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0.2949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0.0124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</w:tr>
      <w:tr w:rsidR="000200FA" w:rsidRPr="001D5AA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00FA" w:rsidRPr="001D5AA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1D5AA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-0.0138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0.4581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0.0526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-0.0108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0.4913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-0.0071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0.0016</w:t>
            </w:r>
          </w:p>
        </w:tc>
      </w:tr>
      <w:tr w:rsidR="000200FA" w:rsidRPr="001D5AA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1D5AA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0.0136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0.4566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0.0499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-0.0127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0.4099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-0.0192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</w:tr>
      <w:tr w:rsidR="000200FA" w:rsidRPr="001D5AA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1D5AA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-0.0198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0.2787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0.0231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-0.0479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-0.0443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</w:tr>
      <w:tr w:rsidR="000200FA" w:rsidRPr="001D5AA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1D5AA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0.0217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0.2259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0.0528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-0.0186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0.2179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-0.0118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</w:tr>
      <w:tr w:rsidR="000200FA" w:rsidRPr="001D5AA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00FA" w:rsidRPr="001D5AA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1D5AA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-0.0152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0.3843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-0.0219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0.0145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0.3232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0.0299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</w:tr>
      <w:tr w:rsidR="000200FA" w:rsidRPr="001D5AA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1D5AA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-0.0130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0.4454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-0.0222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0.0107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0.4526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0.1133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</w:tr>
      <w:tr w:rsidR="000200FA" w:rsidRPr="001D5AA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1D5AA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-0.0494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-0.0913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-0.0109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0.4370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0.0962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</w:tr>
      <w:tr w:rsidR="000200FA" w:rsidRPr="001D5AA5" w:rsidTr="008A4A94">
        <w:trPr>
          <w:trHeight w:val="259"/>
        </w:trPr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FA" w:rsidRPr="001D5AA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-0.0871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-0.1674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-0.0293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0.0370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0.0387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</w:tr>
    </w:tbl>
    <w:p w:rsidR="000200FA" w:rsidRPr="00E27067" w:rsidRDefault="000200FA" w:rsidP="000200FA">
      <w:pPr>
        <w:spacing w:after="0" w:line="480" w:lineRule="auto"/>
        <w:rPr>
          <w:rFonts w:eastAsia="Times New Roman"/>
          <w:color w:val="000000"/>
        </w:rPr>
      </w:pPr>
      <w:r w:rsidRPr="00E27067">
        <w:rPr>
          <w:rFonts w:ascii="Calibri" w:eastAsia="Times New Roman" w:hAnsi="Calibri"/>
          <w:color w:val="000000"/>
        </w:rPr>
        <w:br/>
      </w:r>
      <w:r w:rsidRPr="00E27067">
        <w:rPr>
          <w:rFonts w:eastAsia="Times New Roman"/>
          <w:i/>
          <w:color w:val="000000"/>
        </w:rPr>
        <w:t>Note:</w:t>
      </w:r>
      <w:r w:rsidRPr="00E27067">
        <w:rPr>
          <w:rFonts w:eastAsia="Times New Roman"/>
          <w:color w:val="000000"/>
        </w:rPr>
        <w:t xml:space="preserve"> Models were adjusted for age, </w:t>
      </w:r>
      <w:r>
        <w:rPr>
          <w:rFonts w:eastAsia="Times New Roman"/>
          <w:color w:val="000000"/>
        </w:rPr>
        <w:t>sex</w:t>
      </w:r>
      <w:r w:rsidRPr="00E27067">
        <w:rPr>
          <w:rFonts w:eastAsia="Times New Roman"/>
          <w:color w:val="000000"/>
        </w:rPr>
        <w:t xml:space="preserve">, race, </w:t>
      </w:r>
      <w:r>
        <w:rPr>
          <w:rFonts w:eastAsia="Times New Roman"/>
          <w:color w:val="000000"/>
        </w:rPr>
        <w:t>dialysis duration</w:t>
      </w:r>
      <w:r w:rsidRPr="00E27067">
        <w:rPr>
          <w:rFonts w:eastAsia="Times New Roman"/>
          <w:color w:val="000000"/>
        </w:rPr>
        <w:t>, and primary cause of ESRD.</w:t>
      </w:r>
      <w:r>
        <w:rPr>
          <w:rFonts w:eastAsia="Times New Roman"/>
          <w:color w:val="000000"/>
        </w:rPr>
        <w:t xml:space="preserve"> Quarter 1 </w:t>
      </w:r>
      <w:r w:rsidRPr="00E27067">
        <w:rPr>
          <w:rFonts w:eastAsia="Times New Roman"/>
          <w:color w:val="000000"/>
        </w:rPr>
        <w:t>of 2007 cohort is the referent level for model outcomes includ</w:t>
      </w:r>
      <w:r>
        <w:rPr>
          <w:rFonts w:eastAsia="Times New Roman"/>
          <w:color w:val="000000"/>
        </w:rPr>
        <w:t>ing</w:t>
      </w:r>
      <w:r w:rsidRPr="00E27067">
        <w:rPr>
          <w:rFonts w:eastAsia="Times New Roman"/>
          <w:color w:val="000000"/>
        </w:rPr>
        <w:t xml:space="preserve"> IV iron dose.</w:t>
      </w:r>
      <w:r>
        <w:rPr>
          <w:rFonts w:eastAsia="Times New Roman"/>
          <w:color w:val="000000"/>
        </w:rPr>
        <w:t xml:space="preserve"> Quarter </w:t>
      </w:r>
      <w:r w:rsidRPr="00E27067">
        <w:rPr>
          <w:rFonts w:eastAsia="Times New Roman"/>
          <w:color w:val="000000"/>
        </w:rPr>
        <w:t>of 2008 cohort is the referent level for model outcomes includ</w:t>
      </w:r>
      <w:r>
        <w:rPr>
          <w:rFonts w:eastAsia="Times New Roman"/>
          <w:color w:val="000000"/>
        </w:rPr>
        <w:t>ing</w:t>
      </w:r>
      <w:r w:rsidRPr="00E27067">
        <w:rPr>
          <w:rFonts w:eastAsia="Times New Roman"/>
          <w:color w:val="000000"/>
        </w:rPr>
        <w:t xml:space="preserve"> IV iron administration.</w:t>
      </w:r>
    </w:p>
    <w:p w:rsidR="000200FA" w:rsidRPr="00E27067" w:rsidRDefault="000200FA" w:rsidP="000200FA">
      <w:pPr>
        <w:spacing w:after="0" w:line="480" w:lineRule="auto"/>
        <w:rPr>
          <w:rFonts w:eastAsia="Times New Roman"/>
          <w:color w:val="000000"/>
        </w:rPr>
      </w:pPr>
      <w:r w:rsidRPr="00E27067">
        <w:rPr>
          <w:rFonts w:eastAsia="Times New Roman"/>
          <w:color w:val="000000"/>
        </w:rPr>
        <w:t xml:space="preserve">IV, intravenous; </w:t>
      </w:r>
      <w:r>
        <w:rPr>
          <w:rFonts w:eastAsia="Times New Roman"/>
          <w:color w:val="000000"/>
        </w:rPr>
        <w:t xml:space="preserve">HD, hemodialysis; </w:t>
      </w:r>
      <w:r w:rsidRPr="00E27067">
        <w:rPr>
          <w:rFonts w:eastAsia="Times New Roman"/>
          <w:color w:val="000000"/>
        </w:rPr>
        <w:t>PD, peritoneal dialysis</w:t>
      </w:r>
      <w:r>
        <w:rPr>
          <w:rFonts w:eastAsia="Times New Roman"/>
          <w:color w:val="000000"/>
        </w:rPr>
        <w:t>.</w:t>
      </w:r>
    </w:p>
    <w:p w:rsidR="000200FA" w:rsidRPr="00E27067" w:rsidRDefault="000200FA" w:rsidP="000200FA">
      <w:pPr>
        <w:spacing w:after="0" w:line="480" w:lineRule="auto"/>
        <w:rPr>
          <w:rFonts w:eastAsia="Times New Roman"/>
          <w:color w:val="000000"/>
        </w:rPr>
      </w:pPr>
    </w:p>
    <w:p w:rsidR="000200FA" w:rsidRPr="00E27067" w:rsidRDefault="000200FA" w:rsidP="000200FA">
      <w:pPr>
        <w:spacing w:after="0" w:line="480" w:lineRule="auto"/>
        <w:rPr>
          <w:rFonts w:eastAsia="Times New Roman"/>
          <w:color w:val="000000"/>
        </w:rPr>
      </w:pPr>
      <w:r w:rsidRPr="00E27067">
        <w:rPr>
          <w:rFonts w:eastAsia="Times New Roman"/>
          <w:color w:val="000000"/>
        </w:rPr>
        <w:br w:type="page"/>
      </w:r>
    </w:p>
    <w:p w:rsidR="000200FA" w:rsidRDefault="000200FA" w:rsidP="000200FA">
      <w:pPr>
        <w:spacing w:after="0" w:line="480" w:lineRule="auto"/>
      </w:pPr>
      <w:r w:rsidRPr="005A1182">
        <w:lastRenderedPageBreak/>
        <w:t>Table S</w:t>
      </w:r>
      <w:r>
        <w:t>6</w:t>
      </w:r>
      <w:r w:rsidRPr="005A1182">
        <w:t>.</w:t>
      </w:r>
      <w:r>
        <w:t xml:space="preserve"> Model coefficient estimate for each outcome, hemoglobin and transfusion</w:t>
      </w:r>
    </w:p>
    <w:tbl>
      <w:tblPr>
        <w:tblW w:w="10039" w:type="dxa"/>
        <w:tblInd w:w="93" w:type="dxa"/>
        <w:tblLook w:val="04A0" w:firstRow="1" w:lastRow="0" w:firstColumn="1" w:lastColumn="0" w:noHBand="0" w:noVBand="1"/>
      </w:tblPr>
      <w:tblGrid>
        <w:gridCol w:w="1365"/>
        <w:gridCol w:w="90"/>
        <w:gridCol w:w="1349"/>
        <w:gridCol w:w="966"/>
        <w:gridCol w:w="1116"/>
        <w:gridCol w:w="966"/>
        <w:gridCol w:w="1116"/>
        <w:gridCol w:w="966"/>
        <w:gridCol w:w="1139"/>
        <w:gridCol w:w="966"/>
      </w:tblGrid>
      <w:tr w:rsidR="000200FA" w:rsidRPr="00DC2D29" w:rsidTr="008A4A94">
        <w:trPr>
          <w:trHeight w:val="259"/>
        </w:trPr>
        <w:tc>
          <w:tcPr>
            <w:tcW w:w="145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FA" w:rsidRPr="00DC2D29" w:rsidRDefault="000200FA" w:rsidP="008A4A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DC2D29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2D29">
              <w:rPr>
                <w:rFonts w:eastAsia="Times New Roman"/>
                <w:color w:val="000000"/>
                <w:sz w:val="20"/>
                <w:szCs w:val="20"/>
              </w:rPr>
              <w:t>Hemoglobin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DC2D29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2D29">
              <w:rPr>
                <w:rFonts w:eastAsia="Times New Roman"/>
                <w:color w:val="000000"/>
                <w:sz w:val="20"/>
                <w:szCs w:val="20"/>
              </w:rPr>
              <w:t>Transfusion</w:t>
            </w:r>
          </w:p>
        </w:tc>
      </w:tr>
      <w:tr w:rsidR="000200FA" w:rsidRPr="00DC2D29" w:rsidTr="008A4A94">
        <w:trPr>
          <w:trHeight w:val="259"/>
        </w:trPr>
        <w:tc>
          <w:tcPr>
            <w:tcW w:w="1455" w:type="dxa"/>
            <w:gridSpan w:val="2"/>
            <w:shd w:val="clear" w:color="auto" w:fill="auto"/>
            <w:vAlign w:val="center"/>
            <w:hideMark/>
          </w:tcPr>
          <w:p w:rsidR="000200FA" w:rsidRPr="00DC2D29" w:rsidRDefault="000200FA" w:rsidP="008A4A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DC2D29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2D29">
              <w:rPr>
                <w:rFonts w:eastAsia="Times New Roman"/>
                <w:color w:val="000000"/>
                <w:sz w:val="20"/>
                <w:szCs w:val="20"/>
              </w:rPr>
              <w:t>PD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DC2D29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2D29">
              <w:rPr>
                <w:rFonts w:eastAsia="Times New Roman"/>
                <w:color w:val="000000"/>
                <w:sz w:val="20"/>
                <w:szCs w:val="20"/>
              </w:rPr>
              <w:t>HD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DC2D29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2D29">
              <w:rPr>
                <w:rFonts w:eastAsia="Times New Roman"/>
                <w:color w:val="000000"/>
                <w:sz w:val="20"/>
                <w:szCs w:val="20"/>
              </w:rPr>
              <w:t>PD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DC2D29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2D29">
              <w:rPr>
                <w:rFonts w:eastAsia="Times New Roman"/>
                <w:color w:val="000000"/>
                <w:sz w:val="20"/>
                <w:szCs w:val="20"/>
              </w:rPr>
              <w:t>HD</w:t>
            </w:r>
          </w:p>
        </w:tc>
      </w:tr>
      <w:tr w:rsidR="000200FA" w:rsidRPr="001D5AA5" w:rsidTr="008A4A94">
        <w:trPr>
          <w:trHeight w:val="259"/>
        </w:trPr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C2D29">
              <w:rPr>
                <w:rFonts w:eastAsia="Times New Roman"/>
                <w:color w:val="000000"/>
                <w:sz w:val="20"/>
                <w:szCs w:val="20"/>
              </w:rPr>
              <w:t>Year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DC2D29">
              <w:rPr>
                <w:rFonts w:eastAsia="Times New Roman"/>
                <w:color w:val="000000"/>
                <w:sz w:val="20"/>
                <w:szCs w:val="20"/>
              </w:rPr>
              <w:t>Quarter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 xml:space="preserve"> Value</w:t>
            </w:r>
          </w:p>
        </w:tc>
      </w:tr>
      <w:tr w:rsidR="000200FA" w:rsidRPr="001D5AA5" w:rsidTr="008A4A94">
        <w:trPr>
          <w:trHeight w:val="259"/>
        </w:trPr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00FA" w:rsidRPr="001D5AA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1D5AA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Q2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-0.1286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-0.1049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-0.0236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0.5915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-0.0350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0.0014</w:t>
            </w:r>
          </w:p>
        </w:tc>
      </w:tr>
      <w:tr w:rsidR="000200FA" w:rsidRPr="001D5AA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1D5AA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Q3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-0.1686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-0.1907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-0.0717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0.1055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-0.0112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0.3022</w:t>
            </w:r>
          </w:p>
        </w:tc>
      </w:tr>
      <w:tr w:rsidR="000200FA" w:rsidRPr="001D5AA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1D5AA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Q4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-0.1710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-0.1900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-0.0911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0.0400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-0.0288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0.0080</w:t>
            </w:r>
          </w:p>
        </w:tc>
      </w:tr>
      <w:tr w:rsidR="000200FA" w:rsidRPr="001D5AA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00FA" w:rsidRPr="001D5AA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1D5AA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Q1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-0.3123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-0.4257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0.0644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0.1330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0.0975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</w:tr>
      <w:tr w:rsidR="000200FA" w:rsidRPr="001D5AA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1D5AA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Q2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-0.3402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-0.4612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0.0192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0.6575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0.0339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0.0016</w:t>
            </w:r>
          </w:p>
        </w:tc>
      </w:tr>
      <w:tr w:rsidR="000200FA" w:rsidRPr="001D5AA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1D5AA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Q3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-0.3368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-0.4421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-0.0343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0.4333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0.0159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0.1379</w:t>
            </w:r>
          </w:p>
        </w:tc>
      </w:tr>
      <w:tr w:rsidR="000200FA" w:rsidRPr="001D5AA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1D5AA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Q4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-0.3152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-0.4930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0.0495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0.2479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0.0387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0.0003</w:t>
            </w:r>
          </w:p>
        </w:tc>
      </w:tr>
      <w:tr w:rsidR="000200FA" w:rsidRPr="001D5AA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00FA" w:rsidRPr="001D5AA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1D5AA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Q1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-0.3568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-0.5498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0.0189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0.6644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0.0654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</w:tr>
      <w:tr w:rsidR="000200FA" w:rsidRPr="001D5AA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1D5AA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Q2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-0.4317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-0.6303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0.9738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0.0053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0.6235</w:t>
            </w:r>
          </w:p>
        </w:tc>
      </w:tr>
      <w:tr w:rsidR="000200FA" w:rsidRPr="001D5AA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1D5AA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Q3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-0.4672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-0.6123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0.0153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0.7234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0.9239</w:t>
            </w:r>
          </w:p>
        </w:tc>
      </w:tr>
      <w:tr w:rsidR="000200FA" w:rsidRPr="001D5AA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1D5AA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Q4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-0.4549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-0.6108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0.0046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0.9149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-0.0021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0.8445</w:t>
            </w:r>
          </w:p>
        </w:tc>
      </w:tr>
      <w:tr w:rsidR="000200FA" w:rsidRPr="001D5AA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00FA" w:rsidRPr="001D5AA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1D5AA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Q1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-0.4907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-0.6423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0.0389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0.3659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0.0739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</w:tr>
      <w:tr w:rsidR="000200FA" w:rsidRPr="001D5AA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1D5AA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Q2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-0.5288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-0.6917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0.0423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0.3220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0.0355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0.0008</w:t>
            </w:r>
          </w:p>
        </w:tc>
      </w:tr>
      <w:tr w:rsidR="000200FA" w:rsidRPr="001D5AA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1D5AA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Q3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-0.5966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-0.7441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0.0835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0.0470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0.0313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0.0030</w:t>
            </w:r>
          </w:p>
        </w:tc>
      </w:tr>
      <w:tr w:rsidR="000200FA" w:rsidRPr="001D5AA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1D5AA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Q4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-0.6105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-0.7880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0.1509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0.0941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</w:tr>
      <w:tr w:rsidR="000200FA" w:rsidRPr="001D5AA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00FA" w:rsidRPr="001D5AA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1D5AA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Q1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-0.6872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-0.9278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0.2431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0.2464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</w:tr>
      <w:tr w:rsidR="000200FA" w:rsidRPr="001D5AA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1D5AA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Q2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-0.7868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-0.9709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0.2282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0.1813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</w:tr>
      <w:tr w:rsidR="000200FA" w:rsidRPr="001D5AA5" w:rsidTr="008A4A94">
        <w:trPr>
          <w:trHeight w:val="259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200FA" w:rsidRPr="001D5AA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Q3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-0.8905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-1.0309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0.2198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0.2213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</w:tr>
      <w:tr w:rsidR="000200FA" w:rsidRPr="001D5AA5" w:rsidTr="008A4A94">
        <w:trPr>
          <w:trHeight w:val="259"/>
        </w:trPr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FA" w:rsidRPr="001D5AA5" w:rsidRDefault="000200FA" w:rsidP="008A4A94">
            <w:pPr>
              <w:spacing w:after="0" w:line="240" w:lineRule="auto"/>
              <w:ind w:firstLine="17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Q4</w:t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-1.1373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-1.3188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0.2040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0.2343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A" w:rsidRPr="001D5AA5" w:rsidRDefault="000200FA" w:rsidP="008A4A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AA5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</w:t>
            </w:r>
            <w:r w:rsidRPr="001D5AA5">
              <w:rPr>
                <w:rFonts w:eastAsia="Times New Roman"/>
                <w:color w:val="000000"/>
                <w:sz w:val="20"/>
                <w:szCs w:val="20"/>
              </w:rPr>
              <w:t>.0001</w:t>
            </w:r>
          </w:p>
        </w:tc>
      </w:tr>
    </w:tbl>
    <w:p w:rsidR="000200FA" w:rsidRPr="00DC2D29" w:rsidRDefault="000200FA" w:rsidP="000200FA">
      <w:pPr>
        <w:spacing w:after="0" w:line="480" w:lineRule="auto"/>
        <w:rPr>
          <w:rFonts w:eastAsia="Times New Roman"/>
          <w:color w:val="000000"/>
        </w:rPr>
      </w:pPr>
    </w:p>
    <w:p w:rsidR="000200FA" w:rsidRPr="00DC2D29" w:rsidRDefault="000200FA" w:rsidP="000200FA">
      <w:pPr>
        <w:spacing w:after="0" w:line="480" w:lineRule="auto"/>
        <w:rPr>
          <w:rFonts w:eastAsia="Times New Roman"/>
          <w:color w:val="000000"/>
        </w:rPr>
      </w:pPr>
      <w:r w:rsidRPr="00DC2D29">
        <w:rPr>
          <w:rFonts w:eastAsia="Times New Roman"/>
          <w:i/>
          <w:color w:val="000000"/>
        </w:rPr>
        <w:t>Note:</w:t>
      </w:r>
      <w:r w:rsidRPr="00DC2D29">
        <w:rPr>
          <w:rFonts w:eastAsia="Times New Roman"/>
          <w:color w:val="000000"/>
        </w:rPr>
        <w:t xml:space="preserve"> Models were adjusted for age, </w:t>
      </w:r>
      <w:r>
        <w:rPr>
          <w:rFonts w:eastAsia="Times New Roman"/>
          <w:color w:val="000000"/>
        </w:rPr>
        <w:t>sex</w:t>
      </w:r>
      <w:r w:rsidRPr="00DC2D29">
        <w:rPr>
          <w:rFonts w:eastAsia="Times New Roman"/>
          <w:color w:val="000000"/>
        </w:rPr>
        <w:t xml:space="preserve">, race, </w:t>
      </w:r>
      <w:r>
        <w:rPr>
          <w:rFonts w:eastAsia="Times New Roman"/>
          <w:color w:val="000000"/>
        </w:rPr>
        <w:t>dialysis duration</w:t>
      </w:r>
      <w:r w:rsidRPr="00DC2D29">
        <w:rPr>
          <w:rFonts w:eastAsia="Times New Roman"/>
          <w:color w:val="000000"/>
        </w:rPr>
        <w:t>, and primary cause of ESRD.</w:t>
      </w:r>
      <w:r>
        <w:rPr>
          <w:rFonts w:eastAsia="Times New Roman"/>
          <w:color w:val="000000"/>
        </w:rPr>
        <w:t xml:space="preserve"> Quarter 1 </w:t>
      </w:r>
      <w:r w:rsidRPr="00DC2D29">
        <w:rPr>
          <w:rFonts w:eastAsia="Times New Roman"/>
          <w:color w:val="000000"/>
        </w:rPr>
        <w:t>of 2007 cohort is the referent level for model outcomes includ</w:t>
      </w:r>
      <w:r>
        <w:rPr>
          <w:rFonts w:eastAsia="Times New Roman"/>
          <w:color w:val="000000"/>
        </w:rPr>
        <w:t>ing</w:t>
      </w:r>
      <w:r w:rsidRPr="00DC2D29">
        <w:rPr>
          <w:rFonts w:eastAsia="Times New Roman"/>
          <w:color w:val="000000"/>
        </w:rPr>
        <w:t xml:space="preserve"> hemoglobin and red blood cell transfusion.</w:t>
      </w:r>
    </w:p>
    <w:p w:rsidR="000200FA" w:rsidRPr="00DC2D29" w:rsidRDefault="000200FA" w:rsidP="000200FA">
      <w:pPr>
        <w:spacing w:after="0" w:line="48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HD, hemodialysis; </w:t>
      </w:r>
      <w:r w:rsidRPr="00DC2D29">
        <w:rPr>
          <w:rFonts w:eastAsia="Times New Roman"/>
          <w:color w:val="000000"/>
        </w:rPr>
        <w:t>PD, peritoneal dialysis</w:t>
      </w:r>
      <w:r>
        <w:rPr>
          <w:rFonts w:eastAsia="Times New Roman"/>
          <w:color w:val="000000"/>
        </w:rPr>
        <w:t>.</w:t>
      </w:r>
    </w:p>
    <w:p w:rsidR="000200FA" w:rsidRPr="00DC2D29" w:rsidRDefault="000200FA" w:rsidP="000200FA">
      <w:pPr>
        <w:spacing w:after="0" w:line="480" w:lineRule="auto"/>
      </w:pPr>
      <w:r w:rsidRPr="00DC2D29">
        <w:br w:type="page"/>
      </w:r>
    </w:p>
    <w:p w:rsidR="000200FA" w:rsidRDefault="000200FA" w:rsidP="000200FA"/>
    <w:p w:rsidR="000200FA" w:rsidRPr="00403994" w:rsidRDefault="000200FA" w:rsidP="000200FA">
      <w:pPr>
        <w:spacing w:after="0" w:line="480" w:lineRule="auto"/>
      </w:pPr>
      <w:r w:rsidRPr="005A1182">
        <w:t>Figure S</w:t>
      </w:r>
      <w:r w:rsidR="00F36EAD">
        <w:t>1</w:t>
      </w:r>
      <w:bookmarkStart w:id="0" w:name="_GoBack"/>
      <w:bookmarkEnd w:id="0"/>
      <w:r w:rsidRPr="005A1182">
        <w:t xml:space="preserve">. </w:t>
      </w:r>
      <w:r w:rsidRPr="00403994">
        <w:t>Creation of the analytic cohort</w:t>
      </w:r>
      <w:r>
        <w:t>.</w:t>
      </w:r>
    </w:p>
    <w:p w:rsidR="000200FA" w:rsidRPr="00B42AA5" w:rsidRDefault="000200FA" w:rsidP="000200FA">
      <w:r>
        <w:rPr>
          <w:noProof/>
        </w:rPr>
        <w:drawing>
          <wp:inline distT="0" distB="0" distL="0" distR="0" wp14:anchorId="64C25C64" wp14:editId="0F5F54FA">
            <wp:extent cx="5265877" cy="4412363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877" cy="441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0FA" w:rsidRPr="00B774B7" w:rsidRDefault="000200FA" w:rsidP="000200FA">
      <w:pPr>
        <w:rPr>
          <w:i/>
        </w:rPr>
      </w:pPr>
      <w:r w:rsidRPr="002C4CC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81232" wp14:editId="57FEC155">
                <wp:simplePos x="0" y="0"/>
                <wp:positionH relativeFrom="column">
                  <wp:posOffset>-1357630</wp:posOffset>
                </wp:positionH>
                <wp:positionV relativeFrom="paragraph">
                  <wp:posOffset>44450</wp:posOffset>
                </wp:positionV>
                <wp:extent cx="0" cy="532130"/>
                <wp:effectExtent l="95250" t="0" r="57150" b="58420"/>
                <wp:wrapNone/>
                <wp:docPr id="14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13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-106.9pt;margin-top:3.5pt;width:0;height:4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" strokecolor="black [3213]" strokeweight="2pt">
                <v:stroke endarrow="open"/>
              </v:shape>
            </w:pict>
          </mc:Fallback>
        </mc:AlternateContent>
      </w:r>
      <w:r w:rsidRPr="002C4C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BCA6B" wp14:editId="6DA16454">
                <wp:simplePos x="0" y="0"/>
                <wp:positionH relativeFrom="column">
                  <wp:posOffset>-1367155</wp:posOffset>
                </wp:positionH>
                <wp:positionV relativeFrom="paragraph">
                  <wp:posOffset>161451</wp:posOffset>
                </wp:positionV>
                <wp:extent cx="0" cy="532130"/>
                <wp:effectExtent l="95250" t="0" r="57150" b="58420"/>
                <wp:wrapNone/>
                <wp:docPr id="12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13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-107.65pt;margin-top:12.7pt;width:0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" strokecolor="black [3213]" strokeweight="2pt">
                <v:stroke endarrow="open"/>
              </v:shape>
            </w:pict>
          </mc:Fallback>
        </mc:AlternateContent>
      </w:r>
    </w:p>
    <w:p w:rsidR="008E028B" w:rsidRDefault="00F36EAD" w:rsidP="000200FA"/>
    <w:sectPr w:rsidR="008E028B" w:rsidSect="00D8150B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00000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FEB"/>
    <w:multiLevelType w:val="multilevel"/>
    <w:tmpl w:val="A8EC0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65A5A"/>
    <w:multiLevelType w:val="multilevel"/>
    <w:tmpl w:val="F364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52319"/>
    <w:multiLevelType w:val="multilevel"/>
    <w:tmpl w:val="7D303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A67500"/>
    <w:multiLevelType w:val="hybridMultilevel"/>
    <w:tmpl w:val="BCA4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137D9"/>
    <w:multiLevelType w:val="multilevel"/>
    <w:tmpl w:val="81E0D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846136"/>
    <w:multiLevelType w:val="hybridMultilevel"/>
    <w:tmpl w:val="8B30146E"/>
    <w:lvl w:ilvl="0" w:tplc="923A238E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FA"/>
    <w:rsid w:val="000200FA"/>
    <w:rsid w:val="0008191F"/>
    <w:rsid w:val="000F4B45"/>
    <w:rsid w:val="00101E85"/>
    <w:rsid w:val="00104819"/>
    <w:rsid w:val="00204CE7"/>
    <w:rsid w:val="00325B85"/>
    <w:rsid w:val="00442C18"/>
    <w:rsid w:val="004501B1"/>
    <w:rsid w:val="00501F30"/>
    <w:rsid w:val="00524075"/>
    <w:rsid w:val="00542590"/>
    <w:rsid w:val="00650ECD"/>
    <w:rsid w:val="0088135A"/>
    <w:rsid w:val="00907780"/>
    <w:rsid w:val="00972F57"/>
    <w:rsid w:val="009A372A"/>
    <w:rsid w:val="00A13DF1"/>
    <w:rsid w:val="00A206DB"/>
    <w:rsid w:val="00B946CF"/>
    <w:rsid w:val="00BB08C1"/>
    <w:rsid w:val="00BE0AB1"/>
    <w:rsid w:val="00BE3456"/>
    <w:rsid w:val="00C23333"/>
    <w:rsid w:val="00C267AA"/>
    <w:rsid w:val="00CF59F3"/>
    <w:rsid w:val="00D714B8"/>
    <w:rsid w:val="00DC0702"/>
    <w:rsid w:val="00DF763C"/>
    <w:rsid w:val="00F36EAD"/>
    <w:rsid w:val="00FB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FA"/>
    <w:pPr>
      <w:spacing w:after="200" w:line="276" w:lineRule="auto"/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200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0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FA"/>
    <w:rPr>
      <w:rFonts w:ascii="Tahoma" w:hAnsi="Tahoma" w:cs="Tahoma"/>
      <w:sz w:val="16"/>
      <w:szCs w:val="16"/>
    </w:rPr>
  </w:style>
  <w:style w:type="paragraph" w:styleId="CommentText">
    <w:name w:val="annotation text"/>
    <w:aliases w:val="Char"/>
    <w:basedOn w:val="Normal"/>
    <w:link w:val="CommentTextChar"/>
    <w:uiPriority w:val="99"/>
    <w:semiHidden/>
    <w:rsid w:val="000200FA"/>
    <w:pPr>
      <w:spacing w:after="0" w:line="240" w:lineRule="auto"/>
    </w:pPr>
    <w:rPr>
      <w:rFonts w:ascii="Calibri" w:eastAsia="Times New Roman" w:hAnsi="Calibri"/>
      <w:lang w:val="x-none" w:eastAsia="x-none"/>
    </w:rPr>
  </w:style>
  <w:style w:type="character" w:customStyle="1" w:styleId="CommentTextChar">
    <w:name w:val="Comment Text Char"/>
    <w:aliases w:val="Char Char"/>
    <w:basedOn w:val="DefaultParagraphFont"/>
    <w:link w:val="CommentText"/>
    <w:uiPriority w:val="99"/>
    <w:semiHidden/>
    <w:rsid w:val="000200FA"/>
    <w:rPr>
      <w:rFonts w:ascii="Calibri" w:eastAsia="Times New Roman" w:hAnsi="Calibri"/>
      <w:lang w:val="x-none" w:eastAsia="x-none"/>
    </w:rPr>
  </w:style>
  <w:style w:type="character" w:styleId="Hyperlink">
    <w:name w:val="Hyperlink"/>
    <w:uiPriority w:val="99"/>
    <w:unhideWhenUsed/>
    <w:rsid w:val="000200F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00FA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0200FA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0FA"/>
    <w:pPr>
      <w:spacing w:after="200"/>
    </w:pPr>
    <w:rPr>
      <w:rFonts w:asciiTheme="minorHAnsi" w:eastAsiaTheme="minorHAnsi" w:hAnsiTheme="minorHAnsi" w:cstheme="minorBidi"/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0FA"/>
    <w:rPr>
      <w:rFonts w:asciiTheme="minorHAnsi" w:eastAsia="Times New Roman" w:hAnsiTheme="minorHAnsi" w:cstheme="minorBidi"/>
      <w:b/>
      <w:bCs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0200FA"/>
    <w:pPr>
      <w:spacing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0200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0FA"/>
  </w:style>
  <w:style w:type="paragraph" w:styleId="Footer">
    <w:name w:val="footer"/>
    <w:basedOn w:val="Normal"/>
    <w:link w:val="FooterChar"/>
    <w:uiPriority w:val="99"/>
    <w:unhideWhenUsed/>
    <w:rsid w:val="00020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0FA"/>
  </w:style>
  <w:style w:type="paragraph" w:customStyle="1" w:styleId="sidebaretal">
    <w:name w:val="sidebar_etal"/>
    <w:basedOn w:val="Normal"/>
    <w:rsid w:val="000200FA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interref">
    <w:name w:val="interref"/>
    <w:basedOn w:val="DefaultParagraphFont"/>
    <w:rsid w:val="000200FA"/>
  </w:style>
  <w:style w:type="character" w:styleId="Emphasis">
    <w:name w:val="Emphasis"/>
    <w:basedOn w:val="DefaultParagraphFont"/>
    <w:uiPriority w:val="20"/>
    <w:qFormat/>
    <w:rsid w:val="000200FA"/>
    <w:rPr>
      <w:i/>
      <w:iCs/>
    </w:rPr>
  </w:style>
  <w:style w:type="paragraph" w:customStyle="1" w:styleId="desc2">
    <w:name w:val="desc2"/>
    <w:basedOn w:val="Normal"/>
    <w:link w:val="desc2Char"/>
    <w:rsid w:val="000200FA"/>
    <w:pPr>
      <w:spacing w:after="0" w:line="240" w:lineRule="auto"/>
    </w:pPr>
    <w:rPr>
      <w:rFonts w:eastAsia="Times New Roman"/>
      <w:sz w:val="26"/>
      <w:szCs w:val="26"/>
    </w:rPr>
  </w:style>
  <w:style w:type="paragraph" w:customStyle="1" w:styleId="details1">
    <w:name w:val="details1"/>
    <w:basedOn w:val="Normal"/>
    <w:rsid w:val="000200FA"/>
    <w:pPr>
      <w:spacing w:after="0" w:line="240" w:lineRule="auto"/>
    </w:pPr>
    <w:rPr>
      <w:rFonts w:eastAsia="Times New Roman"/>
    </w:rPr>
  </w:style>
  <w:style w:type="character" w:customStyle="1" w:styleId="jrnl">
    <w:name w:val="jrnl"/>
    <w:basedOn w:val="DefaultParagraphFont"/>
    <w:rsid w:val="000200FA"/>
  </w:style>
  <w:style w:type="paragraph" w:customStyle="1" w:styleId="Title1">
    <w:name w:val="Title1"/>
    <w:basedOn w:val="Normal"/>
    <w:rsid w:val="000200FA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desc">
    <w:name w:val="desc"/>
    <w:basedOn w:val="Normal"/>
    <w:rsid w:val="000200FA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details">
    <w:name w:val="details"/>
    <w:basedOn w:val="Normal"/>
    <w:rsid w:val="000200FA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0200FA"/>
    <w:pPr>
      <w:spacing w:after="0"/>
      <w:jc w:val="center"/>
    </w:pPr>
    <w:rPr>
      <w:rFonts w:ascii="Calibri" w:eastAsia="Times New Roman" w:hAnsi="Calibri"/>
      <w:noProof/>
      <w:sz w:val="26"/>
      <w:szCs w:val="26"/>
    </w:rPr>
  </w:style>
  <w:style w:type="character" w:customStyle="1" w:styleId="desc2Char">
    <w:name w:val="desc2 Char"/>
    <w:basedOn w:val="DefaultParagraphFont"/>
    <w:link w:val="desc2"/>
    <w:rsid w:val="000200FA"/>
    <w:rPr>
      <w:rFonts w:eastAsia="Times New Roman"/>
      <w:sz w:val="26"/>
      <w:szCs w:val="26"/>
    </w:rPr>
  </w:style>
  <w:style w:type="character" w:customStyle="1" w:styleId="EndNoteBibliographyTitleChar">
    <w:name w:val="EndNote Bibliography Title Char"/>
    <w:basedOn w:val="desc2Char"/>
    <w:link w:val="EndNoteBibliographyTitle"/>
    <w:rsid w:val="000200FA"/>
    <w:rPr>
      <w:rFonts w:ascii="Calibri" w:eastAsia="Times New Roman" w:hAnsi="Calibri"/>
      <w:noProof/>
      <w:sz w:val="26"/>
      <w:szCs w:val="26"/>
    </w:rPr>
  </w:style>
  <w:style w:type="paragraph" w:customStyle="1" w:styleId="EndNoteBibliography">
    <w:name w:val="EndNote Bibliography"/>
    <w:basedOn w:val="Normal"/>
    <w:link w:val="EndNoteBibliographyChar"/>
    <w:rsid w:val="000200FA"/>
    <w:pPr>
      <w:spacing w:line="240" w:lineRule="auto"/>
    </w:pPr>
    <w:rPr>
      <w:rFonts w:ascii="Calibri" w:eastAsia="Times New Roman" w:hAnsi="Calibri"/>
      <w:noProof/>
      <w:sz w:val="26"/>
      <w:szCs w:val="26"/>
    </w:rPr>
  </w:style>
  <w:style w:type="character" w:customStyle="1" w:styleId="EndNoteBibliographyChar">
    <w:name w:val="EndNote Bibliography Char"/>
    <w:basedOn w:val="desc2Char"/>
    <w:link w:val="EndNoteBibliography"/>
    <w:rsid w:val="000200FA"/>
    <w:rPr>
      <w:rFonts w:ascii="Calibri" w:eastAsia="Times New Roman" w:hAnsi="Calibri"/>
      <w:noProof/>
      <w:sz w:val="26"/>
      <w:szCs w:val="26"/>
    </w:rPr>
  </w:style>
  <w:style w:type="character" w:customStyle="1" w:styleId="apple-converted-space">
    <w:name w:val="apple-converted-space"/>
    <w:basedOn w:val="DefaultParagraphFont"/>
    <w:rsid w:val="000200FA"/>
  </w:style>
  <w:style w:type="character" w:styleId="FollowedHyperlink">
    <w:name w:val="FollowedHyperlink"/>
    <w:basedOn w:val="DefaultParagraphFont"/>
    <w:uiPriority w:val="99"/>
    <w:semiHidden/>
    <w:unhideWhenUsed/>
    <w:rsid w:val="000200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FA"/>
    <w:pPr>
      <w:spacing w:after="200" w:line="276" w:lineRule="auto"/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200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0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FA"/>
    <w:rPr>
      <w:rFonts w:ascii="Tahoma" w:hAnsi="Tahoma" w:cs="Tahoma"/>
      <w:sz w:val="16"/>
      <w:szCs w:val="16"/>
    </w:rPr>
  </w:style>
  <w:style w:type="paragraph" w:styleId="CommentText">
    <w:name w:val="annotation text"/>
    <w:aliases w:val="Char"/>
    <w:basedOn w:val="Normal"/>
    <w:link w:val="CommentTextChar"/>
    <w:uiPriority w:val="99"/>
    <w:semiHidden/>
    <w:rsid w:val="000200FA"/>
    <w:pPr>
      <w:spacing w:after="0" w:line="240" w:lineRule="auto"/>
    </w:pPr>
    <w:rPr>
      <w:rFonts w:ascii="Calibri" w:eastAsia="Times New Roman" w:hAnsi="Calibri"/>
      <w:lang w:val="x-none" w:eastAsia="x-none"/>
    </w:rPr>
  </w:style>
  <w:style w:type="character" w:customStyle="1" w:styleId="CommentTextChar">
    <w:name w:val="Comment Text Char"/>
    <w:aliases w:val="Char Char"/>
    <w:basedOn w:val="DefaultParagraphFont"/>
    <w:link w:val="CommentText"/>
    <w:uiPriority w:val="99"/>
    <w:semiHidden/>
    <w:rsid w:val="000200FA"/>
    <w:rPr>
      <w:rFonts w:ascii="Calibri" w:eastAsia="Times New Roman" w:hAnsi="Calibri"/>
      <w:lang w:val="x-none" w:eastAsia="x-none"/>
    </w:rPr>
  </w:style>
  <w:style w:type="character" w:styleId="Hyperlink">
    <w:name w:val="Hyperlink"/>
    <w:uiPriority w:val="99"/>
    <w:unhideWhenUsed/>
    <w:rsid w:val="000200F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00FA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0200FA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0FA"/>
    <w:pPr>
      <w:spacing w:after="200"/>
    </w:pPr>
    <w:rPr>
      <w:rFonts w:asciiTheme="minorHAnsi" w:eastAsiaTheme="minorHAnsi" w:hAnsiTheme="minorHAnsi" w:cstheme="minorBidi"/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0FA"/>
    <w:rPr>
      <w:rFonts w:asciiTheme="minorHAnsi" w:eastAsia="Times New Roman" w:hAnsiTheme="minorHAnsi" w:cstheme="minorBidi"/>
      <w:b/>
      <w:bCs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0200FA"/>
    <w:pPr>
      <w:spacing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0200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0FA"/>
  </w:style>
  <w:style w:type="paragraph" w:styleId="Footer">
    <w:name w:val="footer"/>
    <w:basedOn w:val="Normal"/>
    <w:link w:val="FooterChar"/>
    <w:uiPriority w:val="99"/>
    <w:unhideWhenUsed/>
    <w:rsid w:val="00020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0FA"/>
  </w:style>
  <w:style w:type="paragraph" w:customStyle="1" w:styleId="sidebaretal">
    <w:name w:val="sidebar_etal"/>
    <w:basedOn w:val="Normal"/>
    <w:rsid w:val="000200FA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interref">
    <w:name w:val="interref"/>
    <w:basedOn w:val="DefaultParagraphFont"/>
    <w:rsid w:val="000200FA"/>
  </w:style>
  <w:style w:type="character" w:styleId="Emphasis">
    <w:name w:val="Emphasis"/>
    <w:basedOn w:val="DefaultParagraphFont"/>
    <w:uiPriority w:val="20"/>
    <w:qFormat/>
    <w:rsid w:val="000200FA"/>
    <w:rPr>
      <w:i/>
      <w:iCs/>
    </w:rPr>
  </w:style>
  <w:style w:type="paragraph" w:customStyle="1" w:styleId="desc2">
    <w:name w:val="desc2"/>
    <w:basedOn w:val="Normal"/>
    <w:link w:val="desc2Char"/>
    <w:rsid w:val="000200FA"/>
    <w:pPr>
      <w:spacing w:after="0" w:line="240" w:lineRule="auto"/>
    </w:pPr>
    <w:rPr>
      <w:rFonts w:eastAsia="Times New Roman"/>
      <w:sz w:val="26"/>
      <w:szCs w:val="26"/>
    </w:rPr>
  </w:style>
  <w:style w:type="paragraph" w:customStyle="1" w:styleId="details1">
    <w:name w:val="details1"/>
    <w:basedOn w:val="Normal"/>
    <w:rsid w:val="000200FA"/>
    <w:pPr>
      <w:spacing w:after="0" w:line="240" w:lineRule="auto"/>
    </w:pPr>
    <w:rPr>
      <w:rFonts w:eastAsia="Times New Roman"/>
    </w:rPr>
  </w:style>
  <w:style w:type="character" w:customStyle="1" w:styleId="jrnl">
    <w:name w:val="jrnl"/>
    <w:basedOn w:val="DefaultParagraphFont"/>
    <w:rsid w:val="000200FA"/>
  </w:style>
  <w:style w:type="paragraph" w:customStyle="1" w:styleId="Title1">
    <w:name w:val="Title1"/>
    <w:basedOn w:val="Normal"/>
    <w:rsid w:val="000200FA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desc">
    <w:name w:val="desc"/>
    <w:basedOn w:val="Normal"/>
    <w:rsid w:val="000200FA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details">
    <w:name w:val="details"/>
    <w:basedOn w:val="Normal"/>
    <w:rsid w:val="000200FA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0200FA"/>
    <w:pPr>
      <w:spacing w:after="0"/>
      <w:jc w:val="center"/>
    </w:pPr>
    <w:rPr>
      <w:rFonts w:ascii="Calibri" w:eastAsia="Times New Roman" w:hAnsi="Calibri"/>
      <w:noProof/>
      <w:sz w:val="26"/>
      <w:szCs w:val="26"/>
    </w:rPr>
  </w:style>
  <w:style w:type="character" w:customStyle="1" w:styleId="desc2Char">
    <w:name w:val="desc2 Char"/>
    <w:basedOn w:val="DefaultParagraphFont"/>
    <w:link w:val="desc2"/>
    <w:rsid w:val="000200FA"/>
    <w:rPr>
      <w:rFonts w:eastAsia="Times New Roman"/>
      <w:sz w:val="26"/>
      <w:szCs w:val="26"/>
    </w:rPr>
  </w:style>
  <w:style w:type="character" w:customStyle="1" w:styleId="EndNoteBibliographyTitleChar">
    <w:name w:val="EndNote Bibliography Title Char"/>
    <w:basedOn w:val="desc2Char"/>
    <w:link w:val="EndNoteBibliographyTitle"/>
    <w:rsid w:val="000200FA"/>
    <w:rPr>
      <w:rFonts w:ascii="Calibri" w:eastAsia="Times New Roman" w:hAnsi="Calibri"/>
      <w:noProof/>
      <w:sz w:val="26"/>
      <w:szCs w:val="26"/>
    </w:rPr>
  </w:style>
  <w:style w:type="paragraph" w:customStyle="1" w:styleId="EndNoteBibliography">
    <w:name w:val="EndNote Bibliography"/>
    <w:basedOn w:val="Normal"/>
    <w:link w:val="EndNoteBibliographyChar"/>
    <w:rsid w:val="000200FA"/>
    <w:pPr>
      <w:spacing w:line="240" w:lineRule="auto"/>
    </w:pPr>
    <w:rPr>
      <w:rFonts w:ascii="Calibri" w:eastAsia="Times New Roman" w:hAnsi="Calibri"/>
      <w:noProof/>
      <w:sz w:val="26"/>
      <w:szCs w:val="26"/>
    </w:rPr>
  </w:style>
  <w:style w:type="character" w:customStyle="1" w:styleId="EndNoteBibliographyChar">
    <w:name w:val="EndNote Bibliography Char"/>
    <w:basedOn w:val="desc2Char"/>
    <w:link w:val="EndNoteBibliography"/>
    <w:rsid w:val="000200FA"/>
    <w:rPr>
      <w:rFonts w:ascii="Calibri" w:eastAsia="Times New Roman" w:hAnsi="Calibri"/>
      <w:noProof/>
      <w:sz w:val="26"/>
      <w:szCs w:val="26"/>
    </w:rPr>
  </w:style>
  <w:style w:type="character" w:customStyle="1" w:styleId="apple-converted-space">
    <w:name w:val="apple-converted-space"/>
    <w:basedOn w:val="DefaultParagraphFont"/>
    <w:rsid w:val="000200FA"/>
  </w:style>
  <w:style w:type="character" w:styleId="FollowedHyperlink">
    <w:name w:val="FollowedHyperlink"/>
    <w:basedOn w:val="DefaultParagraphFont"/>
    <w:uiPriority w:val="99"/>
    <w:semiHidden/>
    <w:unhideWhenUsed/>
    <w:rsid w:val="000200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2086</Words>
  <Characters>11896</Characters>
  <Application>Microsoft Office Word</Application>
  <DocSecurity>0</DocSecurity>
  <Lines>99</Lines>
  <Paragraphs>27</Paragraphs>
  <ScaleCrop>false</ScaleCrop>
  <Company>Chronic Disease Research Group</Company>
  <LinksUpToDate>false</LinksUpToDate>
  <CharactersWithSpaces>13955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 Booth</dc:creator>
  <cp:lastModifiedBy>Nan Booth</cp:lastModifiedBy>
  <cp:revision>4</cp:revision>
  <dcterms:created xsi:type="dcterms:W3CDTF">2015-04-13T17:16:00Z</dcterms:created>
  <dcterms:modified xsi:type="dcterms:W3CDTF">2015-04-13T17:22:00Z</dcterms:modified>
</cp:coreProperties>
</file>