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B6" w:rsidRPr="005648A5" w:rsidRDefault="00F363B6" w:rsidP="00F363B6">
      <w:pPr>
        <w:shd w:val="clear" w:color="auto" w:fill="000000"/>
        <w:spacing w:line="480" w:lineRule="auto"/>
        <w:rPr>
          <w:rFonts w:ascii="Arial" w:hAnsi="Arial" w:cs="Arial"/>
          <w:sz w:val="24"/>
          <w:szCs w:val="24"/>
          <w:lang w:val="en-US"/>
        </w:rPr>
      </w:pPr>
    </w:p>
    <w:p w:rsidR="00F363B6" w:rsidRPr="005648A5" w:rsidRDefault="00F363B6" w:rsidP="00F363B6">
      <w:pPr>
        <w:shd w:val="clear" w:color="auto" w:fill="000000"/>
        <w:spacing w:line="480" w:lineRule="auto"/>
        <w:rPr>
          <w:rFonts w:ascii="Arial" w:hAnsi="Arial" w:cs="Arial"/>
          <w:sz w:val="24"/>
          <w:szCs w:val="24"/>
          <w:lang w:val="en-US"/>
        </w:rPr>
      </w:pPr>
      <w:r w:rsidRPr="005648A5">
        <w:rPr>
          <w:rFonts w:ascii="Arial" w:hAnsi="Arial" w:cs="Arial"/>
          <w:sz w:val="24"/>
          <w:szCs w:val="24"/>
          <w:lang w:val="en-US"/>
        </w:rPr>
        <w:t>Appendix (to be published as supplementary material)</w:t>
      </w:r>
    </w:p>
    <w:p w:rsidR="00F363B6" w:rsidRPr="005648A5" w:rsidRDefault="00F363B6" w:rsidP="00F363B6">
      <w:pPr>
        <w:spacing w:line="480" w:lineRule="auto"/>
        <w:rPr>
          <w:rFonts w:ascii="Arial" w:hAnsi="Arial" w:cs="Arial"/>
          <w:sz w:val="24"/>
          <w:szCs w:val="24"/>
          <w:lang w:val="en-US"/>
        </w:rPr>
      </w:pPr>
      <w:r w:rsidRPr="005648A5">
        <w:rPr>
          <w:rFonts w:ascii="Arial" w:hAnsi="Arial" w:cs="Arial"/>
          <w:sz w:val="24"/>
          <w:szCs w:val="24"/>
          <w:lang w:val="en-US"/>
        </w:rPr>
        <w:t xml:space="preserve">The formula for the survival probability at time t, S(t), is S(t)=exp(-H(t)). H(t) is the cumulative hazard that is calculated from the baseline hazard (H0) as H(t)=H0(t)*exp(prognostic  index). </w:t>
      </w:r>
      <w:r w:rsidR="00C40697" w:rsidRPr="005648A5">
        <w:rPr>
          <w:rFonts w:ascii="Arial" w:hAnsi="Arial" w:cs="Arial"/>
          <w:sz w:val="24"/>
          <w:szCs w:val="24"/>
          <w:lang w:val="en-US"/>
        </w:rPr>
        <w:t xml:space="preserve">The prognostic index (PI) </w:t>
      </w:r>
      <w:r w:rsidR="00C40697">
        <w:rPr>
          <w:rFonts w:ascii="Arial" w:hAnsi="Arial" w:cs="Arial"/>
          <w:sz w:val="24"/>
          <w:szCs w:val="24"/>
          <w:lang w:val="en-US"/>
        </w:rPr>
        <w:t>can be calculated by multiplying the values for the numerical predictors by the regression coefficient and to select the additional regression coefficients corresponding with the patient characteristics from the value list and taking</w:t>
      </w:r>
      <w:r w:rsidR="00C40697" w:rsidRPr="005648A5">
        <w:rPr>
          <w:rFonts w:ascii="Arial" w:hAnsi="Arial" w:cs="Arial"/>
          <w:sz w:val="24"/>
          <w:szCs w:val="24"/>
          <w:lang w:val="en-US"/>
        </w:rPr>
        <w:t xml:space="preserve"> the sum of </w:t>
      </w:r>
      <w:r w:rsidR="00C40697">
        <w:rPr>
          <w:rFonts w:ascii="Arial" w:hAnsi="Arial" w:cs="Arial"/>
          <w:sz w:val="24"/>
          <w:szCs w:val="24"/>
          <w:lang w:val="en-US"/>
        </w:rPr>
        <w:t xml:space="preserve">all regression coefficients. </w:t>
      </w:r>
      <w:r w:rsidR="00C40697" w:rsidRPr="005648A5">
        <w:rPr>
          <w:rFonts w:ascii="Arial" w:hAnsi="Arial" w:cs="Arial"/>
          <w:sz w:val="24"/>
          <w:szCs w:val="24"/>
          <w:lang w:val="en-US"/>
        </w:rPr>
        <w:t xml:space="preserve"> </w:t>
      </w:r>
      <w:r w:rsidR="00C40697">
        <w:rPr>
          <w:rFonts w:ascii="Arial" w:hAnsi="Arial" w:cs="Arial"/>
          <w:sz w:val="24"/>
          <w:szCs w:val="24"/>
          <w:lang w:val="en-US"/>
        </w:rPr>
        <w:t>The survival probabilities can be calculated with the formula shown above, using the prognostic index and the baseline hazards for the survival time.</w:t>
      </w:r>
      <w:r w:rsidRPr="005648A5">
        <w:rPr>
          <w:rFonts w:ascii="Arial" w:hAnsi="Arial" w:cs="Arial"/>
          <w:sz w:val="24"/>
          <w:szCs w:val="24"/>
          <w:lang w:val="en-US"/>
        </w:rPr>
        <w:t xml:space="preserve"> </w:t>
      </w:r>
      <w:r w:rsidRPr="005648A5">
        <w:rPr>
          <w:rFonts w:ascii="Arial" w:hAnsi="Arial" w:cs="Arial"/>
          <w:sz w:val="24"/>
          <w:szCs w:val="24"/>
          <w:lang w:val="en-US"/>
        </w:rPr>
        <w:br/>
        <w:t xml:space="preserve">To illustrate how the formula can be used </w:t>
      </w:r>
      <w:r w:rsidR="00C40697">
        <w:rPr>
          <w:rFonts w:ascii="Arial" w:hAnsi="Arial" w:cs="Arial"/>
          <w:sz w:val="24"/>
          <w:szCs w:val="24"/>
          <w:lang w:val="en-US"/>
        </w:rPr>
        <w:t xml:space="preserve">to compute predicted survival </w:t>
      </w:r>
      <w:r w:rsidRPr="005648A5">
        <w:rPr>
          <w:rFonts w:ascii="Arial" w:hAnsi="Arial" w:cs="Arial"/>
          <w:sz w:val="24"/>
          <w:szCs w:val="24"/>
          <w:lang w:val="en-US"/>
        </w:rPr>
        <w:t xml:space="preserve">consider </w:t>
      </w:r>
      <w:r w:rsidR="00C40697">
        <w:rPr>
          <w:rFonts w:ascii="Arial" w:hAnsi="Arial" w:cs="Arial"/>
          <w:sz w:val="24"/>
          <w:szCs w:val="24"/>
          <w:lang w:val="en-US"/>
        </w:rPr>
        <w:t>the first example from the results section of the manuscript:</w:t>
      </w:r>
    </w:p>
    <w:p w:rsidR="00C40697" w:rsidRDefault="00C40697" w:rsidP="00C40697">
      <w:pPr>
        <w:spacing w:line="480" w:lineRule="auto"/>
        <w:rPr>
          <w:rFonts w:ascii="Arial" w:hAnsi="Arial" w:cs="Arial"/>
          <w:sz w:val="24"/>
          <w:szCs w:val="24"/>
          <w:lang w:val="en-US"/>
        </w:rPr>
      </w:pPr>
      <w:r w:rsidRPr="000126D9">
        <w:rPr>
          <w:rFonts w:ascii="Arial" w:hAnsi="Arial" w:cs="Arial"/>
          <w:sz w:val="24"/>
          <w:szCs w:val="24"/>
          <w:lang w:val="en-US"/>
        </w:rPr>
        <w:t xml:space="preserve">The first patient is a 59 year old male patient with renal vascular disease, a BMI of 25, smoking in the past, longer than 3 months before RRT start, no history of angina pectoris, peripheral vascular accident, malignancy and </w:t>
      </w:r>
      <w:proofErr w:type="spellStart"/>
      <w:r w:rsidRPr="000126D9">
        <w:rPr>
          <w:rFonts w:ascii="Arial" w:hAnsi="Arial" w:cs="Arial"/>
          <w:sz w:val="24"/>
          <w:szCs w:val="24"/>
          <w:lang w:val="en-US"/>
        </w:rPr>
        <w:t>myocardinfarct</w:t>
      </w:r>
      <w:proofErr w:type="spellEnd"/>
      <w:r w:rsidRPr="000126D9">
        <w:rPr>
          <w:rFonts w:ascii="Arial" w:hAnsi="Arial" w:cs="Arial"/>
          <w:sz w:val="24"/>
          <w:szCs w:val="24"/>
          <w:lang w:val="en-US"/>
        </w:rPr>
        <w:t xml:space="preserve">, a </w:t>
      </w:r>
      <w:proofErr w:type="spellStart"/>
      <w:r w:rsidRPr="000126D9">
        <w:rPr>
          <w:rFonts w:ascii="Arial" w:hAnsi="Arial" w:cs="Arial"/>
          <w:sz w:val="24"/>
          <w:szCs w:val="24"/>
          <w:lang w:val="en-US"/>
        </w:rPr>
        <w:t>charlson</w:t>
      </w:r>
      <w:proofErr w:type="spellEnd"/>
      <w:r w:rsidRPr="000126D9">
        <w:rPr>
          <w:rFonts w:ascii="Arial" w:hAnsi="Arial" w:cs="Arial"/>
          <w:sz w:val="24"/>
          <w:szCs w:val="24"/>
          <w:lang w:val="en-US"/>
        </w:rPr>
        <w:t xml:space="preserve"> </w:t>
      </w:r>
      <w:proofErr w:type="spellStart"/>
      <w:r w:rsidRPr="000126D9">
        <w:rPr>
          <w:rFonts w:ascii="Arial" w:hAnsi="Arial" w:cs="Arial"/>
          <w:sz w:val="24"/>
          <w:szCs w:val="24"/>
          <w:lang w:val="en-US"/>
        </w:rPr>
        <w:t>comorbidity</w:t>
      </w:r>
      <w:proofErr w:type="spellEnd"/>
      <w:r w:rsidRPr="000126D9">
        <w:rPr>
          <w:rFonts w:ascii="Arial" w:hAnsi="Arial" w:cs="Arial"/>
          <w:sz w:val="24"/>
          <w:szCs w:val="24"/>
          <w:lang w:val="en-US"/>
        </w:rPr>
        <w:t xml:space="preserve"> score of 2, a </w:t>
      </w:r>
      <w:proofErr w:type="spellStart"/>
      <w:r w:rsidRPr="000126D9">
        <w:rPr>
          <w:rFonts w:ascii="Arial" w:hAnsi="Arial" w:cs="Arial"/>
          <w:sz w:val="24"/>
          <w:szCs w:val="24"/>
          <w:lang w:val="en-US"/>
        </w:rPr>
        <w:t>Karnofsky</w:t>
      </w:r>
      <w:proofErr w:type="spellEnd"/>
      <w:r w:rsidRPr="000126D9">
        <w:rPr>
          <w:rFonts w:ascii="Arial" w:hAnsi="Arial" w:cs="Arial"/>
          <w:sz w:val="24"/>
          <w:szCs w:val="24"/>
          <w:lang w:val="en-US"/>
        </w:rPr>
        <w:t xml:space="preserve"> score of 80, cholesterol level is 5 </w:t>
      </w:r>
      <w:proofErr w:type="spellStart"/>
      <w:r w:rsidRPr="000126D9">
        <w:rPr>
          <w:rFonts w:ascii="Arial" w:hAnsi="Arial" w:cs="Arial"/>
          <w:sz w:val="24"/>
          <w:szCs w:val="24"/>
          <w:lang w:val="en-US"/>
        </w:rPr>
        <w:t>mmol</w:t>
      </w:r>
      <w:proofErr w:type="spellEnd"/>
      <w:r w:rsidRPr="000126D9">
        <w:rPr>
          <w:rFonts w:ascii="Arial" w:hAnsi="Arial" w:cs="Arial"/>
          <w:sz w:val="24"/>
          <w:szCs w:val="24"/>
          <w:lang w:val="en-US"/>
        </w:rPr>
        <w:t xml:space="preserve">/l, phosphate 1.8 </w:t>
      </w:r>
      <w:proofErr w:type="spellStart"/>
      <w:r w:rsidRPr="000126D9">
        <w:rPr>
          <w:rFonts w:ascii="Arial" w:hAnsi="Arial" w:cs="Arial"/>
          <w:sz w:val="24"/>
          <w:szCs w:val="24"/>
          <w:lang w:val="en-US"/>
        </w:rPr>
        <w:t>mmol</w:t>
      </w:r>
      <w:proofErr w:type="spellEnd"/>
      <w:r w:rsidRPr="000126D9">
        <w:rPr>
          <w:rFonts w:ascii="Arial" w:hAnsi="Arial" w:cs="Arial"/>
          <w:sz w:val="24"/>
          <w:szCs w:val="24"/>
          <w:lang w:val="en-US"/>
        </w:rPr>
        <w:t xml:space="preserve">/l and albumin 36 g/l, starting on </w:t>
      </w:r>
      <w:proofErr w:type="spellStart"/>
      <w:r w:rsidRPr="000126D9">
        <w:rPr>
          <w:rFonts w:ascii="Arial" w:hAnsi="Arial" w:cs="Arial"/>
          <w:sz w:val="24"/>
          <w:szCs w:val="24"/>
          <w:lang w:val="en-US"/>
        </w:rPr>
        <w:t>hemodialysis</w:t>
      </w:r>
      <w:proofErr w:type="spellEnd"/>
      <w:r w:rsidRPr="000126D9">
        <w:rPr>
          <w:rFonts w:ascii="Arial" w:hAnsi="Arial" w:cs="Arial"/>
          <w:sz w:val="24"/>
          <w:szCs w:val="24"/>
          <w:lang w:val="en-US"/>
        </w:rPr>
        <w:t xml:space="preserve">.  </w:t>
      </w:r>
      <w:r w:rsidRPr="005648A5">
        <w:rPr>
          <w:rFonts w:ascii="Arial" w:hAnsi="Arial" w:cs="Arial"/>
          <w:sz w:val="24"/>
          <w:szCs w:val="24"/>
          <w:lang w:val="en-US"/>
        </w:rPr>
        <w:br/>
      </w:r>
      <w:r>
        <w:rPr>
          <w:rFonts w:ascii="Arial" w:hAnsi="Arial" w:cs="Arial"/>
          <w:sz w:val="24"/>
          <w:szCs w:val="24"/>
          <w:lang w:val="en-US"/>
        </w:rPr>
        <w:t>In the recalibrated ‘registry’ model this patient</w:t>
      </w:r>
      <w:r w:rsidRPr="005648A5">
        <w:rPr>
          <w:rFonts w:ascii="Arial" w:hAnsi="Arial" w:cs="Arial"/>
          <w:sz w:val="24"/>
          <w:szCs w:val="24"/>
          <w:lang w:val="en-US"/>
        </w:rPr>
        <w:t xml:space="preserve"> has a prognostic index (PI) of ((age*0.0</w:t>
      </w:r>
      <w:r>
        <w:rPr>
          <w:rFonts w:ascii="Arial" w:hAnsi="Arial" w:cs="Arial"/>
          <w:sz w:val="24"/>
          <w:szCs w:val="24"/>
          <w:lang w:val="en-US"/>
        </w:rPr>
        <w:t>6</w:t>
      </w:r>
      <w:r w:rsidRPr="005648A5">
        <w:rPr>
          <w:rFonts w:ascii="Arial" w:hAnsi="Arial" w:cs="Arial"/>
          <w:sz w:val="24"/>
          <w:szCs w:val="24"/>
          <w:lang w:val="en-US"/>
        </w:rPr>
        <w:t>4=)5</w:t>
      </w:r>
      <w:r>
        <w:rPr>
          <w:rFonts w:ascii="Arial" w:hAnsi="Arial" w:cs="Arial"/>
          <w:sz w:val="24"/>
          <w:szCs w:val="24"/>
          <w:lang w:val="en-US"/>
        </w:rPr>
        <w:t>9</w:t>
      </w:r>
      <w:r w:rsidRPr="005648A5">
        <w:rPr>
          <w:rFonts w:ascii="Arial" w:hAnsi="Arial" w:cs="Arial"/>
          <w:sz w:val="24"/>
          <w:szCs w:val="24"/>
          <w:lang w:val="en-US"/>
        </w:rPr>
        <w:t>*0.0</w:t>
      </w:r>
      <w:r>
        <w:rPr>
          <w:rFonts w:ascii="Arial" w:hAnsi="Arial" w:cs="Arial"/>
          <w:sz w:val="24"/>
          <w:szCs w:val="24"/>
          <w:lang w:val="en-US"/>
        </w:rPr>
        <w:t>6</w:t>
      </w:r>
      <w:r w:rsidRPr="005648A5">
        <w:rPr>
          <w:rFonts w:ascii="Arial" w:hAnsi="Arial" w:cs="Arial"/>
          <w:sz w:val="24"/>
          <w:szCs w:val="24"/>
          <w:lang w:val="en-US"/>
        </w:rPr>
        <w:t>4=)</w:t>
      </w:r>
      <w:r>
        <w:rPr>
          <w:rFonts w:ascii="Arial" w:hAnsi="Arial" w:cs="Arial"/>
          <w:sz w:val="24"/>
          <w:szCs w:val="24"/>
          <w:lang w:val="en-US"/>
        </w:rPr>
        <w:t>3</w:t>
      </w:r>
      <w:r w:rsidRPr="005648A5">
        <w:rPr>
          <w:rFonts w:ascii="Arial" w:hAnsi="Arial" w:cs="Arial"/>
          <w:sz w:val="24"/>
          <w:szCs w:val="24"/>
          <w:lang w:val="en-US"/>
        </w:rPr>
        <w:t>.</w:t>
      </w:r>
      <w:r>
        <w:rPr>
          <w:rFonts w:ascii="Arial" w:hAnsi="Arial" w:cs="Arial"/>
          <w:sz w:val="24"/>
          <w:szCs w:val="24"/>
          <w:lang w:val="en-US"/>
        </w:rPr>
        <w:t>7</w:t>
      </w:r>
      <w:r w:rsidRPr="005648A5">
        <w:rPr>
          <w:rFonts w:ascii="Arial" w:hAnsi="Arial" w:cs="Arial"/>
          <w:sz w:val="24"/>
          <w:szCs w:val="24"/>
          <w:lang w:val="en-US"/>
        </w:rPr>
        <w:t>7)+((male=)0.06</w:t>
      </w:r>
      <w:r>
        <w:rPr>
          <w:rFonts w:ascii="Arial" w:hAnsi="Arial" w:cs="Arial"/>
          <w:sz w:val="24"/>
          <w:szCs w:val="24"/>
          <w:lang w:val="en-US"/>
        </w:rPr>
        <w:t>9</w:t>
      </w:r>
      <w:r w:rsidRPr="005648A5">
        <w:rPr>
          <w:rFonts w:ascii="Arial" w:hAnsi="Arial" w:cs="Arial"/>
          <w:sz w:val="24"/>
          <w:szCs w:val="24"/>
          <w:lang w:val="en-US"/>
        </w:rPr>
        <w:t>)+((</w:t>
      </w:r>
      <w:r>
        <w:rPr>
          <w:rFonts w:ascii="Arial" w:hAnsi="Arial" w:cs="Arial"/>
          <w:sz w:val="24"/>
          <w:szCs w:val="24"/>
          <w:lang w:val="en-US"/>
        </w:rPr>
        <w:t>renal vascular disease</w:t>
      </w:r>
      <w:r w:rsidRPr="005648A5">
        <w:rPr>
          <w:rFonts w:ascii="Arial" w:hAnsi="Arial" w:cs="Arial"/>
          <w:sz w:val="24"/>
          <w:szCs w:val="24"/>
          <w:lang w:val="en-US"/>
        </w:rPr>
        <w:t>=)0.</w:t>
      </w:r>
      <w:r>
        <w:rPr>
          <w:rFonts w:ascii="Arial" w:hAnsi="Arial" w:cs="Arial"/>
          <w:sz w:val="24"/>
          <w:szCs w:val="24"/>
          <w:lang w:val="en-US"/>
        </w:rPr>
        <w:t>807</w:t>
      </w:r>
      <w:r w:rsidRPr="005648A5">
        <w:rPr>
          <w:rFonts w:ascii="Arial" w:hAnsi="Arial" w:cs="Arial"/>
          <w:sz w:val="24"/>
          <w:szCs w:val="24"/>
          <w:lang w:val="en-US"/>
        </w:rPr>
        <w:t>+((</w:t>
      </w:r>
      <w:proofErr w:type="spellStart"/>
      <w:r>
        <w:rPr>
          <w:rFonts w:ascii="Arial" w:hAnsi="Arial" w:cs="Arial"/>
          <w:sz w:val="24"/>
          <w:szCs w:val="24"/>
          <w:lang w:val="en-US"/>
        </w:rPr>
        <w:t>hemo</w:t>
      </w:r>
      <w:r w:rsidRPr="005648A5">
        <w:rPr>
          <w:rFonts w:ascii="Arial" w:hAnsi="Arial" w:cs="Arial"/>
          <w:sz w:val="24"/>
          <w:szCs w:val="24"/>
          <w:lang w:val="en-US"/>
        </w:rPr>
        <w:t>dialysis</w:t>
      </w:r>
      <w:proofErr w:type="spellEnd"/>
      <w:r w:rsidRPr="005648A5">
        <w:rPr>
          <w:rFonts w:ascii="Arial" w:hAnsi="Arial" w:cs="Arial"/>
          <w:sz w:val="24"/>
          <w:szCs w:val="24"/>
          <w:lang w:val="en-US"/>
        </w:rPr>
        <w:t>=)</w:t>
      </w:r>
      <w:r>
        <w:rPr>
          <w:rFonts w:ascii="Arial" w:hAnsi="Arial" w:cs="Arial"/>
          <w:sz w:val="24"/>
          <w:szCs w:val="24"/>
          <w:lang w:val="en-US"/>
        </w:rPr>
        <w:t>0</w:t>
      </w:r>
      <w:r w:rsidRPr="005648A5">
        <w:rPr>
          <w:rFonts w:ascii="Arial" w:hAnsi="Arial" w:cs="Arial"/>
          <w:sz w:val="24"/>
          <w:szCs w:val="24"/>
          <w:lang w:val="en-US"/>
        </w:rPr>
        <w:t>)=</w:t>
      </w:r>
      <w:r>
        <w:rPr>
          <w:rFonts w:ascii="Arial" w:hAnsi="Arial" w:cs="Arial"/>
          <w:sz w:val="24"/>
          <w:szCs w:val="24"/>
          <w:lang w:val="en-US"/>
        </w:rPr>
        <w:t>4</w:t>
      </w:r>
      <w:r w:rsidRPr="005648A5">
        <w:rPr>
          <w:rFonts w:ascii="Arial" w:hAnsi="Arial" w:cs="Arial"/>
          <w:sz w:val="24"/>
          <w:szCs w:val="24"/>
          <w:lang w:val="en-US"/>
        </w:rPr>
        <w:t>.</w:t>
      </w:r>
      <w:r>
        <w:rPr>
          <w:rFonts w:ascii="Arial" w:hAnsi="Arial" w:cs="Arial"/>
          <w:sz w:val="24"/>
          <w:szCs w:val="24"/>
          <w:lang w:val="en-US"/>
        </w:rPr>
        <w:t>64</w:t>
      </w:r>
      <w:r w:rsidRPr="005648A5">
        <w:rPr>
          <w:rFonts w:ascii="Arial" w:hAnsi="Arial" w:cs="Arial"/>
          <w:sz w:val="24"/>
          <w:szCs w:val="24"/>
          <w:lang w:val="en-US"/>
        </w:rPr>
        <w:t>.</w:t>
      </w:r>
      <w:r w:rsidR="00F363B6" w:rsidRPr="005648A5">
        <w:rPr>
          <w:rFonts w:ascii="Arial" w:hAnsi="Arial" w:cs="Arial"/>
          <w:sz w:val="24"/>
          <w:szCs w:val="24"/>
          <w:lang w:val="en-US"/>
        </w:rPr>
        <w:t xml:space="preserve"> </w:t>
      </w:r>
    </w:p>
    <w:p w:rsidR="00C40697" w:rsidRDefault="00C40697" w:rsidP="00C40697">
      <w:pPr>
        <w:spacing w:line="480" w:lineRule="auto"/>
        <w:rPr>
          <w:rFonts w:ascii="Arial" w:hAnsi="Arial" w:cs="Arial"/>
          <w:sz w:val="24"/>
          <w:szCs w:val="24"/>
          <w:lang w:val="en-US"/>
        </w:rPr>
      </w:pPr>
      <w:r>
        <w:rPr>
          <w:rFonts w:ascii="Arial" w:hAnsi="Arial" w:cs="Arial"/>
          <w:sz w:val="24"/>
          <w:szCs w:val="24"/>
          <w:lang w:val="en-US"/>
        </w:rPr>
        <w:lastRenderedPageBreak/>
        <w:t>The predicted 5-year survival for this patient is: exp(-(0.007*exp(4.64)))=exp(-0.71)=49%. The 10-year survival for this patient is: exp(-(0.013*exp(4.64)))=exp(-(1.36)=26%.</w:t>
      </w:r>
    </w:p>
    <w:p w:rsidR="00C40697" w:rsidRDefault="00C40697" w:rsidP="00C40697">
      <w:pPr>
        <w:spacing w:line="480" w:lineRule="auto"/>
        <w:rPr>
          <w:rFonts w:ascii="Arial" w:hAnsi="Arial" w:cs="Arial"/>
          <w:sz w:val="24"/>
          <w:szCs w:val="24"/>
          <w:lang w:val="en-US"/>
        </w:rPr>
      </w:pPr>
      <w:r>
        <w:rPr>
          <w:rFonts w:ascii="Arial" w:hAnsi="Arial" w:cs="Arial"/>
          <w:sz w:val="24"/>
          <w:szCs w:val="24"/>
          <w:lang w:val="en-US"/>
        </w:rPr>
        <w:t>In the ‘easy’ model this patient</w:t>
      </w:r>
      <w:r w:rsidRPr="005648A5">
        <w:rPr>
          <w:rFonts w:ascii="Arial" w:hAnsi="Arial" w:cs="Arial"/>
          <w:sz w:val="24"/>
          <w:szCs w:val="24"/>
          <w:lang w:val="en-US"/>
        </w:rPr>
        <w:t xml:space="preserve"> has a prognostic index (PI) of ((</w:t>
      </w:r>
      <w:r>
        <w:rPr>
          <w:rFonts w:ascii="Arial" w:hAnsi="Arial" w:cs="Arial"/>
          <w:sz w:val="24"/>
          <w:szCs w:val="24"/>
          <w:lang w:val="en-US"/>
        </w:rPr>
        <w:t>(</w:t>
      </w:r>
      <w:r w:rsidRPr="005648A5">
        <w:rPr>
          <w:rFonts w:ascii="Arial" w:hAnsi="Arial" w:cs="Arial"/>
          <w:sz w:val="24"/>
          <w:szCs w:val="24"/>
          <w:lang w:val="en-US"/>
        </w:rPr>
        <w:t>age*0.0</w:t>
      </w:r>
      <w:r>
        <w:rPr>
          <w:rFonts w:ascii="Arial" w:hAnsi="Arial" w:cs="Arial"/>
          <w:sz w:val="24"/>
          <w:szCs w:val="24"/>
          <w:lang w:val="en-US"/>
        </w:rPr>
        <w:t>29</w:t>
      </w:r>
      <w:r w:rsidRPr="005648A5">
        <w:rPr>
          <w:rFonts w:ascii="Arial" w:hAnsi="Arial" w:cs="Arial"/>
          <w:sz w:val="24"/>
          <w:szCs w:val="24"/>
          <w:lang w:val="en-US"/>
        </w:rPr>
        <w:t>=)5</w:t>
      </w:r>
      <w:r>
        <w:rPr>
          <w:rFonts w:ascii="Arial" w:hAnsi="Arial" w:cs="Arial"/>
          <w:sz w:val="24"/>
          <w:szCs w:val="24"/>
          <w:lang w:val="en-US"/>
        </w:rPr>
        <w:t>9</w:t>
      </w:r>
      <w:r w:rsidRPr="005648A5">
        <w:rPr>
          <w:rFonts w:ascii="Arial" w:hAnsi="Arial" w:cs="Arial"/>
          <w:sz w:val="24"/>
          <w:szCs w:val="24"/>
          <w:lang w:val="en-US"/>
        </w:rPr>
        <w:t>*0.0</w:t>
      </w:r>
      <w:r>
        <w:rPr>
          <w:rFonts w:ascii="Arial" w:hAnsi="Arial" w:cs="Arial"/>
          <w:sz w:val="24"/>
          <w:szCs w:val="24"/>
          <w:lang w:val="en-US"/>
        </w:rPr>
        <w:t>29</w:t>
      </w:r>
      <w:r w:rsidRPr="005648A5">
        <w:rPr>
          <w:rFonts w:ascii="Arial" w:hAnsi="Arial" w:cs="Arial"/>
          <w:sz w:val="24"/>
          <w:szCs w:val="24"/>
          <w:lang w:val="en-US"/>
        </w:rPr>
        <w:t>=)</w:t>
      </w:r>
      <w:r>
        <w:rPr>
          <w:rFonts w:ascii="Arial" w:hAnsi="Arial" w:cs="Arial"/>
          <w:sz w:val="24"/>
          <w:szCs w:val="24"/>
          <w:lang w:val="en-US"/>
        </w:rPr>
        <w:t>1.69)</w:t>
      </w:r>
      <w:r w:rsidRPr="005648A5">
        <w:rPr>
          <w:rFonts w:ascii="Arial" w:hAnsi="Arial" w:cs="Arial"/>
          <w:sz w:val="24"/>
          <w:szCs w:val="24"/>
          <w:lang w:val="en-US"/>
        </w:rPr>
        <w:t>+((</w:t>
      </w:r>
      <w:r>
        <w:rPr>
          <w:rFonts w:ascii="Arial" w:hAnsi="Arial" w:cs="Arial"/>
          <w:sz w:val="24"/>
          <w:szCs w:val="24"/>
          <w:lang w:val="en-US"/>
        </w:rPr>
        <w:t>renal vascular disease</w:t>
      </w:r>
      <w:r w:rsidRPr="005648A5">
        <w:rPr>
          <w:rFonts w:ascii="Arial" w:hAnsi="Arial" w:cs="Arial"/>
          <w:sz w:val="24"/>
          <w:szCs w:val="24"/>
          <w:lang w:val="en-US"/>
        </w:rPr>
        <w:t>=)0.</w:t>
      </w:r>
      <w:r>
        <w:rPr>
          <w:rFonts w:ascii="Arial" w:hAnsi="Arial" w:cs="Arial"/>
          <w:sz w:val="24"/>
          <w:szCs w:val="24"/>
          <w:lang w:val="en-US"/>
        </w:rPr>
        <w:t>445</w:t>
      </w:r>
      <w:r w:rsidRPr="005648A5">
        <w:rPr>
          <w:rFonts w:ascii="Arial" w:hAnsi="Arial" w:cs="Arial"/>
          <w:sz w:val="24"/>
          <w:szCs w:val="24"/>
          <w:lang w:val="en-US"/>
        </w:rPr>
        <w:t>+</w:t>
      </w:r>
      <w:r>
        <w:rPr>
          <w:rFonts w:ascii="Arial" w:hAnsi="Arial" w:cs="Arial"/>
          <w:sz w:val="24"/>
          <w:szCs w:val="24"/>
          <w:lang w:val="en-US"/>
        </w:rPr>
        <w:t>((smoking longer than 3 months ago=)0.013)+((BMI</w:t>
      </w:r>
      <w:r w:rsidR="00711D71">
        <w:rPr>
          <w:rFonts w:ascii="Arial" w:hAnsi="Arial" w:cs="Arial"/>
          <w:sz w:val="24"/>
          <w:szCs w:val="24"/>
          <w:lang w:val="en-US"/>
        </w:rPr>
        <w:t>20-30=)-0.270)+((</w:t>
      </w:r>
      <w:proofErr w:type="spellStart"/>
      <w:r w:rsidR="00711D71">
        <w:rPr>
          <w:rFonts w:ascii="Arial" w:hAnsi="Arial" w:cs="Arial"/>
          <w:sz w:val="24"/>
          <w:szCs w:val="24"/>
          <w:lang w:val="en-US"/>
        </w:rPr>
        <w:t>charlson</w:t>
      </w:r>
      <w:proofErr w:type="spellEnd"/>
      <w:r w:rsidR="00711D71">
        <w:rPr>
          <w:rFonts w:ascii="Arial" w:hAnsi="Arial" w:cs="Arial"/>
          <w:sz w:val="24"/>
          <w:szCs w:val="24"/>
          <w:lang w:val="en-US"/>
        </w:rPr>
        <w:t xml:space="preserve"> score </w:t>
      </w:r>
      <w:r>
        <w:rPr>
          <w:rFonts w:ascii="Arial" w:hAnsi="Arial" w:cs="Arial"/>
          <w:sz w:val="24"/>
          <w:szCs w:val="24"/>
          <w:lang w:val="en-US"/>
        </w:rPr>
        <w:t>2=)0.995)+((</w:t>
      </w:r>
      <w:proofErr w:type="spellStart"/>
      <w:r>
        <w:rPr>
          <w:rFonts w:ascii="Arial" w:hAnsi="Arial" w:cs="Arial"/>
          <w:sz w:val="24"/>
          <w:szCs w:val="24"/>
          <w:lang w:val="en-US"/>
        </w:rPr>
        <w:t>karnofsky</w:t>
      </w:r>
      <w:proofErr w:type="spellEnd"/>
      <w:r>
        <w:rPr>
          <w:rFonts w:ascii="Arial" w:hAnsi="Arial" w:cs="Arial"/>
          <w:sz w:val="24"/>
          <w:szCs w:val="24"/>
          <w:lang w:val="en-US"/>
        </w:rPr>
        <w:t xml:space="preserve"> 80=)-1.902)=1.78.</w:t>
      </w:r>
    </w:p>
    <w:p w:rsidR="00C40697" w:rsidRDefault="00C40697" w:rsidP="00C40697">
      <w:pPr>
        <w:spacing w:line="480" w:lineRule="auto"/>
        <w:rPr>
          <w:rFonts w:ascii="Arial" w:hAnsi="Arial" w:cs="Arial"/>
          <w:sz w:val="24"/>
          <w:szCs w:val="24"/>
          <w:lang w:val="en-US"/>
        </w:rPr>
      </w:pPr>
      <w:r>
        <w:rPr>
          <w:rFonts w:ascii="Arial" w:hAnsi="Arial" w:cs="Arial"/>
          <w:sz w:val="24"/>
          <w:szCs w:val="24"/>
          <w:lang w:val="en-US"/>
        </w:rPr>
        <w:t>The predicted 5-year survival for this patient is: exp(-(0.123*exp(1.78)))=exp(-0.73)=48%. The 10-year survival for this patient is: exp(-(0.257*exp(1.78)))=exp(-(1.52)=22%.</w:t>
      </w:r>
    </w:p>
    <w:p w:rsidR="00C40697" w:rsidRDefault="00C40697" w:rsidP="00C40697">
      <w:pPr>
        <w:spacing w:line="480" w:lineRule="auto"/>
        <w:rPr>
          <w:rFonts w:ascii="Arial" w:hAnsi="Arial" w:cs="Arial"/>
          <w:sz w:val="24"/>
          <w:szCs w:val="24"/>
          <w:lang w:val="en-US"/>
        </w:rPr>
      </w:pPr>
      <w:r>
        <w:rPr>
          <w:rFonts w:ascii="Arial" w:hAnsi="Arial" w:cs="Arial"/>
          <w:sz w:val="24"/>
          <w:szCs w:val="24"/>
          <w:lang w:val="en-US"/>
        </w:rPr>
        <w:t>In the ‘elaborate’ model this patient</w:t>
      </w:r>
      <w:r w:rsidRPr="005648A5">
        <w:rPr>
          <w:rFonts w:ascii="Arial" w:hAnsi="Arial" w:cs="Arial"/>
          <w:sz w:val="24"/>
          <w:szCs w:val="24"/>
          <w:lang w:val="en-US"/>
        </w:rPr>
        <w:t xml:space="preserve"> has a prognostic index (PI) of ((</w:t>
      </w:r>
      <w:r>
        <w:rPr>
          <w:rFonts w:ascii="Arial" w:hAnsi="Arial" w:cs="Arial"/>
          <w:sz w:val="24"/>
          <w:szCs w:val="24"/>
          <w:lang w:val="en-US"/>
        </w:rPr>
        <w:t>(</w:t>
      </w:r>
      <w:r w:rsidRPr="005648A5">
        <w:rPr>
          <w:rFonts w:ascii="Arial" w:hAnsi="Arial" w:cs="Arial"/>
          <w:sz w:val="24"/>
          <w:szCs w:val="24"/>
          <w:lang w:val="en-US"/>
        </w:rPr>
        <w:t>age*0.0</w:t>
      </w:r>
      <w:r>
        <w:rPr>
          <w:rFonts w:ascii="Arial" w:hAnsi="Arial" w:cs="Arial"/>
          <w:sz w:val="24"/>
          <w:szCs w:val="24"/>
          <w:lang w:val="en-US"/>
        </w:rPr>
        <w:t>31</w:t>
      </w:r>
      <w:r w:rsidRPr="005648A5">
        <w:rPr>
          <w:rFonts w:ascii="Arial" w:hAnsi="Arial" w:cs="Arial"/>
          <w:sz w:val="24"/>
          <w:szCs w:val="24"/>
          <w:lang w:val="en-US"/>
        </w:rPr>
        <w:t>=)5</w:t>
      </w:r>
      <w:r>
        <w:rPr>
          <w:rFonts w:ascii="Arial" w:hAnsi="Arial" w:cs="Arial"/>
          <w:sz w:val="24"/>
          <w:szCs w:val="24"/>
          <w:lang w:val="en-US"/>
        </w:rPr>
        <w:t>9</w:t>
      </w:r>
      <w:r w:rsidRPr="005648A5">
        <w:rPr>
          <w:rFonts w:ascii="Arial" w:hAnsi="Arial" w:cs="Arial"/>
          <w:sz w:val="24"/>
          <w:szCs w:val="24"/>
          <w:lang w:val="en-US"/>
        </w:rPr>
        <w:t>*0.0</w:t>
      </w:r>
      <w:r>
        <w:rPr>
          <w:rFonts w:ascii="Arial" w:hAnsi="Arial" w:cs="Arial"/>
          <w:sz w:val="24"/>
          <w:szCs w:val="24"/>
          <w:lang w:val="en-US"/>
        </w:rPr>
        <w:t>31</w:t>
      </w:r>
      <w:r w:rsidRPr="005648A5">
        <w:rPr>
          <w:rFonts w:ascii="Arial" w:hAnsi="Arial" w:cs="Arial"/>
          <w:sz w:val="24"/>
          <w:szCs w:val="24"/>
          <w:lang w:val="en-US"/>
        </w:rPr>
        <w:t>=)</w:t>
      </w:r>
      <w:r>
        <w:rPr>
          <w:rFonts w:ascii="Arial" w:hAnsi="Arial" w:cs="Arial"/>
          <w:sz w:val="24"/>
          <w:szCs w:val="24"/>
          <w:lang w:val="en-US"/>
        </w:rPr>
        <w:t>1.83)</w:t>
      </w:r>
      <w:r w:rsidRPr="005648A5">
        <w:rPr>
          <w:rFonts w:ascii="Arial" w:hAnsi="Arial" w:cs="Arial"/>
          <w:sz w:val="24"/>
          <w:szCs w:val="24"/>
          <w:lang w:val="en-US"/>
        </w:rPr>
        <w:t>+((</w:t>
      </w:r>
      <w:r>
        <w:rPr>
          <w:rFonts w:ascii="Arial" w:hAnsi="Arial" w:cs="Arial"/>
          <w:sz w:val="24"/>
          <w:szCs w:val="24"/>
          <w:lang w:val="en-US"/>
        </w:rPr>
        <w:t>renal vascular disease</w:t>
      </w:r>
      <w:r w:rsidRPr="005648A5">
        <w:rPr>
          <w:rFonts w:ascii="Arial" w:hAnsi="Arial" w:cs="Arial"/>
          <w:sz w:val="24"/>
          <w:szCs w:val="24"/>
          <w:lang w:val="en-US"/>
        </w:rPr>
        <w:t>=)0.</w:t>
      </w:r>
      <w:r>
        <w:rPr>
          <w:rFonts w:ascii="Arial" w:hAnsi="Arial" w:cs="Arial"/>
          <w:sz w:val="24"/>
          <w:szCs w:val="24"/>
          <w:lang w:val="en-US"/>
        </w:rPr>
        <w:t>485</w:t>
      </w:r>
      <w:r w:rsidRPr="005648A5">
        <w:rPr>
          <w:rFonts w:ascii="Arial" w:hAnsi="Arial" w:cs="Arial"/>
          <w:sz w:val="24"/>
          <w:szCs w:val="24"/>
          <w:lang w:val="en-US"/>
        </w:rPr>
        <w:t>+</w:t>
      </w:r>
      <w:r>
        <w:rPr>
          <w:rFonts w:ascii="Arial" w:hAnsi="Arial" w:cs="Arial"/>
          <w:sz w:val="24"/>
          <w:szCs w:val="24"/>
          <w:lang w:val="en-US"/>
        </w:rPr>
        <w:t>((smoking longer than 3 months ago=)0.029+((BMI20-30=)-0.311)+((</w:t>
      </w:r>
      <w:proofErr w:type="spellStart"/>
      <w:r>
        <w:rPr>
          <w:rFonts w:ascii="Arial" w:hAnsi="Arial" w:cs="Arial"/>
          <w:sz w:val="24"/>
          <w:szCs w:val="24"/>
          <w:lang w:val="en-US"/>
        </w:rPr>
        <w:t>charlson</w:t>
      </w:r>
      <w:proofErr w:type="spellEnd"/>
      <w:r>
        <w:rPr>
          <w:rFonts w:ascii="Arial" w:hAnsi="Arial" w:cs="Arial"/>
          <w:sz w:val="24"/>
          <w:szCs w:val="24"/>
          <w:lang w:val="en-US"/>
        </w:rPr>
        <w:t xml:space="preserve"> score 2=)0.934)+((</w:t>
      </w:r>
      <w:proofErr w:type="spellStart"/>
      <w:r>
        <w:rPr>
          <w:rFonts w:ascii="Arial" w:hAnsi="Arial" w:cs="Arial"/>
          <w:sz w:val="24"/>
          <w:szCs w:val="24"/>
          <w:lang w:val="en-US"/>
        </w:rPr>
        <w:t>karnofsky</w:t>
      </w:r>
      <w:proofErr w:type="spellEnd"/>
      <w:r>
        <w:rPr>
          <w:rFonts w:ascii="Arial" w:hAnsi="Arial" w:cs="Arial"/>
          <w:sz w:val="24"/>
          <w:szCs w:val="24"/>
          <w:lang w:val="en-US"/>
        </w:rPr>
        <w:t xml:space="preserve"> 80=)-1.848)+(((</w:t>
      </w:r>
      <w:proofErr w:type="spellStart"/>
      <w:r>
        <w:rPr>
          <w:rFonts w:ascii="Arial" w:hAnsi="Arial" w:cs="Arial"/>
          <w:sz w:val="24"/>
          <w:szCs w:val="24"/>
          <w:lang w:val="en-US"/>
        </w:rPr>
        <w:t>chol</w:t>
      </w:r>
      <w:proofErr w:type="spellEnd"/>
      <w:r>
        <w:rPr>
          <w:rFonts w:ascii="Arial" w:hAnsi="Arial" w:cs="Arial"/>
          <w:sz w:val="24"/>
          <w:szCs w:val="24"/>
          <w:lang w:val="en-US"/>
        </w:rPr>
        <w:t xml:space="preserve"> 5=)5*-0.060=)-0.3)+(((phosphate 1.8=)1.8*0.189=)0.341)+(((albumin 36=)36*-0.019=)-0.692)=1.28.</w:t>
      </w:r>
    </w:p>
    <w:p w:rsidR="00C40697" w:rsidRDefault="00C40697" w:rsidP="00C40697">
      <w:pPr>
        <w:spacing w:line="480" w:lineRule="auto"/>
        <w:rPr>
          <w:rFonts w:ascii="Arial" w:hAnsi="Arial" w:cs="Arial"/>
          <w:sz w:val="24"/>
          <w:szCs w:val="24"/>
          <w:lang w:val="en-US"/>
        </w:rPr>
      </w:pPr>
      <w:r>
        <w:rPr>
          <w:rFonts w:ascii="Arial" w:hAnsi="Arial" w:cs="Arial"/>
          <w:sz w:val="24"/>
          <w:szCs w:val="24"/>
          <w:lang w:val="en-US"/>
        </w:rPr>
        <w:t>The predicted 5-year survival for this patient is: exp(-(0.188*exp(1.28)))=exp(-0.67)=51%. The 10-year survival for this patient is: exp(-(0.4*exp(1.28)))=exp(-(1.43)=24%.</w:t>
      </w:r>
    </w:p>
    <w:p w:rsidR="00F363B6" w:rsidRPr="005648A5" w:rsidRDefault="00F363B6" w:rsidP="00F363B6">
      <w:pPr>
        <w:spacing w:line="480" w:lineRule="auto"/>
        <w:rPr>
          <w:rFonts w:ascii="Arial" w:hAnsi="Arial" w:cs="Arial"/>
          <w:sz w:val="24"/>
          <w:szCs w:val="24"/>
          <w:lang w:val="en-US"/>
        </w:rPr>
      </w:pPr>
    </w:p>
    <w:tbl>
      <w:tblPr>
        <w:tblW w:w="1531" w:type="dxa"/>
        <w:tblInd w:w="108" w:type="dxa"/>
        <w:tblLook w:val="04A0"/>
      </w:tblPr>
      <w:tblGrid>
        <w:gridCol w:w="221"/>
        <w:gridCol w:w="221"/>
        <w:gridCol w:w="11746"/>
        <w:gridCol w:w="220"/>
        <w:gridCol w:w="220"/>
        <w:gridCol w:w="220"/>
        <w:gridCol w:w="220"/>
      </w:tblGrid>
      <w:tr w:rsidR="00672EFE" w:rsidRPr="00EB4B2E" w:rsidTr="00672EFE">
        <w:trPr>
          <w:trHeight w:val="300"/>
        </w:trPr>
        <w:tc>
          <w:tcPr>
            <w:tcW w:w="218" w:type="dxa"/>
            <w:tcBorders>
              <w:top w:val="nil"/>
              <w:left w:val="nil"/>
              <w:bottom w:val="nil"/>
              <w:right w:val="nil"/>
            </w:tcBorders>
            <w:shd w:val="clear" w:color="auto" w:fill="auto"/>
            <w:noWrap/>
            <w:vAlign w:val="bottom"/>
            <w:hideMark/>
          </w:tcPr>
          <w:p w:rsidR="00672EFE" w:rsidRPr="005648A5" w:rsidRDefault="00672EFE" w:rsidP="00C40697">
            <w:pPr>
              <w:spacing w:after="0" w:line="480" w:lineRule="auto"/>
              <w:rPr>
                <w:rFonts w:ascii="Arial" w:eastAsia="Times New Roman" w:hAnsi="Arial" w:cs="Arial"/>
                <w:color w:val="000000"/>
                <w:sz w:val="24"/>
                <w:szCs w:val="24"/>
                <w:lang w:val="en-US"/>
              </w:rPr>
            </w:pPr>
          </w:p>
        </w:tc>
        <w:tc>
          <w:tcPr>
            <w:tcW w:w="218" w:type="dxa"/>
            <w:tcBorders>
              <w:top w:val="nil"/>
              <w:left w:val="nil"/>
              <w:bottom w:val="nil"/>
              <w:right w:val="nil"/>
            </w:tcBorders>
            <w:shd w:val="clear" w:color="auto" w:fill="auto"/>
            <w:noWrap/>
            <w:vAlign w:val="bottom"/>
            <w:hideMark/>
          </w:tcPr>
          <w:p w:rsidR="00672EFE" w:rsidRPr="005648A5" w:rsidRDefault="00672EFE" w:rsidP="00C40697">
            <w:pPr>
              <w:spacing w:after="0" w:line="480" w:lineRule="auto"/>
              <w:rPr>
                <w:rFonts w:ascii="Arial" w:eastAsia="Times New Roman" w:hAnsi="Arial" w:cs="Arial"/>
                <w:color w:val="000000"/>
                <w:sz w:val="24"/>
                <w:szCs w:val="24"/>
                <w:lang w:val="en-US"/>
              </w:rPr>
            </w:pPr>
          </w:p>
        </w:tc>
        <w:tc>
          <w:tcPr>
            <w:tcW w:w="219" w:type="dxa"/>
            <w:tcBorders>
              <w:top w:val="nil"/>
              <w:left w:val="nil"/>
              <w:bottom w:val="nil"/>
              <w:right w:val="nil"/>
            </w:tcBorders>
            <w:shd w:val="clear" w:color="auto" w:fill="auto"/>
            <w:noWrap/>
            <w:vAlign w:val="bottom"/>
            <w:hideMark/>
          </w:tcPr>
          <w:p w:rsidR="0002322E" w:rsidRPr="002A54F3" w:rsidRDefault="0002322E" w:rsidP="0002322E">
            <w:pPr>
              <w:tabs>
                <w:tab w:val="right" w:pos="360"/>
                <w:tab w:val="left" w:pos="540"/>
              </w:tabs>
              <w:spacing w:after="0" w:line="480" w:lineRule="auto"/>
              <w:rPr>
                <w:rFonts w:ascii="Arial" w:hAnsi="Arial" w:cs="Arial"/>
                <w:b/>
                <w:noProof/>
                <w:sz w:val="24"/>
                <w:szCs w:val="24"/>
                <w:lang w:val="en-US"/>
              </w:rPr>
            </w:pPr>
            <w:r>
              <w:rPr>
                <w:rFonts w:ascii="Arial" w:hAnsi="Arial" w:cs="Arial"/>
                <w:b/>
                <w:noProof/>
                <w:sz w:val="24"/>
                <w:szCs w:val="24"/>
                <w:lang w:val="en-US"/>
              </w:rPr>
              <w:t>Appendix table 1</w:t>
            </w:r>
            <w:r w:rsidRPr="002A54F3">
              <w:rPr>
                <w:rFonts w:ascii="Arial" w:hAnsi="Arial" w:cs="Arial"/>
                <w:b/>
                <w:noProof/>
                <w:sz w:val="24"/>
                <w:szCs w:val="24"/>
                <w:lang w:val="en-US"/>
              </w:rPr>
              <w:t xml:space="preserve">: calibration (measured by calibration in the large and calibration slopes) and </w:t>
            </w:r>
            <w:r w:rsidRPr="002A54F3">
              <w:rPr>
                <w:rFonts w:ascii="Arial" w:hAnsi="Arial" w:cs="Arial"/>
                <w:b/>
                <w:noProof/>
                <w:sz w:val="24"/>
                <w:szCs w:val="24"/>
                <w:lang w:val="en-US"/>
              </w:rPr>
              <w:lastRenderedPageBreak/>
              <w:t>discrimination (measured by c-index) for the 3 models for 3 periods of time</w:t>
            </w:r>
          </w:p>
          <w:tbl>
            <w:tblPr>
              <w:tblW w:w="15220" w:type="dxa"/>
              <w:tblInd w:w="95" w:type="dxa"/>
              <w:tblLook w:val="04A0"/>
            </w:tblPr>
            <w:tblGrid>
              <w:gridCol w:w="3433"/>
              <w:gridCol w:w="1419"/>
              <w:gridCol w:w="1419"/>
              <w:gridCol w:w="1419"/>
              <w:gridCol w:w="747"/>
              <w:gridCol w:w="747"/>
              <w:gridCol w:w="747"/>
              <w:gridCol w:w="747"/>
              <w:gridCol w:w="747"/>
            </w:tblGrid>
            <w:tr w:rsidR="0002322E" w:rsidRPr="002A54F3" w:rsidTr="00221162">
              <w:trPr>
                <w:trHeight w:val="615"/>
              </w:trPr>
              <w:tc>
                <w:tcPr>
                  <w:tcW w:w="47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rsidR="0002322E" w:rsidRPr="002A54F3" w:rsidRDefault="0002322E" w:rsidP="00221162">
                  <w:pPr>
                    <w:spacing w:after="0" w:line="240" w:lineRule="auto"/>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recalibrated 'registry' model</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rsidR="0002322E" w:rsidRPr="002A54F3" w:rsidRDefault="0002322E" w:rsidP="00221162">
                  <w:pPr>
                    <w:spacing w:after="0" w:line="240" w:lineRule="auto"/>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'easy' model</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rsidR="0002322E" w:rsidRPr="002A54F3" w:rsidRDefault="0002322E" w:rsidP="00221162">
                  <w:pPr>
                    <w:spacing w:after="0" w:line="240" w:lineRule="auto"/>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'elaborate' model</w:t>
                  </w:r>
                </w:p>
              </w:tc>
              <w:tc>
                <w:tcPr>
                  <w:tcW w:w="960" w:type="dxa"/>
                  <w:tcBorders>
                    <w:top w:val="nil"/>
                    <w:left w:val="nil"/>
                    <w:bottom w:val="nil"/>
                    <w:right w:val="nil"/>
                  </w:tcBorders>
                  <w:shd w:val="clear" w:color="auto" w:fill="auto"/>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2A54F3"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CALIBRATION</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2A54F3"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2A54F3"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 calibration in the large</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2A54F3"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xml:space="preserve">observed 10 year survival: 0.353, </w:t>
                  </w:r>
                  <w:proofErr w:type="spellStart"/>
                  <w:r w:rsidRPr="002A54F3">
                    <w:rPr>
                      <w:rFonts w:ascii="Arial" w:eastAsia="Times New Roman" w:hAnsi="Arial" w:cs="Arial"/>
                      <w:color w:val="000000"/>
                      <w:sz w:val="20"/>
                      <w:szCs w:val="20"/>
                      <w:lang w:val="en-US"/>
                    </w:rPr>
                    <w:t>vs</w:t>
                  </w:r>
                  <w:proofErr w:type="spellEnd"/>
                  <w:r w:rsidRPr="002A54F3">
                    <w:rPr>
                      <w:rFonts w:ascii="Arial" w:eastAsia="Times New Roman" w:hAnsi="Arial" w:cs="Arial"/>
                      <w:color w:val="000000"/>
                      <w:sz w:val="20"/>
                      <w:szCs w:val="20"/>
                      <w:lang w:val="en-US"/>
                    </w:rPr>
                    <w:t xml:space="preserve"> predicted:</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0.352</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0.352</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0.350</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2A54F3"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xml:space="preserve">observed 5 year survival: 0.518, </w:t>
                  </w:r>
                  <w:proofErr w:type="spellStart"/>
                  <w:r w:rsidRPr="002A54F3">
                    <w:rPr>
                      <w:rFonts w:ascii="Arial" w:eastAsia="Times New Roman" w:hAnsi="Arial" w:cs="Arial"/>
                      <w:color w:val="000000"/>
                      <w:sz w:val="20"/>
                      <w:szCs w:val="20"/>
                      <w:lang w:val="en-US"/>
                    </w:rPr>
                    <w:t>vs</w:t>
                  </w:r>
                  <w:proofErr w:type="spellEnd"/>
                  <w:r w:rsidRPr="002A54F3">
                    <w:rPr>
                      <w:rFonts w:ascii="Arial" w:eastAsia="Times New Roman" w:hAnsi="Arial" w:cs="Arial"/>
                      <w:color w:val="000000"/>
                      <w:sz w:val="20"/>
                      <w:szCs w:val="20"/>
                      <w:lang w:val="en-US"/>
                    </w:rPr>
                    <w:t xml:space="preserve"> predicted:</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0.517</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0.50</w:t>
                  </w:r>
                  <w:r>
                    <w:rPr>
                      <w:rFonts w:ascii="Arial" w:eastAsia="Times New Roman" w:hAnsi="Arial" w:cs="Arial"/>
                      <w:color w:val="000000"/>
                      <w:sz w:val="20"/>
                      <w:szCs w:val="20"/>
                      <w:lang w:val="en-US"/>
                    </w:rPr>
                    <w:t>7</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0.50</w:t>
                  </w:r>
                  <w:r>
                    <w:rPr>
                      <w:rFonts w:ascii="Arial" w:eastAsia="Times New Roman" w:hAnsi="Arial" w:cs="Arial"/>
                      <w:color w:val="000000"/>
                      <w:sz w:val="20"/>
                      <w:szCs w:val="20"/>
                      <w:lang w:val="en-US"/>
                    </w:rPr>
                    <w:t>7</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EB4B2E"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xml:space="preserve">observed 3 year survival: 0.653, </w:t>
                  </w:r>
                  <w:proofErr w:type="spellStart"/>
                  <w:r w:rsidRPr="002A54F3">
                    <w:rPr>
                      <w:rFonts w:ascii="Arial" w:eastAsia="Times New Roman" w:hAnsi="Arial" w:cs="Arial"/>
                      <w:color w:val="000000"/>
                      <w:sz w:val="20"/>
                      <w:szCs w:val="20"/>
                      <w:lang w:val="en-US"/>
                    </w:rPr>
                    <w:t>vs</w:t>
                  </w:r>
                  <w:proofErr w:type="spellEnd"/>
                  <w:r w:rsidRPr="002A54F3">
                    <w:rPr>
                      <w:rFonts w:ascii="Arial" w:eastAsia="Times New Roman" w:hAnsi="Arial" w:cs="Arial"/>
                      <w:color w:val="000000"/>
                      <w:sz w:val="20"/>
                      <w:szCs w:val="20"/>
                      <w:lang w:val="en-US"/>
                    </w:rPr>
                    <w:t xml:space="preserve"> predicted:</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0.664</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0.652</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0.653</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EB4B2E"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EB4B2E"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 calibration slope</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EB4B2E"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10 year</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0.938</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0.959</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0.932</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EB4B2E"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5 year</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0.872</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0.984</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0.955</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EB4B2E"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3 year</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0.847</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1.047</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1.025</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EB4B2E"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EB4B2E" w:rsidTr="00221162">
              <w:trPr>
                <w:trHeight w:val="315"/>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EB4B2E" w:rsidTr="00221162">
              <w:trPr>
                <w:trHeight w:val="300"/>
              </w:trPr>
              <w:tc>
                <w:tcPr>
                  <w:tcW w:w="4720" w:type="dxa"/>
                  <w:tcBorders>
                    <w:top w:val="single" w:sz="8" w:space="0" w:color="auto"/>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DISCRIMINATION</w:t>
                  </w:r>
                </w:p>
              </w:tc>
              <w:tc>
                <w:tcPr>
                  <w:tcW w:w="1900" w:type="dxa"/>
                  <w:tcBorders>
                    <w:top w:val="single" w:sz="8" w:space="0" w:color="auto"/>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single" w:sz="8" w:space="0" w:color="auto"/>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single" w:sz="8" w:space="0" w:color="auto"/>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EB4B2E"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EB4B2E"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 C-index</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EB4B2E"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10 year</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0.724</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0.784</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0.788</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EB4B2E" w:rsidTr="00221162">
              <w:trPr>
                <w:trHeight w:val="300"/>
              </w:trPr>
              <w:tc>
                <w:tcPr>
                  <w:tcW w:w="4720" w:type="dxa"/>
                  <w:tcBorders>
                    <w:top w:val="nil"/>
                    <w:left w:val="single" w:sz="8" w:space="0" w:color="auto"/>
                    <w:bottom w:val="nil"/>
                    <w:right w:val="nil"/>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5 year</w:t>
                  </w:r>
                </w:p>
              </w:tc>
              <w:tc>
                <w:tcPr>
                  <w:tcW w:w="1900" w:type="dxa"/>
                  <w:tcBorders>
                    <w:top w:val="nil"/>
                    <w:left w:val="single" w:sz="8" w:space="0" w:color="auto"/>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0.719</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0.785</w:t>
                  </w:r>
                </w:p>
              </w:tc>
              <w:tc>
                <w:tcPr>
                  <w:tcW w:w="1900" w:type="dxa"/>
                  <w:tcBorders>
                    <w:top w:val="nil"/>
                    <w:left w:val="nil"/>
                    <w:bottom w:val="nil"/>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0.788</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r w:rsidR="0002322E" w:rsidRPr="00EB4B2E" w:rsidTr="00221162">
              <w:trPr>
                <w:trHeight w:val="315"/>
              </w:trPr>
              <w:tc>
                <w:tcPr>
                  <w:tcW w:w="4720" w:type="dxa"/>
                  <w:tcBorders>
                    <w:top w:val="nil"/>
                    <w:left w:val="single" w:sz="8" w:space="0" w:color="auto"/>
                    <w:bottom w:val="single" w:sz="8" w:space="0" w:color="auto"/>
                    <w:right w:val="nil"/>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3 year</w:t>
                  </w:r>
                </w:p>
              </w:tc>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0.715</w:t>
                  </w:r>
                </w:p>
              </w:tc>
              <w:tc>
                <w:tcPr>
                  <w:tcW w:w="1900" w:type="dxa"/>
                  <w:tcBorders>
                    <w:top w:val="nil"/>
                    <w:left w:val="nil"/>
                    <w:bottom w:val="single" w:sz="8" w:space="0" w:color="auto"/>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0.793</w:t>
                  </w:r>
                </w:p>
              </w:tc>
              <w:tc>
                <w:tcPr>
                  <w:tcW w:w="1900" w:type="dxa"/>
                  <w:tcBorders>
                    <w:top w:val="nil"/>
                    <w:left w:val="nil"/>
                    <w:bottom w:val="single" w:sz="8" w:space="0" w:color="auto"/>
                    <w:right w:val="single" w:sz="8" w:space="0" w:color="auto"/>
                  </w:tcBorders>
                  <w:shd w:val="clear" w:color="auto" w:fill="auto"/>
                  <w:noWrap/>
                  <w:vAlign w:val="bottom"/>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0.798</w:t>
                  </w: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c>
                <w:tcPr>
                  <w:tcW w:w="960" w:type="dxa"/>
                  <w:tcBorders>
                    <w:top w:val="nil"/>
                    <w:left w:val="nil"/>
                    <w:bottom w:val="nil"/>
                    <w:right w:val="nil"/>
                  </w:tcBorders>
                  <w:shd w:val="clear" w:color="auto" w:fill="auto"/>
                  <w:noWrap/>
                  <w:vAlign w:val="bottom"/>
                  <w:hideMark/>
                </w:tcPr>
                <w:p w:rsidR="0002322E" w:rsidRPr="002A54F3" w:rsidRDefault="0002322E" w:rsidP="00221162">
                  <w:pPr>
                    <w:spacing w:after="0" w:line="240" w:lineRule="auto"/>
                    <w:rPr>
                      <w:rFonts w:ascii="Arial" w:eastAsia="Times New Roman" w:hAnsi="Arial" w:cs="Arial"/>
                      <w:color w:val="000000"/>
                      <w:lang w:val="en-US"/>
                    </w:rPr>
                  </w:pPr>
                </w:p>
              </w:tc>
            </w:tr>
          </w:tbl>
          <w:p w:rsidR="0002322E" w:rsidRPr="002A54F3" w:rsidRDefault="0002322E" w:rsidP="0002322E">
            <w:pPr>
              <w:tabs>
                <w:tab w:val="right" w:pos="360"/>
                <w:tab w:val="left" w:pos="540"/>
              </w:tabs>
              <w:spacing w:after="0" w:line="480" w:lineRule="auto"/>
              <w:rPr>
                <w:rFonts w:ascii="Arial" w:hAnsi="Arial" w:cs="Arial"/>
                <w:b/>
                <w:noProof/>
                <w:sz w:val="24"/>
                <w:szCs w:val="24"/>
                <w:lang w:val="en-US"/>
              </w:rPr>
            </w:pPr>
          </w:p>
          <w:p w:rsidR="0002322E" w:rsidRPr="002A54F3" w:rsidRDefault="0002322E" w:rsidP="0002322E">
            <w:pPr>
              <w:rPr>
                <w:rFonts w:ascii="Arial" w:hAnsi="Arial" w:cs="Arial"/>
                <w:b/>
                <w:sz w:val="24"/>
                <w:szCs w:val="24"/>
                <w:lang w:val="en-US"/>
              </w:rPr>
            </w:pPr>
            <w:r w:rsidRPr="002A54F3">
              <w:rPr>
                <w:rFonts w:ascii="Arial" w:hAnsi="Arial" w:cs="Arial"/>
                <w:lang w:val="en-US"/>
              </w:rPr>
              <w:br w:type="page"/>
            </w:r>
            <w:r>
              <w:rPr>
                <w:rFonts w:ascii="Arial" w:hAnsi="Arial" w:cs="Arial"/>
                <w:b/>
                <w:sz w:val="24"/>
                <w:szCs w:val="24"/>
                <w:lang w:val="en-US"/>
              </w:rPr>
              <w:t>Appendix table 2</w:t>
            </w:r>
            <w:r w:rsidRPr="002A54F3">
              <w:rPr>
                <w:rFonts w:ascii="Arial" w:hAnsi="Arial" w:cs="Arial"/>
                <w:b/>
                <w:sz w:val="24"/>
                <w:szCs w:val="24"/>
                <w:lang w:val="en-US"/>
              </w:rPr>
              <w:t>: the integrated discrimination index (IDI)</w:t>
            </w:r>
          </w:p>
          <w:tbl>
            <w:tblPr>
              <w:tblW w:w="5000" w:type="pct"/>
              <w:tblLook w:val="04A0"/>
            </w:tblPr>
            <w:tblGrid>
              <w:gridCol w:w="1547"/>
              <w:gridCol w:w="2242"/>
              <w:gridCol w:w="2346"/>
              <w:gridCol w:w="1425"/>
              <w:gridCol w:w="2346"/>
              <w:gridCol w:w="1604"/>
            </w:tblGrid>
            <w:tr w:rsidR="0002322E" w:rsidRPr="002A54F3" w:rsidTr="00EB4B2E">
              <w:trPr>
                <w:trHeight w:val="600"/>
              </w:trPr>
              <w:tc>
                <w:tcPr>
                  <w:tcW w:w="672" w:type="pct"/>
                  <w:tcBorders>
                    <w:top w:val="single" w:sz="8" w:space="0" w:color="auto"/>
                    <w:left w:val="single" w:sz="8" w:space="0" w:color="auto"/>
                    <w:bottom w:val="nil"/>
                    <w:right w:val="nil"/>
                  </w:tcBorders>
                  <w:shd w:val="clear" w:color="auto" w:fill="auto"/>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974" w:type="pct"/>
                  <w:tcBorders>
                    <w:top w:val="single" w:sz="8" w:space="0" w:color="auto"/>
                    <w:left w:val="single" w:sz="8" w:space="0" w:color="auto"/>
                    <w:bottom w:val="nil"/>
                    <w:right w:val="nil"/>
                  </w:tcBorders>
                  <w:shd w:val="clear" w:color="auto" w:fill="auto"/>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recalibrated 'registry' model</w:t>
                  </w:r>
                </w:p>
              </w:tc>
              <w:tc>
                <w:tcPr>
                  <w:tcW w:w="1019" w:type="pct"/>
                  <w:tcBorders>
                    <w:top w:val="single" w:sz="8" w:space="0" w:color="auto"/>
                    <w:left w:val="single" w:sz="8" w:space="0" w:color="auto"/>
                    <w:bottom w:val="nil"/>
                    <w:right w:val="nil"/>
                  </w:tcBorders>
                  <w:shd w:val="clear" w:color="auto" w:fill="auto"/>
                  <w:hideMark/>
                </w:tcPr>
                <w:p w:rsidR="0002322E"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xml:space="preserve"> </w:t>
                  </w:r>
                </w:p>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'easy' model</w:t>
                  </w:r>
                </w:p>
              </w:tc>
              <w:tc>
                <w:tcPr>
                  <w:tcW w:w="619" w:type="pct"/>
                  <w:tcBorders>
                    <w:top w:val="single" w:sz="8" w:space="0" w:color="auto"/>
                    <w:left w:val="single" w:sz="8" w:space="0" w:color="auto"/>
                    <w:bottom w:val="nil"/>
                    <w:right w:val="nil"/>
                  </w:tcBorders>
                  <w:shd w:val="clear" w:color="auto" w:fill="auto"/>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c>
                <w:tcPr>
                  <w:tcW w:w="1019" w:type="pct"/>
                  <w:tcBorders>
                    <w:top w:val="single" w:sz="8" w:space="0" w:color="auto"/>
                    <w:left w:val="single" w:sz="8" w:space="0" w:color="auto"/>
                    <w:bottom w:val="nil"/>
                    <w:right w:val="single" w:sz="8" w:space="0" w:color="auto"/>
                  </w:tcBorders>
                  <w:shd w:val="clear" w:color="auto" w:fill="auto"/>
                  <w:hideMark/>
                </w:tcPr>
                <w:p w:rsidR="0002322E"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xml:space="preserve"> </w:t>
                  </w:r>
                </w:p>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'elaborate' model</w:t>
                  </w:r>
                </w:p>
              </w:tc>
              <w:tc>
                <w:tcPr>
                  <w:tcW w:w="697" w:type="pct"/>
                  <w:tcBorders>
                    <w:top w:val="single" w:sz="8" w:space="0" w:color="auto"/>
                    <w:left w:val="nil"/>
                    <w:bottom w:val="nil"/>
                    <w:right w:val="single" w:sz="8" w:space="0" w:color="auto"/>
                  </w:tcBorders>
                  <w:shd w:val="clear" w:color="auto" w:fill="auto"/>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 </w:t>
                  </w:r>
                </w:p>
              </w:tc>
            </w:tr>
            <w:tr w:rsidR="0002322E" w:rsidRPr="00EB4B2E" w:rsidTr="00EB4B2E">
              <w:trPr>
                <w:trHeight w:val="1215"/>
              </w:trPr>
              <w:tc>
                <w:tcPr>
                  <w:tcW w:w="672" w:type="pct"/>
                  <w:tcBorders>
                    <w:top w:val="nil"/>
                    <w:left w:val="single" w:sz="8" w:space="0" w:color="auto"/>
                    <w:bottom w:val="single" w:sz="8" w:space="0" w:color="auto"/>
                    <w:right w:val="single" w:sz="8" w:space="0" w:color="auto"/>
                  </w:tcBorders>
                  <w:shd w:val="clear" w:color="auto" w:fill="auto"/>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lastRenderedPageBreak/>
                    <w:t> </w:t>
                  </w:r>
                </w:p>
              </w:tc>
              <w:tc>
                <w:tcPr>
                  <w:tcW w:w="974" w:type="pct"/>
                  <w:tcBorders>
                    <w:top w:val="nil"/>
                    <w:left w:val="single" w:sz="4" w:space="0" w:color="auto"/>
                    <w:bottom w:val="single" w:sz="8" w:space="0" w:color="auto"/>
                    <w:right w:val="single" w:sz="8" w:space="0" w:color="auto"/>
                  </w:tcBorders>
                  <w:shd w:val="clear" w:color="auto" w:fill="auto"/>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difference in predicted survival in patients with and without the event</w:t>
                  </w:r>
                </w:p>
              </w:tc>
              <w:tc>
                <w:tcPr>
                  <w:tcW w:w="1019" w:type="pct"/>
                  <w:tcBorders>
                    <w:top w:val="nil"/>
                    <w:left w:val="single" w:sz="4" w:space="0" w:color="auto"/>
                    <w:bottom w:val="single" w:sz="8" w:space="0" w:color="auto"/>
                    <w:right w:val="single" w:sz="8" w:space="0" w:color="auto"/>
                  </w:tcBorders>
                  <w:shd w:val="clear" w:color="auto" w:fill="auto"/>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difference in predicted survival in patients with and without the event</w:t>
                  </w:r>
                </w:p>
              </w:tc>
              <w:tc>
                <w:tcPr>
                  <w:tcW w:w="619" w:type="pct"/>
                  <w:tcBorders>
                    <w:top w:val="nil"/>
                    <w:left w:val="single" w:sz="4" w:space="0" w:color="auto"/>
                    <w:bottom w:val="single" w:sz="8" w:space="0" w:color="auto"/>
                    <w:right w:val="single" w:sz="8" w:space="0" w:color="auto"/>
                  </w:tcBorders>
                  <w:shd w:val="clear" w:color="auto" w:fill="auto"/>
                  <w:vAlign w:val="bottom"/>
                  <w:hideMark/>
                </w:tcPr>
                <w:p w:rsidR="0002322E" w:rsidRPr="002A54F3" w:rsidRDefault="0002322E" w:rsidP="00221162">
                  <w:pPr>
                    <w:spacing w:after="0" w:line="240" w:lineRule="auto"/>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IDI 'registry'-&gt; 'easy' model</w:t>
                  </w:r>
                </w:p>
              </w:tc>
              <w:tc>
                <w:tcPr>
                  <w:tcW w:w="1019" w:type="pct"/>
                  <w:tcBorders>
                    <w:top w:val="nil"/>
                    <w:left w:val="single" w:sz="4" w:space="0" w:color="auto"/>
                    <w:bottom w:val="single" w:sz="8" w:space="0" w:color="auto"/>
                    <w:right w:val="single" w:sz="8" w:space="0" w:color="auto"/>
                  </w:tcBorders>
                  <w:shd w:val="clear" w:color="auto" w:fill="auto"/>
                  <w:vAlign w:val="bottom"/>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difference in predicted survival in patients with and without the event</w:t>
                  </w:r>
                </w:p>
              </w:tc>
              <w:tc>
                <w:tcPr>
                  <w:tcW w:w="697" w:type="pct"/>
                  <w:tcBorders>
                    <w:top w:val="nil"/>
                    <w:left w:val="single" w:sz="4" w:space="0" w:color="auto"/>
                    <w:bottom w:val="single" w:sz="8" w:space="0" w:color="auto"/>
                    <w:right w:val="single" w:sz="8" w:space="0" w:color="auto"/>
                  </w:tcBorders>
                  <w:shd w:val="clear" w:color="auto" w:fill="auto"/>
                  <w:vAlign w:val="bottom"/>
                  <w:hideMark/>
                </w:tcPr>
                <w:p w:rsidR="0002322E" w:rsidRPr="002A54F3" w:rsidRDefault="0002322E" w:rsidP="00221162">
                  <w:pPr>
                    <w:spacing w:after="0" w:line="240" w:lineRule="auto"/>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IDI 'easy' -&gt; 'elaborate' model</w:t>
                  </w:r>
                </w:p>
              </w:tc>
            </w:tr>
            <w:tr w:rsidR="0002322E" w:rsidRPr="00EB4B2E" w:rsidTr="00EB4B2E">
              <w:trPr>
                <w:trHeight w:val="300"/>
              </w:trPr>
              <w:tc>
                <w:tcPr>
                  <w:tcW w:w="672" w:type="pct"/>
                  <w:tcBorders>
                    <w:top w:val="nil"/>
                    <w:left w:val="single" w:sz="8" w:space="0" w:color="auto"/>
                    <w:bottom w:val="nil"/>
                    <w:right w:val="single" w:sz="8" w:space="0" w:color="auto"/>
                  </w:tcBorders>
                  <w:shd w:val="clear" w:color="auto" w:fill="auto"/>
                  <w:vAlign w:val="center"/>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10 year survival</w:t>
                  </w:r>
                </w:p>
              </w:tc>
              <w:tc>
                <w:tcPr>
                  <w:tcW w:w="974" w:type="pct"/>
                  <w:tcBorders>
                    <w:top w:val="nil"/>
                    <w:left w:val="nil"/>
                    <w:bottom w:val="nil"/>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0.339</w:t>
                  </w:r>
                </w:p>
              </w:tc>
              <w:tc>
                <w:tcPr>
                  <w:tcW w:w="1019" w:type="pct"/>
                  <w:tcBorders>
                    <w:top w:val="nil"/>
                    <w:left w:val="nil"/>
                    <w:bottom w:val="nil"/>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0.421</w:t>
                  </w:r>
                </w:p>
              </w:tc>
              <w:tc>
                <w:tcPr>
                  <w:tcW w:w="619" w:type="pct"/>
                  <w:tcBorders>
                    <w:top w:val="nil"/>
                    <w:left w:val="nil"/>
                    <w:bottom w:val="nil"/>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0.082</w:t>
                  </w:r>
                </w:p>
              </w:tc>
              <w:tc>
                <w:tcPr>
                  <w:tcW w:w="1019" w:type="pct"/>
                  <w:tcBorders>
                    <w:top w:val="nil"/>
                    <w:left w:val="nil"/>
                    <w:bottom w:val="nil"/>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0.428</w:t>
                  </w:r>
                </w:p>
              </w:tc>
              <w:tc>
                <w:tcPr>
                  <w:tcW w:w="697" w:type="pct"/>
                  <w:tcBorders>
                    <w:top w:val="nil"/>
                    <w:left w:val="nil"/>
                    <w:bottom w:val="nil"/>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0.007</w:t>
                  </w:r>
                </w:p>
              </w:tc>
            </w:tr>
            <w:tr w:rsidR="0002322E" w:rsidRPr="00EB4B2E" w:rsidTr="00EB4B2E">
              <w:trPr>
                <w:trHeight w:val="300"/>
              </w:trPr>
              <w:tc>
                <w:tcPr>
                  <w:tcW w:w="672" w:type="pct"/>
                  <w:tcBorders>
                    <w:top w:val="nil"/>
                    <w:left w:val="single" w:sz="8" w:space="0" w:color="auto"/>
                    <w:bottom w:val="nil"/>
                    <w:right w:val="single" w:sz="8" w:space="0" w:color="auto"/>
                  </w:tcBorders>
                  <w:shd w:val="clear" w:color="auto" w:fill="auto"/>
                  <w:vAlign w:val="center"/>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5 year survival</w:t>
                  </w:r>
                </w:p>
              </w:tc>
              <w:tc>
                <w:tcPr>
                  <w:tcW w:w="974" w:type="pct"/>
                  <w:tcBorders>
                    <w:top w:val="nil"/>
                    <w:left w:val="nil"/>
                    <w:bottom w:val="nil"/>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0.276</w:t>
                  </w:r>
                </w:p>
              </w:tc>
              <w:tc>
                <w:tcPr>
                  <w:tcW w:w="1019" w:type="pct"/>
                  <w:tcBorders>
                    <w:top w:val="nil"/>
                    <w:left w:val="nil"/>
                    <w:bottom w:val="nil"/>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0.376</w:t>
                  </w:r>
                </w:p>
              </w:tc>
              <w:tc>
                <w:tcPr>
                  <w:tcW w:w="619" w:type="pct"/>
                  <w:tcBorders>
                    <w:top w:val="nil"/>
                    <w:left w:val="nil"/>
                    <w:bottom w:val="nil"/>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0.100</w:t>
                  </w:r>
                </w:p>
              </w:tc>
              <w:tc>
                <w:tcPr>
                  <w:tcW w:w="1019" w:type="pct"/>
                  <w:tcBorders>
                    <w:top w:val="nil"/>
                    <w:left w:val="nil"/>
                    <w:bottom w:val="nil"/>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0.380</w:t>
                  </w:r>
                </w:p>
              </w:tc>
              <w:tc>
                <w:tcPr>
                  <w:tcW w:w="697" w:type="pct"/>
                  <w:tcBorders>
                    <w:top w:val="nil"/>
                    <w:left w:val="nil"/>
                    <w:bottom w:val="nil"/>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0.004</w:t>
                  </w:r>
                </w:p>
              </w:tc>
            </w:tr>
            <w:tr w:rsidR="0002322E" w:rsidRPr="00EB4B2E" w:rsidTr="00EB4B2E">
              <w:trPr>
                <w:trHeight w:val="315"/>
              </w:trPr>
              <w:tc>
                <w:tcPr>
                  <w:tcW w:w="672" w:type="pct"/>
                  <w:tcBorders>
                    <w:top w:val="nil"/>
                    <w:left w:val="single" w:sz="8" w:space="0" w:color="auto"/>
                    <w:bottom w:val="single" w:sz="8" w:space="0" w:color="auto"/>
                    <w:right w:val="single" w:sz="8" w:space="0" w:color="auto"/>
                  </w:tcBorders>
                  <w:shd w:val="clear" w:color="auto" w:fill="auto"/>
                  <w:vAlign w:val="center"/>
                  <w:hideMark/>
                </w:tcPr>
                <w:p w:rsidR="0002322E" w:rsidRPr="002A54F3" w:rsidRDefault="0002322E" w:rsidP="00221162">
                  <w:pPr>
                    <w:spacing w:after="0" w:line="240" w:lineRule="auto"/>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3 year survival</w:t>
                  </w:r>
                </w:p>
              </w:tc>
              <w:tc>
                <w:tcPr>
                  <w:tcW w:w="974" w:type="pct"/>
                  <w:tcBorders>
                    <w:top w:val="nil"/>
                    <w:left w:val="nil"/>
                    <w:bottom w:val="single" w:sz="8" w:space="0" w:color="auto"/>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0.197</w:t>
                  </w:r>
                </w:p>
              </w:tc>
              <w:tc>
                <w:tcPr>
                  <w:tcW w:w="1019" w:type="pct"/>
                  <w:tcBorders>
                    <w:top w:val="nil"/>
                    <w:left w:val="nil"/>
                    <w:bottom w:val="single" w:sz="8" w:space="0" w:color="auto"/>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0.311</w:t>
                  </w:r>
                </w:p>
              </w:tc>
              <w:tc>
                <w:tcPr>
                  <w:tcW w:w="619" w:type="pct"/>
                  <w:tcBorders>
                    <w:top w:val="nil"/>
                    <w:left w:val="nil"/>
                    <w:bottom w:val="single" w:sz="8" w:space="0" w:color="auto"/>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0.115</w:t>
                  </w:r>
                </w:p>
              </w:tc>
              <w:tc>
                <w:tcPr>
                  <w:tcW w:w="1019" w:type="pct"/>
                  <w:tcBorders>
                    <w:top w:val="nil"/>
                    <w:left w:val="nil"/>
                    <w:bottom w:val="single" w:sz="8" w:space="0" w:color="auto"/>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color w:val="000000"/>
                      <w:sz w:val="20"/>
                      <w:szCs w:val="20"/>
                      <w:lang w:val="en-US"/>
                    </w:rPr>
                  </w:pPr>
                  <w:r w:rsidRPr="002A54F3">
                    <w:rPr>
                      <w:rFonts w:ascii="Arial" w:eastAsia="Times New Roman" w:hAnsi="Arial" w:cs="Arial"/>
                      <w:color w:val="000000"/>
                      <w:sz w:val="20"/>
                      <w:szCs w:val="20"/>
                      <w:lang w:val="en-US"/>
                    </w:rPr>
                    <w:t>0.317</w:t>
                  </w:r>
                </w:p>
              </w:tc>
              <w:tc>
                <w:tcPr>
                  <w:tcW w:w="697" w:type="pct"/>
                  <w:tcBorders>
                    <w:top w:val="nil"/>
                    <w:left w:val="nil"/>
                    <w:bottom w:val="single" w:sz="8" w:space="0" w:color="auto"/>
                    <w:right w:val="single" w:sz="8" w:space="0" w:color="auto"/>
                  </w:tcBorders>
                  <w:shd w:val="clear" w:color="auto" w:fill="auto"/>
                  <w:vAlign w:val="center"/>
                  <w:hideMark/>
                </w:tcPr>
                <w:p w:rsidR="0002322E" w:rsidRPr="002A54F3" w:rsidRDefault="0002322E" w:rsidP="00221162">
                  <w:pPr>
                    <w:spacing w:after="0" w:line="240" w:lineRule="auto"/>
                    <w:jc w:val="right"/>
                    <w:rPr>
                      <w:rFonts w:ascii="Arial" w:eastAsia="Times New Roman" w:hAnsi="Arial" w:cs="Arial"/>
                      <w:b/>
                      <w:bCs/>
                      <w:color w:val="000000"/>
                      <w:sz w:val="20"/>
                      <w:szCs w:val="20"/>
                      <w:lang w:val="en-US"/>
                    </w:rPr>
                  </w:pPr>
                  <w:r w:rsidRPr="002A54F3">
                    <w:rPr>
                      <w:rFonts w:ascii="Arial" w:eastAsia="Times New Roman" w:hAnsi="Arial" w:cs="Arial"/>
                      <w:b/>
                      <w:bCs/>
                      <w:color w:val="000000"/>
                      <w:sz w:val="20"/>
                      <w:szCs w:val="20"/>
                      <w:lang w:val="en-US"/>
                    </w:rPr>
                    <w:t>0.005</w:t>
                  </w:r>
                </w:p>
              </w:tc>
            </w:tr>
          </w:tbl>
          <w:p w:rsidR="0002322E" w:rsidRDefault="0002322E" w:rsidP="0002322E">
            <w:pPr>
              <w:tabs>
                <w:tab w:val="right" w:pos="360"/>
                <w:tab w:val="left" w:pos="540"/>
              </w:tabs>
              <w:spacing w:after="0" w:line="480" w:lineRule="auto"/>
              <w:rPr>
                <w:rFonts w:ascii="Arial" w:eastAsia="Times New Roman" w:hAnsi="Arial" w:cs="Arial"/>
                <w:color w:val="000000"/>
                <w:sz w:val="20"/>
                <w:szCs w:val="20"/>
                <w:lang w:val="en-US"/>
              </w:rPr>
            </w:pPr>
          </w:p>
          <w:p w:rsidR="0002322E" w:rsidRDefault="0002322E" w:rsidP="0002322E">
            <w:pPr>
              <w:tabs>
                <w:tab w:val="right" w:pos="360"/>
                <w:tab w:val="left" w:pos="540"/>
              </w:tabs>
              <w:spacing w:after="0" w:line="48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The integrated discrimination index for the 10 year survival is the difference in the average predicted survival in patients with and without the event in two different models.</w:t>
            </w:r>
            <w:r w:rsidRPr="00E04DA2">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US"/>
              </w:rPr>
              <w:t>The calculation of the IDI is further illustrated for the 10 year survival:</w:t>
            </w:r>
          </w:p>
          <w:p w:rsidR="0002322E" w:rsidRDefault="0002322E" w:rsidP="0002322E">
            <w:pPr>
              <w:tabs>
                <w:tab w:val="right" w:pos="360"/>
                <w:tab w:val="left" w:pos="540"/>
              </w:tabs>
              <w:spacing w:after="0" w:line="480" w:lineRule="auto"/>
              <w:rPr>
                <w:rFonts w:ascii="Arial" w:eastAsia="Times New Roman" w:hAnsi="Arial" w:cs="Arial"/>
                <w:color w:val="000000"/>
                <w:sz w:val="20"/>
                <w:szCs w:val="20"/>
                <w:lang w:val="en-US"/>
              </w:rPr>
            </w:pPr>
          </w:p>
          <w:p w:rsidR="0002322E" w:rsidRDefault="0002322E" w:rsidP="0002322E">
            <w:pPr>
              <w:tabs>
                <w:tab w:val="right" w:pos="360"/>
                <w:tab w:val="left" w:pos="540"/>
              </w:tabs>
              <w:spacing w:after="0" w:line="48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In the ‘registry’ model the average predicted 10 year survival was 0.5585 in the group of patients with no event and 0.2194 in the group of patients that died; the difference between the predictions in the group with and without the event therefore is 0.5585-0.2191=0.3391.</w:t>
            </w:r>
          </w:p>
          <w:p w:rsidR="0002322E" w:rsidRDefault="0002322E" w:rsidP="0002322E">
            <w:pPr>
              <w:tabs>
                <w:tab w:val="right" w:pos="360"/>
                <w:tab w:val="left" w:pos="540"/>
              </w:tabs>
              <w:spacing w:after="0" w:line="48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In the ‘easy’ model the average predicted 10 year survival was 0.6090 in the group of patients with no event and 0.1877 in the group of patients that died; the discrimination of the ‘easy’ model is better, as the difference between the predictions in the group with and without the event is 0.6090-0.1877=0.4212. The integrated discrimination improvement from the ‘easy’ </w:t>
            </w:r>
            <w:r w:rsidR="00711D71">
              <w:rPr>
                <w:rFonts w:ascii="Arial" w:eastAsia="Times New Roman" w:hAnsi="Arial" w:cs="Arial"/>
                <w:color w:val="000000"/>
                <w:sz w:val="20"/>
                <w:szCs w:val="20"/>
                <w:lang w:val="en-US"/>
              </w:rPr>
              <w:t xml:space="preserve">model </w:t>
            </w:r>
            <w:r>
              <w:rPr>
                <w:rFonts w:ascii="Arial" w:eastAsia="Times New Roman" w:hAnsi="Arial" w:cs="Arial"/>
                <w:color w:val="000000"/>
                <w:sz w:val="20"/>
                <w:szCs w:val="20"/>
                <w:lang w:val="en-US"/>
              </w:rPr>
              <w:t>compared to the ’registry’ model is 0.4212-0.3391=0.0821.</w:t>
            </w:r>
          </w:p>
          <w:p w:rsidR="0002322E" w:rsidRDefault="0002322E" w:rsidP="0002322E">
            <w:pPr>
              <w:tabs>
                <w:tab w:val="right" w:pos="360"/>
                <w:tab w:val="left" w:pos="540"/>
              </w:tabs>
              <w:spacing w:after="0" w:line="48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In the ‘elaborate’ model the average predicted 10 year survival was 0.6109 in the group of patients with no event and 0.1831 in the group of patients that died; the discrimination of the ‘elaborate’ model is only slightly better than the previous model as the difference between the predictions in the group with and without the event is 0.6109-0.1831=0.4278. The integrated discrimination improvement from the ‘elaborate’ compared to the ‘easy’ model is 0.4278-0.4212=0.0066.</w:t>
            </w:r>
          </w:p>
          <w:p w:rsidR="0002322E" w:rsidRPr="002A54F3" w:rsidRDefault="0002322E" w:rsidP="0002322E">
            <w:pPr>
              <w:tabs>
                <w:tab w:val="right" w:pos="360"/>
                <w:tab w:val="left" w:pos="540"/>
              </w:tabs>
              <w:spacing w:after="0" w:line="480" w:lineRule="auto"/>
              <w:rPr>
                <w:rFonts w:ascii="Arial" w:hAnsi="Arial" w:cs="Arial"/>
                <w:b/>
                <w:noProof/>
                <w:sz w:val="24"/>
                <w:szCs w:val="24"/>
                <w:lang w:val="en-US"/>
              </w:rPr>
            </w:pPr>
          </w:p>
          <w:p w:rsidR="0002322E" w:rsidRDefault="0002322E" w:rsidP="0002322E">
            <w:pPr>
              <w:tabs>
                <w:tab w:val="right" w:pos="360"/>
                <w:tab w:val="left" w:pos="540"/>
              </w:tabs>
              <w:spacing w:after="0" w:line="480" w:lineRule="auto"/>
              <w:rPr>
                <w:rFonts w:ascii="Arial" w:hAnsi="Arial" w:cs="Arial"/>
                <w:b/>
                <w:noProof/>
                <w:sz w:val="24"/>
                <w:szCs w:val="24"/>
                <w:lang w:val="en-US"/>
              </w:rPr>
            </w:pPr>
            <w:r>
              <w:rPr>
                <w:rFonts w:ascii="Arial" w:hAnsi="Arial" w:cs="Arial"/>
                <w:b/>
                <w:noProof/>
                <w:sz w:val="24"/>
                <w:szCs w:val="24"/>
                <w:lang w:val="en-US"/>
              </w:rPr>
              <w:t>Appendix table 3</w:t>
            </w:r>
            <w:r w:rsidRPr="002A54F3">
              <w:rPr>
                <w:rFonts w:ascii="Arial" w:hAnsi="Arial" w:cs="Arial"/>
                <w:b/>
                <w:noProof/>
                <w:sz w:val="24"/>
                <w:szCs w:val="24"/>
                <w:lang w:val="en-US"/>
              </w:rPr>
              <w:t>: Continuous Net Reclassification Improvement (NRI)</w:t>
            </w:r>
          </w:p>
          <w:tbl>
            <w:tblPr>
              <w:tblW w:w="12856" w:type="dxa"/>
              <w:tblLook w:val="04A0"/>
            </w:tblPr>
            <w:tblGrid>
              <w:gridCol w:w="4503"/>
              <w:gridCol w:w="3018"/>
              <w:gridCol w:w="1389"/>
              <w:gridCol w:w="1300"/>
              <w:gridCol w:w="1300"/>
            </w:tblGrid>
            <w:tr w:rsidR="0002322E" w:rsidRPr="00196688" w:rsidTr="00221162">
              <w:trPr>
                <w:trHeight w:val="300"/>
              </w:trPr>
              <w:tc>
                <w:tcPr>
                  <w:tcW w:w="5056" w:type="dxa"/>
                  <w:tcBorders>
                    <w:top w:val="single" w:sz="8" w:space="0" w:color="auto"/>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b/>
                      <w:bCs/>
                      <w:color w:val="000000"/>
                      <w:lang w:val="en-US"/>
                    </w:rPr>
                  </w:pPr>
                  <w:r w:rsidRPr="00196688">
                    <w:rPr>
                      <w:rFonts w:eastAsia="Times New Roman" w:cs="Calibri"/>
                      <w:b/>
                      <w:bCs/>
                      <w:color w:val="000000"/>
                      <w:lang w:val="en-US"/>
                    </w:rPr>
                    <w:t> </w:t>
                  </w:r>
                </w:p>
              </w:tc>
              <w:tc>
                <w:tcPr>
                  <w:tcW w:w="3380" w:type="dxa"/>
                  <w:tcBorders>
                    <w:top w:val="single" w:sz="8" w:space="0" w:color="auto"/>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b/>
                      <w:bCs/>
                      <w:color w:val="000000"/>
                      <w:lang w:val="en-US"/>
                    </w:rPr>
                  </w:pPr>
                  <w:r w:rsidRPr="00196688">
                    <w:rPr>
                      <w:rFonts w:eastAsia="Times New Roman" w:cs="Calibri"/>
                      <w:b/>
                      <w:bCs/>
                      <w:color w:val="000000"/>
                      <w:lang w:val="en-US"/>
                    </w:rPr>
                    <w:t> </w:t>
                  </w:r>
                </w:p>
              </w:tc>
              <w:tc>
                <w:tcPr>
                  <w:tcW w:w="1540" w:type="dxa"/>
                  <w:tcBorders>
                    <w:top w:val="single" w:sz="8" w:space="0" w:color="auto"/>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b/>
                      <w:bCs/>
                      <w:color w:val="000000"/>
                      <w:lang w:val="en-US"/>
                    </w:rPr>
                  </w:pPr>
                  <w:r w:rsidRPr="00196688">
                    <w:rPr>
                      <w:rFonts w:eastAsia="Times New Roman" w:cs="Calibri"/>
                      <w:b/>
                      <w:bCs/>
                      <w:color w:val="000000"/>
                      <w:lang w:val="en-US"/>
                    </w:rPr>
                    <w:t>10 year survival</w:t>
                  </w:r>
                </w:p>
              </w:tc>
              <w:tc>
                <w:tcPr>
                  <w:tcW w:w="1440" w:type="dxa"/>
                  <w:tcBorders>
                    <w:top w:val="single" w:sz="8" w:space="0" w:color="auto"/>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b/>
                      <w:bCs/>
                      <w:color w:val="000000"/>
                      <w:lang w:val="en-US"/>
                    </w:rPr>
                  </w:pPr>
                  <w:r w:rsidRPr="00196688">
                    <w:rPr>
                      <w:rFonts w:eastAsia="Times New Roman" w:cs="Calibri"/>
                      <w:b/>
                      <w:bCs/>
                      <w:color w:val="000000"/>
                      <w:lang w:val="en-US"/>
                    </w:rPr>
                    <w:t>5 year survival</w:t>
                  </w:r>
                </w:p>
              </w:tc>
              <w:tc>
                <w:tcPr>
                  <w:tcW w:w="1440" w:type="dxa"/>
                  <w:tcBorders>
                    <w:top w:val="single" w:sz="8" w:space="0" w:color="auto"/>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rPr>
                      <w:rFonts w:eastAsia="Times New Roman" w:cs="Calibri"/>
                      <w:b/>
                      <w:bCs/>
                      <w:color w:val="000000"/>
                      <w:lang w:val="en-US"/>
                    </w:rPr>
                  </w:pPr>
                  <w:r w:rsidRPr="00196688">
                    <w:rPr>
                      <w:rFonts w:eastAsia="Times New Roman" w:cs="Calibri"/>
                      <w:b/>
                      <w:bCs/>
                      <w:color w:val="000000"/>
                      <w:lang w:val="en-US"/>
                    </w:rPr>
                    <w:t>3 year survival</w:t>
                  </w:r>
                </w:p>
              </w:tc>
            </w:tr>
            <w:tr w:rsidR="0002322E" w:rsidRPr="00EB4B2E"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b/>
                      <w:bCs/>
                      <w:color w:val="000000"/>
                      <w:lang w:val="en-US"/>
                    </w:rPr>
                  </w:pPr>
                  <w:r w:rsidRPr="00196688">
                    <w:rPr>
                      <w:rFonts w:eastAsia="Times New Roman" w:cs="Calibri"/>
                      <w:b/>
                      <w:bCs/>
                      <w:color w:val="000000"/>
                      <w:lang w:val="en-US"/>
                    </w:rPr>
                    <w:t xml:space="preserve"> 'Easy' model compared to recalibrated 'registry' model</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r>
            <w:tr w:rsidR="0002322E" w:rsidRPr="00196688"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events with higher risk</w:t>
                  </w:r>
                  <w:r>
                    <w:rPr>
                      <w:rFonts w:eastAsia="Times New Roman" w:cs="Calibri"/>
                      <w:color w:val="000000"/>
                      <w:lang w:val="en-US"/>
                    </w:rPr>
                    <w:t xml:space="preserve"> </w:t>
                  </w:r>
                  <w:r w:rsidRPr="00196688">
                    <w:rPr>
                      <w:rFonts w:eastAsia="Times New Roman" w:cs="Calibri"/>
                      <w:color w:val="000000"/>
                      <w:lang w:val="en-US"/>
                    </w:rPr>
                    <w:t xml:space="preserve">score </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0.637</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0.691</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0.757</w:t>
                  </w:r>
                </w:p>
              </w:tc>
            </w:tr>
            <w:tr w:rsidR="0002322E" w:rsidRPr="00196688"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events with lower risk</w:t>
                  </w:r>
                  <w:r>
                    <w:rPr>
                      <w:rFonts w:eastAsia="Times New Roman" w:cs="Calibri"/>
                      <w:color w:val="000000"/>
                      <w:lang w:val="en-US"/>
                    </w:rPr>
                    <w:t xml:space="preserve"> </w:t>
                  </w:r>
                  <w:r w:rsidRPr="00196688">
                    <w:rPr>
                      <w:rFonts w:eastAsia="Times New Roman" w:cs="Calibri"/>
                      <w:color w:val="000000"/>
                      <w:lang w:val="en-US"/>
                    </w:rPr>
                    <w:t>score</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0.363</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0.309</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0.243</w:t>
                  </w:r>
                </w:p>
              </w:tc>
            </w:tr>
            <w:tr w:rsidR="0002322E" w:rsidRPr="00196688"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i/>
                      <w:iCs/>
                      <w:color w:val="000000"/>
                      <w:lang w:val="en-US"/>
                    </w:rPr>
                  </w:pPr>
                  <w:r w:rsidRPr="00196688">
                    <w:rPr>
                      <w:rFonts w:eastAsia="Times New Roman" w:cs="Calibri"/>
                      <w:i/>
                      <w:iCs/>
                      <w:color w:val="000000"/>
                      <w:lang w:val="en-US"/>
                    </w:rPr>
                    <w:t>event NRI</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i/>
                      <w:iCs/>
                      <w:color w:val="000000"/>
                      <w:lang w:val="en-US"/>
                    </w:rPr>
                  </w:pPr>
                  <w:r w:rsidRPr="00196688">
                    <w:rPr>
                      <w:rFonts w:eastAsia="Times New Roman" w:cs="Calibri"/>
                      <w:i/>
                      <w:iCs/>
                      <w:color w:val="000000"/>
                      <w:lang w:val="en-US"/>
                    </w:rPr>
                    <w:t>0.274</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i/>
                      <w:iCs/>
                      <w:color w:val="000000"/>
                      <w:lang w:val="en-US"/>
                    </w:rPr>
                  </w:pPr>
                  <w:r w:rsidRPr="00196688">
                    <w:rPr>
                      <w:rFonts w:eastAsia="Times New Roman" w:cs="Calibri"/>
                      <w:i/>
                      <w:iCs/>
                      <w:color w:val="000000"/>
                      <w:lang w:val="en-US"/>
                    </w:rPr>
                    <w:t>0.381</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i/>
                      <w:iCs/>
                      <w:color w:val="000000"/>
                      <w:lang w:val="en-US"/>
                    </w:rPr>
                  </w:pPr>
                  <w:r w:rsidRPr="00196688">
                    <w:rPr>
                      <w:rFonts w:eastAsia="Times New Roman" w:cs="Calibri"/>
                      <w:i/>
                      <w:iCs/>
                      <w:color w:val="000000"/>
                      <w:lang w:val="en-US"/>
                    </w:rPr>
                    <w:t>0.514</w:t>
                  </w:r>
                </w:p>
              </w:tc>
            </w:tr>
            <w:tr w:rsidR="0002322E" w:rsidRPr="00196688"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non-events with lower risk</w:t>
                  </w:r>
                  <w:r>
                    <w:rPr>
                      <w:rFonts w:eastAsia="Times New Roman" w:cs="Calibri"/>
                      <w:color w:val="000000"/>
                      <w:lang w:val="en-US"/>
                    </w:rPr>
                    <w:t xml:space="preserve"> </w:t>
                  </w:r>
                  <w:r w:rsidRPr="00196688">
                    <w:rPr>
                      <w:rFonts w:eastAsia="Times New Roman" w:cs="Calibri"/>
                      <w:color w:val="000000"/>
                      <w:lang w:val="en-US"/>
                    </w:rPr>
                    <w:t>score</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0.725</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0.678</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0.639</w:t>
                  </w:r>
                </w:p>
              </w:tc>
            </w:tr>
            <w:tr w:rsidR="0002322E" w:rsidRPr="00196688"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non-events with higher risk</w:t>
                  </w:r>
                  <w:r>
                    <w:rPr>
                      <w:rFonts w:eastAsia="Times New Roman" w:cs="Calibri"/>
                      <w:color w:val="000000"/>
                      <w:lang w:val="en-US"/>
                    </w:rPr>
                    <w:t xml:space="preserve"> </w:t>
                  </w:r>
                  <w:r w:rsidRPr="00196688">
                    <w:rPr>
                      <w:rFonts w:eastAsia="Times New Roman" w:cs="Calibri"/>
                      <w:color w:val="000000"/>
                      <w:lang w:val="en-US"/>
                    </w:rPr>
                    <w:t>score</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0.275</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0.322</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0.361</w:t>
                  </w:r>
                </w:p>
              </w:tc>
            </w:tr>
            <w:tr w:rsidR="0002322E" w:rsidRPr="00196688"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i/>
                      <w:iCs/>
                      <w:color w:val="000000"/>
                      <w:lang w:val="en-US"/>
                    </w:rPr>
                  </w:pPr>
                  <w:r w:rsidRPr="00196688">
                    <w:rPr>
                      <w:rFonts w:eastAsia="Times New Roman" w:cs="Calibri"/>
                      <w:i/>
                      <w:iCs/>
                      <w:color w:val="000000"/>
                      <w:lang w:val="en-US"/>
                    </w:rPr>
                    <w:t> </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i/>
                      <w:iCs/>
                      <w:color w:val="000000"/>
                      <w:lang w:val="en-US"/>
                    </w:rPr>
                  </w:pPr>
                  <w:r w:rsidRPr="00196688">
                    <w:rPr>
                      <w:rFonts w:eastAsia="Times New Roman" w:cs="Calibri"/>
                      <w:i/>
                      <w:iCs/>
                      <w:color w:val="000000"/>
                      <w:lang w:val="en-US"/>
                    </w:rPr>
                    <w:t>non-event NRI</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i/>
                      <w:iCs/>
                      <w:color w:val="000000"/>
                      <w:lang w:val="en-US"/>
                    </w:rPr>
                  </w:pPr>
                  <w:r w:rsidRPr="00196688">
                    <w:rPr>
                      <w:rFonts w:eastAsia="Times New Roman" w:cs="Calibri"/>
                      <w:i/>
                      <w:iCs/>
                      <w:color w:val="000000"/>
                      <w:lang w:val="en-US"/>
                    </w:rPr>
                    <w:t>0.450</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i/>
                      <w:iCs/>
                      <w:color w:val="000000"/>
                      <w:lang w:val="en-US"/>
                    </w:rPr>
                  </w:pPr>
                  <w:r w:rsidRPr="00196688">
                    <w:rPr>
                      <w:rFonts w:eastAsia="Times New Roman" w:cs="Calibri"/>
                      <w:i/>
                      <w:iCs/>
                      <w:color w:val="000000"/>
                      <w:lang w:val="en-US"/>
                    </w:rPr>
                    <w:t>0.356</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i/>
                      <w:iCs/>
                      <w:color w:val="000000"/>
                      <w:lang w:val="en-US"/>
                    </w:rPr>
                  </w:pPr>
                  <w:r w:rsidRPr="00196688">
                    <w:rPr>
                      <w:rFonts w:eastAsia="Times New Roman" w:cs="Calibri"/>
                      <w:i/>
                      <w:iCs/>
                      <w:color w:val="000000"/>
                      <w:lang w:val="en-US"/>
                    </w:rPr>
                    <w:t>0.278</w:t>
                  </w:r>
                </w:p>
              </w:tc>
            </w:tr>
            <w:tr w:rsidR="0002322E" w:rsidRPr="00196688" w:rsidTr="00221162">
              <w:trPr>
                <w:trHeight w:val="315"/>
              </w:trPr>
              <w:tc>
                <w:tcPr>
                  <w:tcW w:w="5056" w:type="dxa"/>
                  <w:tcBorders>
                    <w:top w:val="nil"/>
                    <w:left w:val="single" w:sz="8" w:space="0" w:color="auto"/>
                    <w:bottom w:val="single" w:sz="8" w:space="0" w:color="auto"/>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3380" w:type="dxa"/>
                  <w:tcBorders>
                    <w:top w:val="single" w:sz="4" w:space="0" w:color="auto"/>
                    <w:left w:val="nil"/>
                    <w:bottom w:val="single" w:sz="8" w:space="0" w:color="auto"/>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total NRI</w:t>
                  </w:r>
                </w:p>
              </w:tc>
              <w:tc>
                <w:tcPr>
                  <w:tcW w:w="1540" w:type="dxa"/>
                  <w:tcBorders>
                    <w:top w:val="single" w:sz="4" w:space="0" w:color="auto"/>
                    <w:left w:val="nil"/>
                    <w:bottom w:val="single" w:sz="8" w:space="0" w:color="auto"/>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0.723</w:t>
                  </w: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0.737</w:t>
                  </w:r>
                </w:p>
              </w:tc>
              <w:tc>
                <w:tcPr>
                  <w:tcW w:w="1440" w:type="dxa"/>
                  <w:tcBorders>
                    <w:top w:val="single" w:sz="4" w:space="0" w:color="auto"/>
                    <w:left w:val="nil"/>
                    <w:bottom w:val="single" w:sz="8" w:space="0" w:color="auto"/>
                    <w:right w:val="single" w:sz="8"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0.792</w:t>
                  </w:r>
                </w:p>
              </w:tc>
            </w:tr>
            <w:tr w:rsidR="0002322E" w:rsidRPr="00196688"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r>
            <w:tr w:rsidR="0002322E" w:rsidRPr="00EB4B2E"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b/>
                      <w:bCs/>
                      <w:color w:val="000000"/>
                      <w:lang w:val="en-US"/>
                    </w:rPr>
                  </w:pPr>
                  <w:r w:rsidRPr="00196688">
                    <w:rPr>
                      <w:rFonts w:eastAsia="Times New Roman" w:cs="Calibri"/>
                      <w:b/>
                      <w:bCs/>
                      <w:color w:val="000000"/>
                      <w:lang w:val="en-US"/>
                    </w:rPr>
                    <w:t xml:space="preserve"> 'Elaborate' model compared to 'easy' model</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r>
            <w:tr w:rsidR="0002322E" w:rsidRPr="00196688"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events with higher risk</w:t>
                  </w:r>
                  <w:r>
                    <w:rPr>
                      <w:rFonts w:eastAsia="Times New Roman" w:cs="Calibri"/>
                      <w:color w:val="000000"/>
                      <w:lang w:val="en-US"/>
                    </w:rPr>
                    <w:t xml:space="preserve"> </w:t>
                  </w:r>
                  <w:r w:rsidRPr="00196688">
                    <w:rPr>
                      <w:rFonts w:eastAsia="Times New Roman" w:cs="Calibri"/>
                      <w:color w:val="000000"/>
                      <w:lang w:val="en-US"/>
                    </w:rPr>
                    <w:t xml:space="preserve">score </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0.577</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0.578</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0.588</w:t>
                  </w:r>
                </w:p>
              </w:tc>
            </w:tr>
            <w:tr w:rsidR="0002322E" w:rsidRPr="00196688"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events with lower risk</w:t>
                  </w:r>
                  <w:r>
                    <w:rPr>
                      <w:rFonts w:eastAsia="Times New Roman" w:cs="Calibri"/>
                      <w:color w:val="000000"/>
                      <w:lang w:val="en-US"/>
                    </w:rPr>
                    <w:t xml:space="preserve"> </w:t>
                  </w:r>
                  <w:r w:rsidRPr="00196688">
                    <w:rPr>
                      <w:rFonts w:eastAsia="Times New Roman" w:cs="Calibri"/>
                      <w:color w:val="000000"/>
                      <w:lang w:val="en-US"/>
                    </w:rPr>
                    <w:t>score</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0.423</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0.422</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0.412</w:t>
                  </w:r>
                </w:p>
              </w:tc>
            </w:tr>
            <w:tr w:rsidR="0002322E" w:rsidRPr="00196688"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i/>
                      <w:iCs/>
                      <w:color w:val="000000"/>
                      <w:lang w:val="en-US"/>
                    </w:rPr>
                  </w:pPr>
                  <w:r w:rsidRPr="00196688">
                    <w:rPr>
                      <w:rFonts w:eastAsia="Times New Roman" w:cs="Calibri"/>
                      <w:i/>
                      <w:iCs/>
                      <w:color w:val="000000"/>
                      <w:lang w:val="en-US"/>
                    </w:rPr>
                    <w:t>event NRI</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i/>
                      <w:iCs/>
                      <w:color w:val="000000"/>
                      <w:lang w:val="en-US"/>
                    </w:rPr>
                  </w:pPr>
                  <w:r w:rsidRPr="00196688">
                    <w:rPr>
                      <w:rFonts w:eastAsia="Times New Roman" w:cs="Calibri"/>
                      <w:i/>
                      <w:iCs/>
                      <w:color w:val="000000"/>
                      <w:lang w:val="en-US"/>
                    </w:rPr>
                    <w:t>0.154</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i/>
                      <w:iCs/>
                      <w:color w:val="000000"/>
                      <w:lang w:val="en-US"/>
                    </w:rPr>
                  </w:pPr>
                  <w:r w:rsidRPr="00196688">
                    <w:rPr>
                      <w:rFonts w:eastAsia="Times New Roman" w:cs="Calibri"/>
                      <w:i/>
                      <w:iCs/>
                      <w:color w:val="000000"/>
                      <w:lang w:val="en-US"/>
                    </w:rPr>
                    <w:t>0.156</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i/>
                      <w:iCs/>
                      <w:color w:val="000000"/>
                      <w:lang w:val="en-US"/>
                    </w:rPr>
                  </w:pPr>
                  <w:r w:rsidRPr="00196688">
                    <w:rPr>
                      <w:rFonts w:eastAsia="Times New Roman" w:cs="Calibri"/>
                      <w:i/>
                      <w:iCs/>
                      <w:color w:val="000000"/>
                      <w:lang w:val="en-US"/>
                    </w:rPr>
                    <w:t>0.175</w:t>
                  </w:r>
                </w:p>
              </w:tc>
            </w:tr>
            <w:tr w:rsidR="0002322E" w:rsidRPr="00196688"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non-events with lower risk</w:t>
                  </w:r>
                  <w:r>
                    <w:rPr>
                      <w:rFonts w:eastAsia="Times New Roman" w:cs="Calibri"/>
                      <w:color w:val="000000"/>
                      <w:lang w:val="en-US"/>
                    </w:rPr>
                    <w:t xml:space="preserve"> </w:t>
                  </w:r>
                  <w:r w:rsidRPr="00196688">
                    <w:rPr>
                      <w:rFonts w:eastAsia="Times New Roman" w:cs="Calibri"/>
                      <w:color w:val="000000"/>
                      <w:lang w:val="en-US"/>
                    </w:rPr>
                    <w:t>score</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0.541</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0.511</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0.498</w:t>
                  </w:r>
                </w:p>
              </w:tc>
            </w:tr>
            <w:tr w:rsidR="0002322E" w:rsidRPr="00EB4B2E"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non-events with higher risk</w:t>
                  </w:r>
                  <w:r>
                    <w:rPr>
                      <w:rFonts w:eastAsia="Times New Roman" w:cs="Calibri"/>
                      <w:color w:val="000000"/>
                      <w:lang w:val="en-US"/>
                    </w:rPr>
                    <w:t xml:space="preserve"> </w:t>
                  </w:r>
                  <w:r w:rsidRPr="00196688">
                    <w:rPr>
                      <w:rFonts w:eastAsia="Times New Roman" w:cs="Calibri"/>
                      <w:color w:val="000000"/>
                      <w:lang w:val="en-US"/>
                    </w:rPr>
                    <w:t>score</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0.459</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0.489</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0.502</w:t>
                  </w:r>
                </w:p>
              </w:tc>
            </w:tr>
            <w:tr w:rsidR="0002322E" w:rsidRPr="00EB4B2E" w:rsidTr="00221162">
              <w:trPr>
                <w:trHeight w:val="300"/>
              </w:trPr>
              <w:tc>
                <w:tcPr>
                  <w:tcW w:w="5056" w:type="dxa"/>
                  <w:tcBorders>
                    <w:top w:val="nil"/>
                    <w:left w:val="single" w:sz="8" w:space="0" w:color="auto"/>
                    <w:bottom w:val="nil"/>
                    <w:right w:val="nil"/>
                  </w:tcBorders>
                  <w:shd w:val="clear" w:color="auto" w:fill="auto"/>
                  <w:noWrap/>
                  <w:vAlign w:val="bottom"/>
                  <w:hideMark/>
                </w:tcPr>
                <w:p w:rsidR="0002322E" w:rsidRPr="00196688" w:rsidRDefault="0002322E" w:rsidP="00221162">
                  <w:pPr>
                    <w:spacing w:after="0" w:line="240" w:lineRule="auto"/>
                    <w:rPr>
                      <w:rFonts w:eastAsia="Times New Roman" w:cs="Calibri"/>
                      <w:i/>
                      <w:iCs/>
                      <w:color w:val="000000"/>
                      <w:lang w:val="en-US"/>
                    </w:rPr>
                  </w:pPr>
                  <w:r w:rsidRPr="00196688">
                    <w:rPr>
                      <w:rFonts w:eastAsia="Times New Roman" w:cs="Calibri"/>
                      <w:i/>
                      <w:iCs/>
                      <w:color w:val="000000"/>
                      <w:lang w:val="en-US"/>
                    </w:rPr>
                    <w:t> </w:t>
                  </w:r>
                </w:p>
              </w:tc>
              <w:tc>
                <w:tcPr>
                  <w:tcW w:w="3380" w:type="dxa"/>
                  <w:tcBorders>
                    <w:top w:val="nil"/>
                    <w:left w:val="single" w:sz="4" w:space="0" w:color="auto"/>
                    <w:bottom w:val="nil"/>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i/>
                      <w:iCs/>
                      <w:color w:val="000000"/>
                      <w:lang w:val="en-US"/>
                    </w:rPr>
                  </w:pPr>
                  <w:r w:rsidRPr="00196688">
                    <w:rPr>
                      <w:rFonts w:eastAsia="Times New Roman" w:cs="Calibri"/>
                      <w:i/>
                      <w:iCs/>
                      <w:color w:val="000000"/>
                      <w:lang w:val="en-US"/>
                    </w:rPr>
                    <w:t>non-event NRI</w:t>
                  </w:r>
                </w:p>
              </w:tc>
              <w:tc>
                <w:tcPr>
                  <w:tcW w:w="15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i/>
                      <w:iCs/>
                      <w:color w:val="000000"/>
                      <w:lang w:val="en-US"/>
                    </w:rPr>
                  </w:pPr>
                  <w:r w:rsidRPr="00196688">
                    <w:rPr>
                      <w:rFonts w:eastAsia="Times New Roman" w:cs="Calibri"/>
                      <w:i/>
                      <w:iCs/>
                      <w:color w:val="000000"/>
                      <w:lang w:val="en-US"/>
                    </w:rPr>
                    <w:t>0.082</w:t>
                  </w:r>
                </w:p>
              </w:tc>
              <w:tc>
                <w:tcPr>
                  <w:tcW w:w="1440" w:type="dxa"/>
                  <w:tcBorders>
                    <w:top w:val="nil"/>
                    <w:left w:val="nil"/>
                    <w:bottom w:val="nil"/>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i/>
                      <w:iCs/>
                      <w:color w:val="000000"/>
                      <w:lang w:val="en-US"/>
                    </w:rPr>
                  </w:pPr>
                  <w:r w:rsidRPr="00196688">
                    <w:rPr>
                      <w:rFonts w:eastAsia="Times New Roman" w:cs="Calibri"/>
                      <w:i/>
                      <w:iCs/>
                      <w:color w:val="000000"/>
                      <w:lang w:val="en-US"/>
                    </w:rPr>
                    <w:t>0.022</w:t>
                  </w:r>
                </w:p>
              </w:tc>
              <w:tc>
                <w:tcPr>
                  <w:tcW w:w="1440" w:type="dxa"/>
                  <w:tcBorders>
                    <w:top w:val="nil"/>
                    <w:left w:val="nil"/>
                    <w:bottom w:val="nil"/>
                    <w:right w:val="single" w:sz="8"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i/>
                      <w:iCs/>
                      <w:color w:val="000000"/>
                      <w:lang w:val="en-US"/>
                    </w:rPr>
                  </w:pPr>
                  <w:r w:rsidRPr="00196688">
                    <w:rPr>
                      <w:rFonts w:eastAsia="Times New Roman" w:cs="Calibri"/>
                      <w:i/>
                      <w:iCs/>
                      <w:color w:val="000000"/>
                      <w:lang w:val="en-US"/>
                    </w:rPr>
                    <w:t>-0.003</w:t>
                  </w:r>
                </w:p>
              </w:tc>
            </w:tr>
            <w:tr w:rsidR="0002322E" w:rsidRPr="00EB4B2E" w:rsidTr="00221162">
              <w:trPr>
                <w:trHeight w:val="315"/>
              </w:trPr>
              <w:tc>
                <w:tcPr>
                  <w:tcW w:w="5056" w:type="dxa"/>
                  <w:tcBorders>
                    <w:top w:val="nil"/>
                    <w:left w:val="single" w:sz="8" w:space="0" w:color="auto"/>
                    <w:bottom w:val="single" w:sz="8" w:space="0" w:color="auto"/>
                    <w:right w:val="nil"/>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 </w:t>
                  </w:r>
                </w:p>
              </w:tc>
              <w:tc>
                <w:tcPr>
                  <w:tcW w:w="33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2322E" w:rsidRPr="00196688" w:rsidRDefault="0002322E" w:rsidP="00221162">
                  <w:pPr>
                    <w:spacing w:after="0" w:line="240" w:lineRule="auto"/>
                    <w:rPr>
                      <w:rFonts w:eastAsia="Times New Roman" w:cs="Calibri"/>
                      <w:color w:val="000000"/>
                      <w:lang w:val="en-US"/>
                    </w:rPr>
                  </w:pPr>
                  <w:r w:rsidRPr="00196688">
                    <w:rPr>
                      <w:rFonts w:eastAsia="Times New Roman" w:cs="Calibri"/>
                      <w:color w:val="000000"/>
                      <w:lang w:val="en-US"/>
                    </w:rPr>
                    <w:t>total NRI</w:t>
                  </w:r>
                </w:p>
              </w:tc>
              <w:tc>
                <w:tcPr>
                  <w:tcW w:w="1540" w:type="dxa"/>
                  <w:tcBorders>
                    <w:top w:val="single" w:sz="4" w:space="0" w:color="auto"/>
                    <w:left w:val="nil"/>
                    <w:bottom w:val="single" w:sz="8" w:space="0" w:color="auto"/>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0.235</w:t>
                  </w: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0.178</w:t>
                  </w:r>
                </w:p>
              </w:tc>
              <w:tc>
                <w:tcPr>
                  <w:tcW w:w="1440" w:type="dxa"/>
                  <w:tcBorders>
                    <w:top w:val="single" w:sz="4" w:space="0" w:color="auto"/>
                    <w:left w:val="nil"/>
                    <w:bottom w:val="single" w:sz="8" w:space="0" w:color="auto"/>
                    <w:right w:val="single" w:sz="8" w:space="0" w:color="auto"/>
                  </w:tcBorders>
                  <w:shd w:val="clear" w:color="auto" w:fill="auto"/>
                  <w:noWrap/>
                  <w:vAlign w:val="bottom"/>
                  <w:hideMark/>
                </w:tcPr>
                <w:p w:rsidR="0002322E" w:rsidRPr="00196688" w:rsidRDefault="0002322E" w:rsidP="00221162">
                  <w:pPr>
                    <w:spacing w:after="0" w:line="240" w:lineRule="auto"/>
                    <w:jc w:val="right"/>
                    <w:rPr>
                      <w:rFonts w:eastAsia="Times New Roman" w:cs="Calibri"/>
                      <w:color w:val="000000"/>
                      <w:lang w:val="en-US"/>
                    </w:rPr>
                  </w:pPr>
                  <w:r w:rsidRPr="00196688">
                    <w:rPr>
                      <w:rFonts w:eastAsia="Times New Roman" w:cs="Calibri"/>
                      <w:color w:val="000000"/>
                      <w:lang w:val="en-US"/>
                    </w:rPr>
                    <w:t>0.172</w:t>
                  </w:r>
                </w:p>
              </w:tc>
            </w:tr>
          </w:tbl>
          <w:p w:rsidR="0002322E" w:rsidRDefault="0002322E" w:rsidP="0002322E">
            <w:pPr>
              <w:tabs>
                <w:tab w:val="right" w:pos="360"/>
                <w:tab w:val="left" w:pos="540"/>
              </w:tabs>
              <w:spacing w:after="0" w:line="480" w:lineRule="auto"/>
              <w:rPr>
                <w:rFonts w:ascii="Arial" w:hAnsi="Arial" w:cs="Arial"/>
                <w:b/>
                <w:noProof/>
                <w:sz w:val="24"/>
                <w:szCs w:val="24"/>
                <w:lang w:val="en-US"/>
              </w:rPr>
            </w:pPr>
          </w:p>
          <w:p w:rsidR="0002322E" w:rsidRDefault="0002322E" w:rsidP="0002322E">
            <w:pPr>
              <w:tabs>
                <w:tab w:val="right" w:pos="360"/>
                <w:tab w:val="left" w:pos="540"/>
              </w:tabs>
              <w:spacing w:after="0" w:line="48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 </w:t>
            </w:r>
          </w:p>
          <w:p w:rsidR="0002322E" w:rsidRDefault="0002322E" w:rsidP="0002322E">
            <w:pPr>
              <w:tabs>
                <w:tab w:val="right" w:pos="360"/>
                <w:tab w:val="left" w:pos="540"/>
              </w:tabs>
              <w:spacing w:after="0" w:line="48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The continuous net reclassification improvement for the 10 year survival is the sum of the percentage of patients with the event </w:t>
            </w:r>
            <w:r>
              <w:rPr>
                <w:rFonts w:ascii="Arial" w:eastAsia="Times New Roman" w:hAnsi="Arial" w:cs="Arial"/>
                <w:color w:val="000000"/>
                <w:sz w:val="20"/>
                <w:szCs w:val="20"/>
                <w:lang w:val="en-US"/>
              </w:rPr>
              <w:lastRenderedPageBreak/>
              <w:t xml:space="preserve">that are reclassified to a higher risk score and the percentage of patients without the event with a lower risk score. The calculation of the </w:t>
            </w:r>
            <w:r w:rsidR="00711D71">
              <w:rPr>
                <w:rFonts w:ascii="Arial" w:eastAsia="Times New Roman" w:hAnsi="Arial" w:cs="Arial"/>
                <w:color w:val="000000"/>
                <w:sz w:val="20"/>
                <w:szCs w:val="20"/>
                <w:lang w:val="en-US"/>
              </w:rPr>
              <w:t>NR</w:t>
            </w:r>
            <w:r>
              <w:rPr>
                <w:rFonts w:ascii="Arial" w:eastAsia="Times New Roman" w:hAnsi="Arial" w:cs="Arial"/>
                <w:color w:val="000000"/>
                <w:sz w:val="20"/>
                <w:szCs w:val="20"/>
                <w:lang w:val="en-US"/>
              </w:rPr>
              <w:t>I is further illustrated for the 10 year survival:</w:t>
            </w:r>
          </w:p>
          <w:p w:rsidR="0002322E" w:rsidRDefault="0002322E" w:rsidP="0002322E">
            <w:pPr>
              <w:tabs>
                <w:tab w:val="right" w:pos="360"/>
                <w:tab w:val="left" w:pos="540"/>
              </w:tabs>
              <w:spacing w:after="0" w:line="480" w:lineRule="auto"/>
              <w:rPr>
                <w:rFonts w:ascii="Arial" w:eastAsia="Times New Roman" w:hAnsi="Arial" w:cs="Arial"/>
                <w:color w:val="000000"/>
                <w:sz w:val="20"/>
                <w:szCs w:val="20"/>
                <w:lang w:val="en-US"/>
              </w:rPr>
            </w:pPr>
          </w:p>
          <w:p w:rsidR="0002322E" w:rsidRDefault="0002322E" w:rsidP="0002322E">
            <w:pPr>
              <w:tabs>
                <w:tab w:val="right" w:pos="360"/>
                <w:tab w:val="left" w:pos="540"/>
              </w:tabs>
              <w:spacing w:after="0" w:line="48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For each patient the survival calculations for the 3 models are made and compared. If a patient with a lower survival chance in the new model versus the old model has died within 10 years this patient is counted in the events with a higher risk score; if a patient with a higher survival chance actually survived 10 years, this patient is counted in the non-events with a lower risk score. </w:t>
            </w:r>
          </w:p>
          <w:p w:rsidR="0002322E" w:rsidRDefault="0002322E" w:rsidP="0002322E">
            <w:pPr>
              <w:tabs>
                <w:tab w:val="right" w:pos="360"/>
                <w:tab w:val="left" w:pos="540"/>
              </w:tabs>
              <w:spacing w:after="0" w:line="48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In the example in the results section of the manuscript the patient had a 10 year survival chance of 26% according to the ‘registry’ model; the survival chance is only 22% according to the ‘easy’ model, which indicates a reclassifi</w:t>
            </w:r>
            <w:r w:rsidR="00711D71">
              <w:rPr>
                <w:rFonts w:ascii="Arial" w:eastAsia="Times New Roman" w:hAnsi="Arial" w:cs="Arial"/>
                <w:color w:val="000000"/>
                <w:sz w:val="20"/>
                <w:szCs w:val="20"/>
                <w:lang w:val="en-US"/>
              </w:rPr>
              <w:t>cation</w:t>
            </w:r>
            <w:r>
              <w:rPr>
                <w:rFonts w:ascii="Arial" w:eastAsia="Times New Roman" w:hAnsi="Arial" w:cs="Arial"/>
                <w:color w:val="000000"/>
                <w:sz w:val="20"/>
                <w:szCs w:val="20"/>
                <w:lang w:val="en-US"/>
              </w:rPr>
              <w:t xml:space="preserve"> to a higher r</w:t>
            </w:r>
            <w:r w:rsidR="00711D71">
              <w:rPr>
                <w:rFonts w:ascii="Arial" w:eastAsia="Times New Roman" w:hAnsi="Arial" w:cs="Arial"/>
                <w:color w:val="000000"/>
                <w:sz w:val="20"/>
                <w:szCs w:val="20"/>
                <w:lang w:val="en-US"/>
              </w:rPr>
              <w:t>isk score, and 24% according to</w:t>
            </w:r>
            <w:r>
              <w:rPr>
                <w:rFonts w:ascii="Arial" w:eastAsia="Times New Roman" w:hAnsi="Arial" w:cs="Arial"/>
                <w:color w:val="000000"/>
                <w:sz w:val="20"/>
                <w:szCs w:val="20"/>
                <w:lang w:val="en-US"/>
              </w:rPr>
              <w:t xml:space="preserve"> the ‘elaborate’ model, indicates a reclassification to a lower risk score in the ‘elaborate’ versus the ‘easy’ model. If this patient has died within 10 years this patient is contributing to the events with a higher risk score in the ‘easy’ model</w:t>
            </w:r>
            <w:r w:rsidR="00711D71">
              <w:rPr>
                <w:rFonts w:ascii="Arial" w:eastAsia="Times New Roman" w:hAnsi="Arial" w:cs="Arial"/>
                <w:color w:val="000000"/>
                <w:sz w:val="20"/>
                <w:szCs w:val="20"/>
                <w:lang w:val="en-US"/>
              </w:rPr>
              <w:t xml:space="preserve"> and lower risk score in </w:t>
            </w:r>
            <w:r>
              <w:rPr>
                <w:rFonts w:ascii="Arial" w:eastAsia="Times New Roman" w:hAnsi="Arial" w:cs="Arial"/>
                <w:color w:val="000000"/>
                <w:sz w:val="20"/>
                <w:szCs w:val="20"/>
                <w:lang w:val="en-US"/>
              </w:rPr>
              <w:t>the ‘elaborate’ model</w:t>
            </w:r>
            <w:r w:rsidR="00711D71">
              <w:rPr>
                <w:rFonts w:ascii="Arial" w:eastAsia="Times New Roman" w:hAnsi="Arial" w:cs="Arial"/>
                <w:color w:val="000000"/>
                <w:sz w:val="20"/>
                <w:szCs w:val="20"/>
                <w:lang w:val="en-US"/>
              </w:rPr>
              <w:t>. I</w:t>
            </w:r>
            <w:r>
              <w:rPr>
                <w:rFonts w:ascii="Arial" w:eastAsia="Times New Roman" w:hAnsi="Arial" w:cs="Arial"/>
                <w:color w:val="000000"/>
                <w:sz w:val="20"/>
                <w:szCs w:val="20"/>
                <w:lang w:val="en-US"/>
              </w:rPr>
              <w:t xml:space="preserve">f the patient has survived 10 years </w:t>
            </w:r>
            <w:r w:rsidR="00711D71">
              <w:rPr>
                <w:rFonts w:ascii="Arial" w:eastAsia="Times New Roman" w:hAnsi="Arial" w:cs="Arial"/>
                <w:color w:val="000000"/>
                <w:sz w:val="20"/>
                <w:szCs w:val="20"/>
                <w:lang w:val="en-US"/>
              </w:rPr>
              <w:t>the patient is contributing to the non-events with a higher or lower risk score</w:t>
            </w:r>
            <w:r>
              <w:rPr>
                <w:rFonts w:ascii="Arial" w:eastAsia="Times New Roman" w:hAnsi="Arial" w:cs="Arial"/>
                <w:color w:val="000000"/>
                <w:sz w:val="20"/>
                <w:szCs w:val="20"/>
                <w:lang w:val="en-US"/>
              </w:rPr>
              <w:t>. The percentages in this table represent the reclassification changes of all patients in the validation group.</w:t>
            </w:r>
          </w:p>
          <w:p w:rsidR="0002322E" w:rsidRPr="003D268B" w:rsidRDefault="0002322E" w:rsidP="0002322E">
            <w:pPr>
              <w:rPr>
                <w:lang w:val="en-US"/>
              </w:rPr>
            </w:pPr>
          </w:p>
          <w:p w:rsidR="00672EFE" w:rsidRPr="005648A5" w:rsidRDefault="00672EFE" w:rsidP="00C40697">
            <w:pPr>
              <w:spacing w:after="0" w:line="480" w:lineRule="auto"/>
              <w:rPr>
                <w:rFonts w:ascii="Arial" w:eastAsia="Times New Roman" w:hAnsi="Arial" w:cs="Arial"/>
                <w:color w:val="000000"/>
                <w:sz w:val="24"/>
                <w:szCs w:val="24"/>
                <w:lang w:val="en-US"/>
              </w:rPr>
            </w:pPr>
          </w:p>
        </w:tc>
        <w:tc>
          <w:tcPr>
            <w:tcW w:w="219" w:type="dxa"/>
            <w:tcBorders>
              <w:top w:val="nil"/>
              <w:left w:val="nil"/>
              <w:bottom w:val="nil"/>
              <w:right w:val="nil"/>
            </w:tcBorders>
            <w:shd w:val="clear" w:color="auto" w:fill="auto"/>
            <w:noWrap/>
            <w:vAlign w:val="bottom"/>
            <w:hideMark/>
          </w:tcPr>
          <w:p w:rsidR="00672EFE" w:rsidRPr="005648A5" w:rsidRDefault="00672EFE" w:rsidP="00C40697">
            <w:pPr>
              <w:spacing w:after="0" w:line="480" w:lineRule="auto"/>
              <w:rPr>
                <w:rFonts w:ascii="Arial" w:eastAsia="Times New Roman" w:hAnsi="Arial" w:cs="Arial"/>
                <w:color w:val="000000"/>
                <w:sz w:val="24"/>
                <w:szCs w:val="24"/>
                <w:lang w:val="en-US"/>
              </w:rPr>
            </w:pPr>
          </w:p>
        </w:tc>
        <w:tc>
          <w:tcPr>
            <w:tcW w:w="219" w:type="dxa"/>
            <w:tcBorders>
              <w:top w:val="nil"/>
              <w:left w:val="nil"/>
              <w:bottom w:val="nil"/>
              <w:right w:val="nil"/>
            </w:tcBorders>
            <w:shd w:val="clear" w:color="auto" w:fill="auto"/>
            <w:noWrap/>
            <w:vAlign w:val="bottom"/>
            <w:hideMark/>
          </w:tcPr>
          <w:p w:rsidR="00672EFE" w:rsidRPr="005648A5" w:rsidRDefault="00672EFE" w:rsidP="00C40697">
            <w:pPr>
              <w:spacing w:after="0" w:line="480" w:lineRule="auto"/>
              <w:rPr>
                <w:rFonts w:ascii="Arial" w:eastAsia="Times New Roman" w:hAnsi="Arial" w:cs="Arial"/>
                <w:color w:val="000000"/>
                <w:sz w:val="24"/>
                <w:szCs w:val="24"/>
                <w:lang w:val="en-US"/>
              </w:rPr>
            </w:pPr>
          </w:p>
        </w:tc>
        <w:tc>
          <w:tcPr>
            <w:tcW w:w="219" w:type="dxa"/>
            <w:tcBorders>
              <w:top w:val="nil"/>
              <w:left w:val="nil"/>
              <w:bottom w:val="nil"/>
              <w:right w:val="nil"/>
            </w:tcBorders>
            <w:shd w:val="clear" w:color="auto" w:fill="auto"/>
            <w:noWrap/>
            <w:vAlign w:val="bottom"/>
            <w:hideMark/>
          </w:tcPr>
          <w:p w:rsidR="00672EFE" w:rsidRPr="005648A5" w:rsidRDefault="00672EFE" w:rsidP="00C40697">
            <w:pPr>
              <w:spacing w:after="0" w:line="480" w:lineRule="auto"/>
              <w:rPr>
                <w:rFonts w:ascii="Arial" w:eastAsia="Times New Roman" w:hAnsi="Arial" w:cs="Arial"/>
                <w:color w:val="000000"/>
                <w:sz w:val="24"/>
                <w:szCs w:val="24"/>
                <w:lang w:val="en-US"/>
              </w:rPr>
            </w:pPr>
          </w:p>
        </w:tc>
        <w:tc>
          <w:tcPr>
            <w:tcW w:w="219" w:type="dxa"/>
            <w:tcBorders>
              <w:top w:val="nil"/>
              <w:left w:val="nil"/>
              <w:bottom w:val="nil"/>
              <w:right w:val="nil"/>
            </w:tcBorders>
            <w:shd w:val="clear" w:color="auto" w:fill="auto"/>
            <w:noWrap/>
            <w:vAlign w:val="bottom"/>
            <w:hideMark/>
          </w:tcPr>
          <w:p w:rsidR="00672EFE" w:rsidRPr="005648A5" w:rsidRDefault="00672EFE" w:rsidP="00C40697">
            <w:pPr>
              <w:spacing w:after="0" w:line="480" w:lineRule="auto"/>
              <w:rPr>
                <w:rFonts w:ascii="Arial" w:eastAsia="Times New Roman" w:hAnsi="Arial" w:cs="Arial"/>
                <w:color w:val="000000"/>
                <w:sz w:val="24"/>
                <w:szCs w:val="24"/>
                <w:lang w:val="en-US"/>
              </w:rPr>
            </w:pPr>
          </w:p>
        </w:tc>
      </w:tr>
      <w:tr w:rsidR="00672EFE" w:rsidRPr="00EB4B2E" w:rsidTr="00672EFE">
        <w:trPr>
          <w:trHeight w:val="300"/>
        </w:trPr>
        <w:tc>
          <w:tcPr>
            <w:tcW w:w="218" w:type="dxa"/>
            <w:tcBorders>
              <w:top w:val="nil"/>
              <w:left w:val="nil"/>
              <w:bottom w:val="nil"/>
              <w:right w:val="nil"/>
            </w:tcBorders>
            <w:shd w:val="clear" w:color="auto" w:fill="auto"/>
            <w:noWrap/>
            <w:vAlign w:val="bottom"/>
            <w:hideMark/>
          </w:tcPr>
          <w:p w:rsidR="00672EFE" w:rsidRPr="005648A5" w:rsidRDefault="00672EFE" w:rsidP="00C40697">
            <w:pPr>
              <w:spacing w:after="0" w:line="480" w:lineRule="auto"/>
              <w:rPr>
                <w:rFonts w:ascii="Arial" w:eastAsia="Times New Roman" w:hAnsi="Arial" w:cs="Arial"/>
                <w:color w:val="000000"/>
                <w:sz w:val="24"/>
                <w:szCs w:val="24"/>
                <w:lang w:val="en-US"/>
              </w:rPr>
            </w:pPr>
          </w:p>
        </w:tc>
        <w:tc>
          <w:tcPr>
            <w:tcW w:w="218" w:type="dxa"/>
            <w:tcBorders>
              <w:top w:val="nil"/>
              <w:left w:val="nil"/>
              <w:bottom w:val="nil"/>
              <w:right w:val="nil"/>
            </w:tcBorders>
            <w:shd w:val="clear" w:color="auto" w:fill="auto"/>
            <w:noWrap/>
            <w:vAlign w:val="bottom"/>
            <w:hideMark/>
          </w:tcPr>
          <w:p w:rsidR="00672EFE" w:rsidRPr="005648A5" w:rsidRDefault="00672EFE" w:rsidP="00C40697">
            <w:pPr>
              <w:spacing w:after="0" w:line="480" w:lineRule="auto"/>
              <w:rPr>
                <w:rFonts w:ascii="Arial" w:eastAsia="Times New Roman" w:hAnsi="Arial" w:cs="Arial"/>
                <w:color w:val="000000"/>
                <w:sz w:val="24"/>
                <w:szCs w:val="24"/>
                <w:lang w:val="en-US"/>
              </w:rPr>
            </w:pPr>
          </w:p>
        </w:tc>
        <w:tc>
          <w:tcPr>
            <w:tcW w:w="219" w:type="dxa"/>
            <w:tcBorders>
              <w:top w:val="nil"/>
              <w:left w:val="nil"/>
              <w:bottom w:val="nil"/>
              <w:right w:val="nil"/>
            </w:tcBorders>
            <w:shd w:val="clear" w:color="auto" w:fill="auto"/>
            <w:noWrap/>
            <w:vAlign w:val="bottom"/>
            <w:hideMark/>
          </w:tcPr>
          <w:p w:rsidR="00672EFE" w:rsidRPr="005648A5" w:rsidRDefault="00672EFE" w:rsidP="00C40697">
            <w:pPr>
              <w:spacing w:after="0" w:line="480" w:lineRule="auto"/>
              <w:rPr>
                <w:rFonts w:ascii="Arial" w:eastAsia="Times New Roman" w:hAnsi="Arial" w:cs="Arial"/>
                <w:color w:val="000000"/>
                <w:sz w:val="24"/>
                <w:szCs w:val="24"/>
                <w:lang w:val="en-US"/>
              </w:rPr>
            </w:pPr>
          </w:p>
        </w:tc>
        <w:tc>
          <w:tcPr>
            <w:tcW w:w="219" w:type="dxa"/>
            <w:tcBorders>
              <w:top w:val="nil"/>
              <w:left w:val="nil"/>
              <w:bottom w:val="nil"/>
              <w:right w:val="nil"/>
            </w:tcBorders>
            <w:shd w:val="clear" w:color="auto" w:fill="auto"/>
            <w:noWrap/>
            <w:vAlign w:val="bottom"/>
            <w:hideMark/>
          </w:tcPr>
          <w:p w:rsidR="00672EFE" w:rsidRPr="005648A5" w:rsidRDefault="00672EFE" w:rsidP="00C40697">
            <w:pPr>
              <w:spacing w:after="0" w:line="480" w:lineRule="auto"/>
              <w:rPr>
                <w:rFonts w:ascii="Arial" w:eastAsia="Times New Roman" w:hAnsi="Arial" w:cs="Arial"/>
                <w:color w:val="000000"/>
                <w:sz w:val="24"/>
                <w:szCs w:val="24"/>
                <w:lang w:val="en-US"/>
              </w:rPr>
            </w:pPr>
          </w:p>
        </w:tc>
        <w:tc>
          <w:tcPr>
            <w:tcW w:w="219" w:type="dxa"/>
            <w:tcBorders>
              <w:top w:val="nil"/>
              <w:left w:val="nil"/>
              <w:bottom w:val="nil"/>
              <w:right w:val="nil"/>
            </w:tcBorders>
            <w:shd w:val="clear" w:color="auto" w:fill="auto"/>
            <w:noWrap/>
            <w:vAlign w:val="bottom"/>
            <w:hideMark/>
          </w:tcPr>
          <w:p w:rsidR="00672EFE" w:rsidRPr="005648A5" w:rsidRDefault="00672EFE" w:rsidP="00C40697">
            <w:pPr>
              <w:spacing w:after="0" w:line="480" w:lineRule="auto"/>
              <w:rPr>
                <w:rFonts w:ascii="Arial" w:eastAsia="Times New Roman" w:hAnsi="Arial" w:cs="Arial"/>
                <w:color w:val="000000"/>
                <w:sz w:val="24"/>
                <w:szCs w:val="24"/>
                <w:lang w:val="en-US"/>
              </w:rPr>
            </w:pPr>
          </w:p>
        </w:tc>
        <w:tc>
          <w:tcPr>
            <w:tcW w:w="219" w:type="dxa"/>
            <w:tcBorders>
              <w:top w:val="nil"/>
              <w:left w:val="nil"/>
              <w:bottom w:val="nil"/>
              <w:right w:val="nil"/>
            </w:tcBorders>
            <w:shd w:val="clear" w:color="auto" w:fill="auto"/>
            <w:noWrap/>
            <w:vAlign w:val="bottom"/>
            <w:hideMark/>
          </w:tcPr>
          <w:p w:rsidR="00672EFE" w:rsidRPr="005648A5" w:rsidRDefault="00672EFE" w:rsidP="00C40697">
            <w:pPr>
              <w:spacing w:after="0" w:line="480" w:lineRule="auto"/>
              <w:rPr>
                <w:rFonts w:ascii="Arial" w:eastAsia="Times New Roman" w:hAnsi="Arial" w:cs="Arial"/>
                <w:color w:val="000000"/>
                <w:sz w:val="24"/>
                <w:szCs w:val="24"/>
                <w:lang w:val="en-US"/>
              </w:rPr>
            </w:pPr>
          </w:p>
        </w:tc>
        <w:tc>
          <w:tcPr>
            <w:tcW w:w="219" w:type="dxa"/>
            <w:tcBorders>
              <w:top w:val="nil"/>
              <w:left w:val="nil"/>
              <w:bottom w:val="nil"/>
              <w:right w:val="nil"/>
            </w:tcBorders>
            <w:shd w:val="clear" w:color="auto" w:fill="auto"/>
            <w:noWrap/>
            <w:vAlign w:val="bottom"/>
            <w:hideMark/>
          </w:tcPr>
          <w:p w:rsidR="00672EFE" w:rsidRPr="005648A5" w:rsidRDefault="00672EFE" w:rsidP="00C40697">
            <w:pPr>
              <w:spacing w:after="0" w:line="480" w:lineRule="auto"/>
              <w:rPr>
                <w:rFonts w:ascii="Arial" w:eastAsia="Times New Roman" w:hAnsi="Arial" w:cs="Arial"/>
                <w:color w:val="000000"/>
                <w:sz w:val="24"/>
                <w:szCs w:val="24"/>
                <w:lang w:val="en-US"/>
              </w:rPr>
            </w:pPr>
          </w:p>
        </w:tc>
      </w:tr>
    </w:tbl>
    <w:p w:rsidR="00C40697" w:rsidRPr="00F363B6" w:rsidRDefault="00C40697" w:rsidP="00F363B6">
      <w:pPr>
        <w:rPr>
          <w:lang w:val="en-US"/>
        </w:rPr>
      </w:pPr>
    </w:p>
    <w:sectPr w:rsidR="00C40697" w:rsidRPr="00F363B6" w:rsidSect="0002322E">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F363B6"/>
    <w:rsid w:val="0002322E"/>
    <w:rsid w:val="0003786D"/>
    <w:rsid w:val="000449FB"/>
    <w:rsid w:val="00056A98"/>
    <w:rsid w:val="00075EAF"/>
    <w:rsid w:val="00086149"/>
    <w:rsid w:val="000923F2"/>
    <w:rsid w:val="000D0439"/>
    <w:rsid w:val="00124517"/>
    <w:rsid w:val="00132A52"/>
    <w:rsid w:val="00196688"/>
    <w:rsid w:val="001D3180"/>
    <w:rsid w:val="001E4332"/>
    <w:rsid w:val="002032C1"/>
    <w:rsid w:val="002311D2"/>
    <w:rsid w:val="00242295"/>
    <w:rsid w:val="00252FC3"/>
    <w:rsid w:val="00253493"/>
    <w:rsid w:val="00257BED"/>
    <w:rsid w:val="00296ECA"/>
    <w:rsid w:val="002C5AD8"/>
    <w:rsid w:val="003048BB"/>
    <w:rsid w:val="00311CAC"/>
    <w:rsid w:val="003A7973"/>
    <w:rsid w:val="00416E18"/>
    <w:rsid w:val="00417F86"/>
    <w:rsid w:val="004550E1"/>
    <w:rsid w:val="004A1414"/>
    <w:rsid w:val="004A2068"/>
    <w:rsid w:val="004A66DF"/>
    <w:rsid w:val="004B43DD"/>
    <w:rsid w:val="004B6027"/>
    <w:rsid w:val="004F2327"/>
    <w:rsid w:val="004F763D"/>
    <w:rsid w:val="00553B4F"/>
    <w:rsid w:val="0056750E"/>
    <w:rsid w:val="005B5BFE"/>
    <w:rsid w:val="005C7984"/>
    <w:rsid w:val="005E0ABA"/>
    <w:rsid w:val="00624B9E"/>
    <w:rsid w:val="00672EFE"/>
    <w:rsid w:val="00694C5E"/>
    <w:rsid w:val="006B1AF3"/>
    <w:rsid w:val="00711D71"/>
    <w:rsid w:val="00717E55"/>
    <w:rsid w:val="00745F5A"/>
    <w:rsid w:val="00751487"/>
    <w:rsid w:val="007522E5"/>
    <w:rsid w:val="00770BE2"/>
    <w:rsid w:val="00773FAE"/>
    <w:rsid w:val="00776759"/>
    <w:rsid w:val="007D165E"/>
    <w:rsid w:val="007E62DB"/>
    <w:rsid w:val="008426ED"/>
    <w:rsid w:val="00847BEC"/>
    <w:rsid w:val="00847CDB"/>
    <w:rsid w:val="008946E1"/>
    <w:rsid w:val="008C12D4"/>
    <w:rsid w:val="008E252B"/>
    <w:rsid w:val="00945903"/>
    <w:rsid w:val="00966455"/>
    <w:rsid w:val="0099476E"/>
    <w:rsid w:val="009B4CC5"/>
    <w:rsid w:val="009E0B04"/>
    <w:rsid w:val="009F540D"/>
    <w:rsid w:val="009F5CE0"/>
    <w:rsid w:val="00A07E5F"/>
    <w:rsid w:val="00A25C98"/>
    <w:rsid w:val="00A37DE1"/>
    <w:rsid w:val="00A611E5"/>
    <w:rsid w:val="00A71AA5"/>
    <w:rsid w:val="00AB3A2B"/>
    <w:rsid w:val="00AC424C"/>
    <w:rsid w:val="00AE4DF8"/>
    <w:rsid w:val="00B03E43"/>
    <w:rsid w:val="00B07EBB"/>
    <w:rsid w:val="00C04967"/>
    <w:rsid w:val="00C11D2F"/>
    <w:rsid w:val="00C40697"/>
    <w:rsid w:val="00C40912"/>
    <w:rsid w:val="00C55890"/>
    <w:rsid w:val="00CA5EF8"/>
    <w:rsid w:val="00CB4781"/>
    <w:rsid w:val="00CF4799"/>
    <w:rsid w:val="00D5062E"/>
    <w:rsid w:val="00D83FA2"/>
    <w:rsid w:val="00DA659D"/>
    <w:rsid w:val="00DC4EEA"/>
    <w:rsid w:val="00DC4FA3"/>
    <w:rsid w:val="00DC7F92"/>
    <w:rsid w:val="00DE4269"/>
    <w:rsid w:val="00DE60FF"/>
    <w:rsid w:val="00E15CD6"/>
    <w:rsid w:val="00E24B6C"/>
    <w:rsid w:val="00EB4B2E"/>
    <w:rsid w:val="00EF50CA"/>
    <w:rsid w:val="00F01566"/>
    <w:rsid w:val="00F03215"/>
    <w:rsid w:val="00F06110"/>
    <w:rsid w:val="00F363B6"/>
    <w:rsid w:val="00F83B07"/>
    <w:rsid w:val="00F95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B6"/>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97"/>
    <w:rPr>
      <w:rFonts w:ascii="Tahoma" w:eastAsia="Calibri"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divs>
    <w:div w:id="9871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ETI</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ahemke</dc:creator>
  <cp:lastModifiedBy>AHe</cp:lastModifiedBy>
  <cp:revision>3</cp:revision>
  <cp:lastPrinted>2015-05-18T14:42:00Z</cp:lastPrinted>
  <dcterms:created xsi:type="dcterms:W3CDTF">2015-07-07T12:09:00Z</dcterms:created>
  <dcterms:modified xsi:type="dcterms:W3CDTF">2015-07-07T12:10:00Z</dcterms:modified>
</cp:coreProperties>
</file>