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1E" w:rsidRPr="00A701BA" w:rsidRDefault="000E2F1E" w:rsidP="00E07B5B">
      <w:pPr>
        <w:tabs>
          <w:tab w:val="left" w:pos="5310"/>
        </w:tabs>
        <w:spacing w:after="0" w:line="480" w:lineRule="auto"/>
        <w:rPr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203"/>
        <w:gridCol w:w="5373"/>
      </w:tblGrid>
      <w:tr w:rsidR="000E2F1E" w:rsidRPr="00A701BA" w:rsidTr="00A51F63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E2F1E" w:rsidRPr="00A701BA" w:rsidRDefault="000E2F1E" w:rsidP="003E46AB">
            <w:pPr>
              <w:spacing w:before="60" w:after="60"/>
              <w:rPr>
                <w:b/>
              </w:rPr>
            </w:pPr>
            <w:r w:rsidRPr="00A701BA">
              <w:rPr>
                <w:b/>
              </w:rPr>
              <w:t xml:space="preserve">Supplementary Table </w:t>
            </w:r>
            <w:r w:rsidR="00BA4BD0">
              <w:rPr>
                <w:b/>
              </w:rPr>
              <w:t>S</w:t>
            </w:r>
            <w:r w:rsidRPr="00A701BA">
              <w:rPr>
                <w:b/>
              </w:rPr>
              <w:t xml:space="preserve">1. NICE HTA </w:t>
            </w:r>
            <w:r w:rsidR="003E46AB">
              <w:rPr>
                <w:b/>
              </w:rPr>
              <w:t>a</w:t>
            </w:r>
            <w:r w:rsidR="003E46AB" w:rsidRPr="00A701BA">
              <w:rPr>
                <w:b/>
              </w:rPr>
              <w:t xml:space="preserve">ssessment </w:t>
            </w:r>
            <w:r w:rsidRPr="00A701BA">
              <w:rPr>
                <w:b/>
              </w:rPr>
              <w:t xml:space="preserve">of </w:t>
            </w:r>
            <w:r w:rsidR="003E46AB">
              <w:rPr>
                <w:b/>
              </w:rPr>
              <w:t>p</w:t>
            </w:r>
            <w:r w:rsidR="003E46AB" w:rsidRPr="00A701BA">
              <w:rPr>
                <w:b/>
              </w:rPr>
              <w:t>azopanib</w:t>
            </w:r>
          </w:p>
        </w:tc>
      </w:tr>
      <w:tr w:rsidR="000E2F1E" w:rsidRPr="00A701BA" w:rsidTr="00A51F63">
        <w:tc>
          <w:tcPr>
            <w:tcW w:w="9576" w:type="dxa"/>
            <w:gridSpan w:val="2"/>
            <w:shd w:val="clear" w:color="auto" w:fill="D9D9D9" w:themeFill="background1" w:themeFillShade="D9"/>
          </w:tcPr>
          <w:p w:rsidR="000E2F1E" w:rsidRPr="00A701BA" w:rsidRDefault="000E2F1E">
            <w:pPr>
              <w:spacing w:before="60" w:after="60"/>
              <w:rPr>
                <w:b/>
              </w:rPr>
            </w:pPr>
            <w:r w:rsidRPr="00A701BA">
              <w:rPr>
                <w:b/>
              </w:rPr>
              <w:t xml:space="preserve">General </w:t>
            </w:r>
            <w:r w:rsidR="003E46AB">
              <w:rPr>
                <w:b/>
              </w:rPr>
              <w:t>i</w:t>
            </w:r>
            <w:r w:rsidR="003E46AB" w:rsidRPr="00A701BA">
              <w:rPr>
                <w:b/>
              </w:rPr>
              <w:t>nformation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Indication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Pazopanib is indicated for the first-line treatment of advanced renal cell carcinoma (RCC) and for patients who have received prior cytokine therapy for advanced disease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Manufacturer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GlaxoSmithKline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Type of HTA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Single Technology Appraisal—STA (NICE TA 215)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Final Guidance (date)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Recommended (February 2011)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Appraisal Committee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Appraisal Committee C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Evidence Review/Assessment Group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Aberdeen HTA group</w:t>
            </w:r>
          </w:p>
        </w:tc>
      </w:tr>
      <w:tr w:rsidR="000E2F1E" w:rsidRPr="00A701BA" w:rsidTr="00A51F63">
        <w:tc>
          <w:tcPr>
            <w:tcW w:w="9576" w:type="dxa"/>
            <w:gridSpan w:val="2"/>
            <w:shd w:val="clear" w:color="auto" w:fill="D9D9D9" w:themeFill="background1" w:themeFillShade="D9"/>
          </w:tcPr>
          <w:p w:rsidR="000E2F1E" w:rsidRPr="00A701BA" w:rsidRDefault="000E2F1E">
            <w:pPr>
              <w:spacing w:before="60" w:after="60"/>
              <w:rPr>
                <w:b/>
              </w:rPr>
            </w:pPr>
            <w:r w:rsidRPr="00A701BA">
              <w:rPr>
                <w:b/>
              </w:rPr>
              <w:t xml:space="preserve">Clinical </w:t>
            </w:r>
            <w:r w:rsidR="003E46AB">
              <w:rPr>
                <w:b/>
              </w:rPr>
              <w:t>e</w:t>
            </w:r>
            <w:r w:rsidR="003E46AB" w:rsidRPr="00A701BA">
              <w:rPr>
                <w:b/>
              </w:rPr>
              <w:t>ffectiveness</w:t>
            </w:r>
            <w:r w:rsidRPr="00A701BA">
              <w:rPr>
                <w:b/>
              </w:rPr>
              <w:t>—</w:t>
            </w:r>
            <w:r w:rsidR="003E46AB">
              <w:rPr>
                <w:b/>
              </w:rPr>
              <w:t>t</w:t>
            </w:r>
            <w:r w:rsidR="003E46AB" w:rsidRPr="00A701BA">
              <w:rPr>
                <w:b/>
              </w:rPr>
              <w:t>reatment</w:t>
            </w:r>
            <w:r w:rsidRPr="00A701BA">
              <w:rPr>
                <w:b/>
              </w:rPr>
              <w:t>-</w:t>
            </w:r>
            <w:r w:rsidR="003E46AB">
              <w:rPr>
                <w:b/>
              </w:rPr>
              <w:t>n</w:t>
            </w:r>
            <w:r w:rsidR="003E46AB" w:rsidRPr="00A701BA">
              <w:rPr>
                <w:b/>
              </w:rPr>
              <w:t xml:space="preserve">aive </w:t>
            </w:r>
            <w:r w:rsidR="003E46AB">
              <w:rPr>
                <w:b/>
              </w:rPr>
              <w:t>s</w:t>
            </w:r>
            <w:r w:rsidR="003E46AB" w:rsidRPr="00A701BA">
              <w:rPr>
                <w:b/>
              </w:rPr>
              <w:t>ubpopulation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Trial comparator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Best supportive care (BSC)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Sample size (experimental/control)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N = 233 (155/78)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Study efficacy outcomes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Primary endpoint: PFS</w:t>
            </w:r>
          </w:p>
          <w:p w:rsidR="000E2F1E" w:rsidRPr="00A701BA" w:rsidRDefault="000E2F1E" w:rsidP="003E46AB">
            <w:pPr>
              <w:spacing w:before="60" w:after="60"/>
            </w:pPr>
            <w:r w:rsidRPr="00A701BA">
              <w:t>Secondary endpoint: OS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Median PFS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Pazopanib: 11.1 months</w:t>
            </w:r>
          </w:p>
          <w:p w:rsidR="000E2F1E" w:rsidRPr="00A701BA" w:rsidRDefault="000E2F1E" w:rsidP="003E46AB">
            <w:pPr>
              <w:spacing w:before="60" w:after="60"/>
            </w:pPr>
            <w:r w:rsidRPr="00A701BA">
              <w:t>BSC: 2.8 months (Δ = 8.3 months)</w:t>
            </w:r>
          </w:p>
          <w:p w:rsidR="000E2F1E" w:rsidRPr="00A701BA" w:rsidRDefault="00A51F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>HR = 0.40 (95% CI</w:t>
            </w:r>
            <w:r w:rsidR="000E2F1E" w:rsidRPr="000E2F1E">
              <w:rPr>
                <w:rFonts w:ascii="Arial" w:hAnsi="Arial" w:cs="Arial"/>
                <w:sz w:val="22"/>
                <w:szCs w:val="22"/>
              </w:rPr>
              <w:t xml:space="preserve"> 0.27</w:t>
            </w:r>
            <w:r w:rsidR="008D7923">
              <w:rPr>
                <w:rFonts w:ascii="Arial" w:hAnsi="Arial" w:cs="Arial"/>
                <w:sz w:val="22"/>
                <w:szCs w:val="22"/>
              </w:rPr>
              <w:t>–</w:t>
            </w:r>
            <w:r w:rsidR="000E2F1E" w:rsidRPr="000E2F1E">
              <w:rPr>
                <w:rFonts w:ascii="Arial" w:hAnsi="Arial" w:cs="Arial"/>
                <w:sz w:val="22"/>
                <w:szCs w:val="22"/>
              </w:rPr>
              <w:t>0.60)</w:t>
            </w:r>
          </w:p>
        </w:tc>
      </w:tr>
      <w:tr w:rsidR="000E2F1E" w:rsidRPr="00A701BA" w:rsidTr="00913465">
        <w:tc>
          <w:tcPr>
            <w:tcW w:w="420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OS—interim (ITT analysis)</w:t>
            </w:r>
          </w:p>
        </w:tc>
        <w:tc>
          <w:tcPr>
            <w:tcW w:w="5373" w:type="dxa"/>
          </w:tcPr>
          <w:p w:rsidR="000E2F1E" w:rsidRPr="00A701BA" w:rsidRDefault="000E2F1E" w:rsidP="003E46AB">
            <w:pPr>
              <w:spacing w:before="60" w:after="60"/>
            </w:pPr>
            <w:r w:rsidRPr="00A701BA">
              <w:t>Pazopanib: NR</w:t>
            </w:r>
          </w:p>
          <w:p w:rsidR="000E2F1E" w:rsidRPr="00A701BA" w:rsidRDefault="000E2F1E" w:rsidP="003E46AB">
            <w:pPr>
              <w:spacing w:before="60" w:after="60"/>
            </w:pPr>
            <w:r w:rsidRPr="00A701BA">
              <w:t>BSC: NR (Δ = NA)</w:t>
            </w:r>
          </w:p>
          <w:p w:rsidR="000E2F1E" w:rsidRPr="00A701BA" w:rsidRDefault="00A51F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>HR = 0.74 (95% CI</w:t>
            </w:r>
            <w:r w:rsidR="000E2F1E" w:rsidRPr="000E2F1E">
              <w:rPr>
                <w:rFonts w:ascii="Arial" w:hAnsi="Arial" w:cs="Arial"/>
                <w:sz w:val="22"/>
                <w:szCs w:val="22"/>
              </w:rPr>
              <w:t xml:space="preserve"> 0.47</w:t>
            </w:r>
            <w:r w:rsidR="008D7923">
              <w:rPr>
                <w:rFonts w:ascii="Arial" w:hAnsi="Arial" w:cs="Arial"/>
                <w:sz w:val="22"/>
                <w:szCs w:val="22"/>
              </w:rPr>
              <w:t>–</w:t>
            </w:r>
            <w:r w:rsidR="000E2F1E" w:rsidRPr="000E2F1E">
              <w:rPr>
                <w:rFonts w:ascii="Arial" w:hAnsi="Arial" w:cs="Arial"/>
                <w:sz w:val="22"/>
                <w:szCs w:val="22"/>
              </w:rPr>
              <w:t>1.15)</w:t>
            </w:r>
          </w:p>
        </w:tc>
      </w:tr>
      <w:tr w:rsidR="003E46AB" w:rsidRPr="00A701BA" w:rsidTr="0072209D">
        <w:tc>
          <w:tcPr>
            <w:tcW w:w="9576" w:type="dxa"/>
            <w:gridSpan w:val="2"/>
          </w:tcPr>
          <w:p w:rsidR="003E46AB" w:rsidRPr="00913465" w:rsidRDefault="00B01B6F" w:rsidP="00D23C8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BSC = best supportive care; </w:t>
            </w:r>
            <w:r w:rsidR="003E46AB">
              <w:rPr>
                <w:sz w:val="18"/>
                <w:szCs w:val="18"/>
              </w:rPr>
              <w:t xml:space="preserve">CI = confidence interval; HR = hazard ratio; HTA = health technology assessment; </w:t>
            </w:r>
            <w:r w:rsidR="00D23C89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="003E46AB">
              <w:rPr>
                <w:sz w:val="18"/>
                <w:szCs w:val="18"/>
              </w:rPr>
              <w:t xml:space="preserve">TT = intent to treat; </w:t>
            </w:r>
            <w:r w:rsidR="0072209D">
              <w:rPr>
                <w:sz w:val="18"/>
                <w:szCs w:val="18"/>
              </w:rPr>
              <w:t xml:space="preserve">NA = not available; </w:t>
            </w:r>
            <w:r w:rsidR="003E46AB">
              <w:rPr>
                <w:sz w:val="18"/>
                <w:szCs w:val="18"/>
              </w:rPr>
              <w:t xml:space="preserve">NR = not reported; NICE = National Institute for Health and Care Excellence; </w:t>
            </w:r>
            <w:r w:rsidR="00D23C89">
              <w:rPr>
                <w:sz w:val="18"/>
                <w:szCs w:val="18"/>
              </w:rPr>
              <w:br/>
            </w:r>
            <w:r w:rsidR="003E46AB">
              <w:rPr>
                <w:sz w:val="18"/>
                <w:szCs w:val="18"/>
              </w:rPr>
              <w:t>PFS = progression-free survival; OS = overall survival.</w:t>
            </w:r>
          </w:p>
        </w:tc>
      </w:tr>
    </w:tbl>
    <w:p w:rsidR="000E2F1E" w:rsidRPr="00A701BA" w:rsidRDefault="000E2F1E" w:rsidP="000E2F1E">
      <w:pPr>
        <w:pStyle w:val="ListParagraph"/>
        <w:spacing w:before="60" w:after="60" w:line="240" w:lineRule="auto"/>
        <w:ind w:hanging="360"/>
      </w:pPr>
    </w:p>
    <w:p w:rsidR="00A84419" w:rsidRDefault="00A84419"/>
    <w:p w:rsidR="0088454A" w:rsidRDefault="0088454A"/>
    <w:sectPr w:rsidR="0088454A" w:rsidSect="00A8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AB" w:rsidRDefault="003E46AB" w:rsidP="000E2F1E">
      <w:pPr>
        <w:spacing w:after="0" w:line="240" w:lineRule="auto"/>
      </w:pPr>
      <w:r>
        <w:separator/>
      </w:r>
    </w:p>
  </w:endnote>
  <w:endnote w:type="continuationSeparator" w:id="0">
    <w:p w:rsidR="003E46AB" w:rsidRDefault="003E46AB" w:rsidP="000E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Default="003E4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Default="003E4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Default="003E4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AB" w:rsidRDefault="003E46AB" w:rsidP="000E2F1E">
      <w:pPr>
        <w:spacing w:after="0" w:line="240" w:lineRule="auto"/>
      </w:pPr>
      <w:r>
        <w:separator/>
      </w:r>
    </w:p>
  </w:footnote>
  <w:footnote w:type="continuationSeparator" w:id="0">
    <w:p w:rsidR="003E46AB" w:rsidRDefault="003E46AB" w:rsidP="000E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Default="003E4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Pr="00120774" w:rsidRDefault="003E46AB" w:rsidP="000E2F1E">
    <w:pPr>
      <w:pStyle w:val="Header"/>
      <w:tabs>
        <w:tab w:val="clear" w:pos="4680"/>
      </w:tabs>
    </w:pPr>
    <w:r w:rsidRPr="00120774">
      <w:tab/>
      <w:t xml:space="preserve">Page </w:t>
    </w:r>
    <w:r w:rsidRPr="00120774">
      <w:fldChar w:fldCharType="begin"/>
    </w:r>
    <w:r w:rsidRPr="00120774">
      <w:instrText xml:space="preserve"> PAGE   \* MERGEFORMAT </w:instrText>
    </w:r>
    <w:r w:rsidRPr="00120774">
      <w:fldChar w:fldCharType="separate"/>
    </w:r>
    <w:r w:rsidR="00D23C89">
      <w:rPr>
        <w:noProof/>
      </w:rPr>
      <w:t>1</w:t>
    </w:r>
    <w:r w:rsidRPr="00120774">
      <w:rPr>
        <w:noProof/>
      </w:rPr>
      <w:fldChar w:fldCharType="end"/>
    </w:r>
  </w:p>
  <w:p w:rsidR="003E46AB" w:rsidRDefault="003E46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Default="003E4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BD"/>
    <w:multiLevelType w:val="hybridMultilevel"/>
    <w:tmpl w:val="29C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5F9D"/>
    <w:multiLevelType w:val="multilevel"/>
    <w:tmpl w:val="1346BEA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A6"/>
    <w:rsid w:val="000E2F1E"/>
    <w:rsid w:val="000E68D7"/>
    <w:rsid w:val="001E16B6"/>
    <w:rsid w:val="00245EE8"/>
    <w:rsid w:val="00293AFC"/>
    <w:rsid w:val="003E46AB"/>
    <w:rsid w:val="00433A9A"/>
    <w:rsid w:val="004815B0"/>
    <w:rsid w:val="0068744C"/>
    <w:rsid w:val="0072209D"/>
    <w:rsid w:val="007E24A6"/>
    <w:rsid w:val="00841D05"/>
    <w:rsid w:val="0088454A"/>
    <w:rsid w:val="008D7923"/>
    <w:rsid w:val="00913465"/>
    <w:rsid w:val="00A15D29"/>
    <w:rsid w:val="00A51F63"/>
    <w:rsid w:val="00A84419"/>
    <w:rsid w:val="00A9695A"/>
    <w:rsid w:val="00B01B6F"/>
    <w:rsid w:val="00BA4BD0"/>
    <w:rsid w:val="00C73B52"/>
    <w:rsid w:val="00D23C89"/>
    <w:rsid w:val="00E07B5B"/>
    <w:rsid w:val="00F370AE"/>
    <w:rsid w:val="00F8165A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1E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A15D29"/>
    <w:pPr>
      <w:keepNext/>
      <w:pageBreakBefore/>
      <w:numPr>
        <w:numId w:val="1"/>
      </w:numPr>
      <w:tabs>
        <w:tab w:val="left" w:pos="567"/>
      </w:tabs>
      <w:spacing w:before="240" w:after="120"/>
      <w:outlineLvl w:val="0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5EE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45EE8"/>
    <w:pPr>
      <w:keepNext/>
      <w:numPr>
        <w:ilvl w:val="4"/>
        <w:numId w:val="1"/>
      </w:numPr>
      <w:spacing w:before="100" w:after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5D29"/>
    <w:rPr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5EE8"/>
    <w:rPr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245EE8"/>
    <w:rPr>
      <w:rFonts w:ascii="Arial" w:hAnsi="Arial" w:cs="Arial"/>
      <w:b/>
      <w:bCs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245EE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45EE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EE8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2F1E"/>
    <w:rPr>
      <w:sz w:val="24"/>
      <w:szCs w:val="24"/>
    </w:rPr>
  </w:style>
  <w:style w:type="table" w:styleId="TableGrid">
    <w:name w:val="Table Grid"/>
    <w:basedOn w:val="TableNormal"/>
    <w:uiPriority w:val="59"/>
    <w:rsid w:val="000E2F1E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1E"/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1E"/>
    <w:rPr>
      <w:rFonts w:ascii="Arial" w:eastAsiaTheme="minorHAns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D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1E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A15D29"/>
    <w:pPr>
      <w:keepNext/>
      <w:pageBreakBefore/>
      <w:numPr>
        <w:numId w:val="1"/>
      </w:numPr>
      <w:tabs>
        <w:tab w:val="left" w:pos="567"/>
      </w:tabs>
      <w:spacing w:before="240" w:after="120"/>
      <w:outlineLvl w:val="0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5EE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45EE8"/>
    <w:pPr>
      <w:keepNext/>
      <w:numPr>
        <w:ilvl w:val="4"/>
        <w:numId w:val="1"/>
      </w:numPr>
      <w:spacing w:before="100" w:after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5D29"/>
    <w:rPr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5EE8"/>
    <w:rPr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245EE8"/>
    <w:rPr>
      <w:rFonts w:ascii="Arial" w:hAnsi="Arial" w:cs="Arial"/>
      <w:b/>
      <w:bCs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245EE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45EE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EE8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2F1E"/>
    <w:rPr>
      <w:sz w:val="24"/>
      <w:szCs w:val="24"/>
    </w:rPr>
  </w:style>
  <w:style w:type="table" w:styleId="TableGrid">
    <w:name w:val="Table Grid"/>
    <w:basedOn w:val="TableNormal"/>
    <w:uiPriority w:val="59"/>
    <w:rsid w:val="000E2F1E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1E"/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1E"/>
    <w:rPr>
      <w:rFonts w:ascii="Arial" w:eastAsiaTheme="minorHAns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D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2015-09-22T20:01:00Z</dcterms:created>
  <dcterms:modified xsi:type="dcterms:W3CDTF">2015-12-21T17:49:00Z</dcterms:modified>
</cp:coreProperties>
</file>