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BA" w:rsidRPr="00BC45B2" w:rsidRDefault="001A70BA" w:rsidP="008C0964">
      <w:pPr>
        <w:spacing w:line="360" w:lineRule="auto"/>
      </w:pPr>
      <w:r w:rsidRPr="00C12505">
        <w:rPr>
          <w:b/>
        </w:rPr>
        <w:t xml:space="preserve">Table </w:t>
      </w:r>
      <w:r w:rsidR="00BC45B2">
        <w:rPr>
          <w:b/>
        </w:rPr>
        <w:t>S</w:t>
      </w:r>
      <w:r w:rsidR="002C4780" w:rsidRPr="00C12505">
        <w:rPr>
          <w:b/>
        </w:rPr>
        <w:t>1</w:t>
      </w:r>
      <w:r w:rsidRPr="00C12505">
        <w:rPr>
          <w:b/>
        </w:rPr>
        <w:t xml:space="preserve">. </w:t>
      </w:r>
      <w:r w:rsidR="00703EE0" w:rsidRPr="00BC45B2">
        <w:t>Cox Regression models for 26,154 Participants (3,786 deaths)</w:t>
      </w:r>
      <w:r w:rsidR="008C0964" w:rsidRPr="00BC45B2">
        <w:t>: Comparison of creatinine-based eGFR (CKD-Epi) and eGFR (MDRD)</w:t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18"/>
        <w:gridCol w:w="1411"/>
        <w:gridCol w:w="12"/>
        <w:gridCol w:w="1419"/>
        <w:gridCol w:w="1410"/>
        <w:gridCol w:w="1411"/>
        <w:gridCol w:w="1500"/>
      </w:tblGrid>
      <w:tr w:rsidR="001A70BA" w:rsidRPr="00FF5163" w:rsidTr="004E199E">
        <w:tc>
          <w:tcPr>
            <w:tcW w:w="1599" w:type="dxa"/>
          </w:tcPr>
          <w:p w:rsidR="001A70BA" w:rsidRPr="00FF5163" w:rsidRDefault="001A70BA" w:rsidP="00D625D3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4"/>
            <w:tcBorders>
              <w:right w:val="single" w:sz="18" w:space="0" w:color="auto"/>
            </w:tcBorders>
            <w:vAlign w:val="center"/>
          </w:tcPr>
          <w:p w:rsidR="001A70BA" w:rsidRPr="00FF5163" w:rsidRDefault="001A70BA" w:rsidP="001A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eGFR_CKD-Epi</w:t>
            </w:r>
            <w:r w:rsidRPr="00FF5163">
              <w:rPr>
                <w:sz w:val="20"/>
                <w:szCs w:val="20"/>
              </w:rPr>
              <w:t xml:space="preserve"> Categories (±95% CI)</w:t>
            </w:r>
          </w:p>
        </w:tc>
        <w:tc>
          <w:tcPr>
            <w:tcW w:w="4321" w:type="dxa"/>
            <w:gridSpan w:val="3"/>
            <w:tcBorders>
              <w:left w:val="single" w:sz="18" w:space="0" w:color="auto"/>
            </w:tcBorders>
            <w:vAlign w:val="center"/>
          </w:tcPr>
          <w:p w:rsidR="001A70BA" w:rsidRPr="00FF5163" w:rsidRDefault="001A70BA" w:rsidP="00D6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eGFR_MDRD</w:t>
            </w:r>
            <w:r w:rsidRPr="00FF5163">
              <w:rPr>
                <w:sz w:val="20"/>
                <w:szCs w:val="20"/>
              </w:rPr>
              <w:t xml:space="preserve"> Categories (±95% CI)</w:t>
            </w:r>
          </w:p>
        </w:tc>
      </w:tr>
      <w:tr w:rsidR="00256B5A" w:rsidRPr="00FF5163" w:rsidTr="004E199E">
        <w:tc>
          <w:tcPr>
            <w:tcW w:w="1599" w:type="dxa"/>
          </w:tcPr>
          <w:p w:rsidR="00256B5A" w:rsidRPr="00FF5163" w:rsidRDefault="00256B5A" w:rsidP="00D625D3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256B5A" w:rsidRPr="00FF5163" w:rsidRDefault="00256B5A" w:rsidP="00D625D3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 xml:space="preserve"> &gt;60</w:t>
            </w:r>
          </w:p>
        </w:tc>
        <w:tc>
          <w:tcPr>
            <w:tcW w:w="1411" w:type="dxa"/>
            <w:vAlign w:val="center"/>
          </w:tcPr>
          <w:p w:rsidR="00256B5A" w:rsidRPr="00FF5163" w:rsidRDefault="00256B5A" w:rsidP="00D625D3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60 to 45</w:t>
            </w:r>
          </w:p>
        </w:tc>
        <w:tc>
          <w:tcPr>
            <w:tcW w:w="1431" w:type="dxa"/>
            <w:gridSpan w:val="2"/>
            <w:tcBorders>
              <w:right w:val="single" w:sz="18" w:space="0" w:color="auto"/>
            </w:tcBorders>
            <w:vAlign w:val="center"/>
          </w:tcPr>
          <w:p w:rsidR="00256B5A" w:rsidRPr="00FF5163" w:rsidRDefault="00256B5A" w:rsidP="00D625D3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&lt;45</w:t>
            </w:r>
          </w:p>
        </w:tc>
        <w:tc>
          <w:tcPr>
            <w:tcW w:w="1410" w:type="dxa"/>
            <w:tcBorders>
              <w:left w:val="single" w:sz="18" w:space="0" w:color="auto"/>
            </w:tcBorders>
            <w:vAlign w:val="center"/>
          </w:tcPr>
          <w:p w:rsidR="00256B5A" w:rsidRPr="00FF5163" w:rsidRDefault="00256B5A" w:rsidP="00D1223F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 xml:space="preserve"> &gt;60</w:t>
            </w:r>
          </w:p>
        </w:tc>
        <w:tc>
          <w:tcPr>
            <w:tcW w:w="1411" w:type="dxa"/>
            <w:vAlign w:val="center"/>
          </w:tcPr>
          <w:p w:rsidR="00256B5A" w:rsidRPr="00FF5163" w:rsidRDefault="00256B5A" w:rsidP="00D1223F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60 to 45</w:t>
            </w:r>
          </w:p>
        </w:tc>
        <w:tc>
          <w:tcPr>
            <w:tcW w:w="1500" w:type="dxa"/>
            <w:vAlign w:val="center"/>
          </w:tcPr>
          <w:p w:rsidR="00256B5A" w:rsidRPr="00FF5163" w:rsidRDefault="00256B5A" w:rsidP="00D1223F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&lt;45</w:t>
            </w:r>
          </w:p>
        </w:tc>
      </w:tr>
      <w:tr w:rsidR="00703EE0" w:rsidRPr="007D3A9C" w:rsidTr="004E199E">
        <w:tc>
          <w:tcPr>
            <w:tcW w:w="1599" w:type="dxa"/>
            <w:tcBorders>
              <w:bottom w:val="single" w:sz="18" w:space="0" w:color="auto"/>
            </w:tcBorders>
            <w:vAlign w:val="center"/>
          </w:tcPr>
          <w:p w:rsidR="00703EE0" w:rsidRPr="007D3A9C" w:rsidRDefault="00703EE0" w:rsidP="00D6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Number (%)</w:t>
            </w:r>
            <w:r w:rsidRPr="007D3A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314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(89.</w:t>
            </w:r>
            <w:r>
              <w:rPr>
                <w:sz w:val="20"/>
                <w:szCs w:val="20"/>
              </w:rPr>
              <w:t>1</w:t>
            </w:r>
            <w:r w:rsidRPr="00FF5163">
              <w:rPr>
                <w:sz w:val="20"/>
                <w:szCs w:val="20"/>
              </w:rPr>
              <w:t>%)</w:t>
            </w:r>
          </w:p>
        </w:tc>
        <w:tc>
          <w:tcPr>
            <w:tcW w:w="1423" w:type="dxa"/>
            <w:gridSpan w:val="2"/>
            <w:tcBorders>
              <w:bottom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,925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(7.</w:t>
            </w:r>
            <w:r>
              <w:rPr>
                <w:sz w:val="20"/>
                <w:szCs w:val="20"/>
              </w:rPr>
              <w:t>4</w:t>
            </w:r>
            <w:r w:rsidRPr="00FF5163">
              <w:rPr>
                <w:sz w:val="20"/>
                <w:szCs w:val="20"/>
              </w:rPr>
              <w:t>%)</w:t>
            </w:r>
          </w:p>
        </w:tc>
        <w:tc>
          <w:tcPr>
            <w:tcW w:w="1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(3.</w:t>
            </w:r>
            <w:r>
              <w:rPr>
                <w:sz w:val="20"/>
                <w:szCs w:val="20"/>
              </w:rPr>
              <w:t>5</w:t>
            </w:r>
            <w:r w:rsidRPr="00FF5163">
              <w:rPr>
                <w:sz w:val="20"/>
                <w:szCs w:val="20"/>
              </w:rPr>
              <w:t>%)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314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(89.</w:t>
            </w:r>
            <w:r>
              <w:rPr>
                <w:sz w:val="20"/>
                <w:szCs w:val="20"/>
              </w:rPr>
              <w:t>1</w:t>
            </w:r>
            <w:r w:rsidRPr="00FF5163">
              <w:rPr>
                <w:sz w:val="20"/>
                <w:szCs w:val="20"/>
              </w:rPr>
              <w:t>%)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,925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(7.</w:t>
            </w:r>
            <w:r>
              <w:rPr>
                <w:sz w:val="20"/>
                <w:szCs w:val="20"/>
              </w:rPr>
              <w:t>4</w:t>
            </w:r>
            <w:r w:rsidRPr="00FF5163">
              <w:rPr>
                <w:sz w:val="20"/>
                <w:szCs w:val="20"/>
              </w:rPr>
              <w:t>%)</w:t>
            </w:r>
          </w:p>
        </w:tc>
        <w:tc>
          <w:tcPr>
            <w:tcW w:w="1500" w:type="dxa"/>
            <w:tcBorders>
              <w:bottom w:val="single" w:sz="18" w:space="0" w:color="auto"/>
            </w:tcBorders>
            <w:vAlign w:val="center"/>
          </w:tcPr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FF5163">
              <w:rPr>
                <w:sz w:val="20"/>
                <w:szCs w:val="20"/>
              </w:rPr>
              <w:t>(3.</w:t>
            </w:r>
            <w:r>
              <w:rPr>
                <w:sz w:val="20"/>
                <w:szCs w:val="20"/>
              </w:rPr>
              <w:t>5</w:t>
            </w:r>
            <w:r w:rsidRPr="00FF5163">
              <w:rPr>
                <w:sz w:val="20"/>
                <w:szCs w:val="20"/>
              </w:rPr>
              <w:t>%)</w:t>
            </w:r>
          </w:p>
        </w:tc>
      </w:tr>
      <w:tr w:rsidR="00703EE0" w:rsidRPr="007D3A9C" w:rsidTr="00A12838"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A12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Model 1. eGFR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D1223F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2.58</w:t>
            </w:r>
          </w:p>
          <w:p w:rsidR="00703EE0" w:rsidRPr="00D1223F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(2.36 – 2.83)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703EE0" w:rsidRPr="00D1223F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D1223F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403358" w:rsidRPr="004033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D1223F" w:rsidRDefault="00703EE0" w:rsidP="00403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(2.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3.91</w:t>
            </w:r>
            <w:r w:rsidRPr="0040335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D1223F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(3.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4.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03EE0" w:rsidRPr="007D3A9C" w:rsidTr="004E199E"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D6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 xml:space="preserve">Model 2. + Age, Gender, Race 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(1.3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1.98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1.56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FF5163" w:rsidRDefault="00703EE0" w:rsidP="00403358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(1.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42 – 1.72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2.13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2.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0)</w:t>
            </w:r>
          </w:p>
        </w:tc>
      </w:tr>
      <w:tr w:rsidR="00703EE0" w:rsidRPr="007D3A9C" w:rsidTr="004E199E"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D6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Model 3. + Age, Gender, Race, Age Interaction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6.92</w:t>
            </w:r>
            <w:r w:rsidRPr="00D1223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13.8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4.94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38.6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7.24</w:t>
            </w:r>
            <w:r w:rsidR="00703EE0" w:rsidRPr="00D1223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="00703E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</w:t>
            </w:r>
          </w:p>
          <w:p w:rsidR="00703EE0" w:rsidRPr="00FF5163" w:rsidRDefault="00703EE0" w:rsidP="00403358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3.15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03EE0">
              <w:rPr>
                <w:rFonts w:ascii="Times New Roman" w:hAnsi="Times New Roman" w:cs="Times New Roman"/>
                <w:b/>
                <w:sz w:val="20"/>
                <w:szCs w:val="20"/>
              </w:rPr>
              <w:t>.8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 w:rsidR="00703EE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</w:t>
            </w:r>
          </w:p>
          <w:p w:rsidR="00703EE0" w:rsidRPr="00FF5163" w:rsidRDefault="00703EE0" w:rsidP="00403358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9.36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03358">
              <w:rPr>
                <w:rFonts w:ascii="Times New Roman" w:hAnsi="Times New Roman" w:cs="Times New Roman"/>
                <w:b/>
                <w:sz w:val="20"/>
                <w:szCs w:val="20"/>
              </w:rPr>
              <w:t>65.7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03EE0" w:rsidRPr="007D3A9C" w:rsidTr="004E199E"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A6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. + Age, Gender, Race, Age and Race Interactions</w:t>
            </w:r>
          </w:p>
        </w:tc>
        <w:tc>
          <w:tcPr>
            <w:tcW w:w="1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b,c,d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(3.46 – 20.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18.3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c,d</w:t>
            </w:r>
          </w:p>
          <w:p w:rsidR="00703EE0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(6.24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b,c</w:t>
            </w:r>
          </w:p>
          <w:p w:rsidR="00703EE0" w:rsidRPr="00FF5163" w:rsidRDefault="00403358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(3.40 – 17.9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3EE0" w:rsidRPr="007D3A9C" w:rsidRDefault="00403358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  <w:p w:rsidR="00703EE0" w:rsidRDefault="00403358" w:rsidP="00403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(9.47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03EE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03EE0" w:rsidRPr="007D3A9C" w:rsidTr="004E199E">
        <w:tc>
          <w:tcPr>
            <w:tcW w:w="1599" w:type="dxa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7D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 xml:space="preserve">. + Age, Gender, Race, Age and Race Interactions, ACR30 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23" w:type="dxa"/>
            <w:gridSpan w:val="2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6.51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,c,d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(2.70 – 15.7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(5.06 – 38.0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703EE0" w:rsidRPr="00FF5163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(reference)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703EE0" w:rsidRPr="007D3A9C" w:rsidRDefault="007B487B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6.45</w:t>
            </w:r>
            <w:r w:rsidR="00703EE0"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,c</w:t>
            </w:r>
          </w:p>
          <w:p w:rsidR="00703EE0" w:rsidRPr="00FF5163" w:rsidRDefault="00703EE0" w:rsidP="007B4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(2.</w:t>
            </w:r>
            <w:r w:rsidR="007B487B">
              <w:rPr>
                <w:rFonts w:ascii="Times New Roman" w:hAnsi="Times New Roman" w:cs="Times New Roman"/>
                <w:b/>
                <w:sz w:val="20"/>
                <w:szCs w:val="20"/>
              </w:rPr>
              <w:t>80 – 14.8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427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487B">
              <w:rPr>
                <w:rFonts w:ascii="Times New Roman" w:hAnsi="Times New Roman" w:cs="Times New Roman"/>
                <w:b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  <w:p w:rsidR="00703EE0" w:rsidRPr="00FF5163" w:rsidRDefault="00703EE0" w:rsidP="007B4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B487B">
              <w:rPr>
                <w:rFonts w:ascii="Times New Roman" w:hAnsi="Times New Roman" w:cs="Times New Roman"/>
                <w:b/>
                <w:sz w:val="20"/>
                <w:szCs w:val="20"/>
              </w:rPr>
              <w:t>3.80 – 29.7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W w:w="10080" w:type="dxa"/>
        <w:tblInd w:w="-342" w:type="dxa"/>
        <w:tblLook w:val="04A0" w:firstRow="1" w:lastRow="0" w:firstColumn="1" w:lastColumn="0" w:noHBand="0" w:noVBand="1"/>
      </w:tblPr>
      <w:tblGrid>
        <w:gridCol w:w="1599"/>
        <w:gridCol w:w="1318"/>
        <w:gridCol w:w="1423"/>
        <w:gridCol w:w="1419"/>
        <w:gridCol w:w="1410"/>
        <w:gridCol w:w="1411"/>
        <w:gridCol w:w="1500"/>
      </w:tblGrid>
      <w:tr w:rsidR="00703EE0" w:rsidRPr="007D3A9C" w:rsidTr="00D625D3">
        <w:tc>
          <w:tcPr>
            <w:tcW w:w="1599" w:type="dxa"/>
            <w:vMerge w:val="restart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D6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Wald Tests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D6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03EE0" w:rsidRPr="00FF5163" w:rsidDel="002A4366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P&lt;0.001</w:t>
            </w:r>
            <w:r w:rsidRPr="00D1223F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EE0" w:rsidRDefault="00703EE0" w:rsidP="0042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P&lt;0.001</w:t>
            </w:r>
            <w:r w:rsidRPr="00D1223F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EE0" w:rsidRPr="007D3A9C" w:rsidRDefault="00703EE0" w:rsidP="00D6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703EE0" w:rsidRPr="007D3A9C" w:rsidRDefault="00703EE0" w:rsidP="00703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P&lt;0.001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vAlign w:val="center"/>
          </w:tcPr>
          <w:p w:rsidR="00703EE0" w:rsidRPr="007D3A9C" w:rsidDel="001A0773" w:rsidRDefault="00703EE0" w:rsidP="00D62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b/>
                <w:sz w:val="20"/>
                <w:szCs w:val="20"/>
              </w:rPr>
              <w:t>P&lt;0.001</w:t>
            </w:r>
            <w:r w:rsidRPr="007D3A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</w:tr>
      <w:tr w:rsidR="001A70BA" w:rsidRPr="007D3A9C" w:rsidTr="00D625D3">
        <w:tc>
          <w:tcPr>
            <w:tcW w:w="1599" w:type="dxa"/>
            <w:vMerge/>
            <w:vAlign w:val="center"/>
          </w:tcPr>
          <w:p w:rsidR="001A70BA" w:rsidRPr="007D3A9C" w:rsidRDefault="001A70BA" w:rsidP="00D6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1A70BA" w:rsidRPr="007D3A9C" w:rsidRDefault="001A70BA" w:rsidP="00D6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A70BA" w:rsidRPr="007D3A9C" w:rsidRDefault="00160C88" w:rsidP="00D6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3F">
              <w:rPr>
                <w:sz w:val="20"/>
                <w:szCs w:val="20"/>
              </w:rPr>
              <w:t>P=0.</w:t>
            </w:r>
            <w:r w:rsidR="00703EE0">
              <w:rPr>
                <w:sz w:val="20"/>
                <w:szCs w:val="20"/>
              </w:rPr>
              <w:t>241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A70BA" w:rsidRPr="007D3A9C" w:rsidRDefault="001A70BA" w:rsidP="00D6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center"/>
          </w:tcPr>
          <w:p w:rsidR="001A70BA" w:rsidRPr="007D3A9C" w:rsidDel="001A0773" w:rsidRDefault="00BD5B28" w:rsidP="007B4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A9C">
              <w:rPr>
                <w:rFonts w:ascii="Times New Roman" w:hAnsi="Times New Roman" w:cs="Times New Roman"/>
                <w:sz w:val="20"/>
                <w:szCs w:val="20"/>
              </w:rPr>
              <w:t>P=0.</w:t>
            </w:r>
            <w:r w:rsidR="007B487B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</w:tr>
    </w:tbl>
    <w:p w:rsidR="001A70BA" w:rsidRDefault="001A70BA" w:rsidP="001A70BA">
      <w:pPr>
        <w:tabs>
          <w:tab w:val="left" w:pos="8730"/>
        </w:tabs>
        <w:spacing w:line="360" w:lineRule="auto"/>
        <w:ind w:right="-900" w:hanging="450"/>
        <w:rPr>
          <w:rFonts w:ascii="Times" w:hAnsi="Times"/>
        </w:rPr>
      </w:pPr>
      <w:r>
        <w:rPr>
          <w:rFonts w:ascii="Times" w:hAnsi="Times"/>
        </w:rPr>
        <w:t>Values are given as number (percentage); means ± 1 SD; medians (25</w:t>
      </w:r>
      <w:r w:rsidRPr="00E532A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–75</w:t>
      </w:r>
      <w:r w:rsidRPr="00E532A2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-centile) HR (95% CI)</w:t>
      </w:r>
    </w:p>
    <w:p w:rsidR="001A70BA" w:rsidRDefault="001A70BA" w:rsidP="00B84B61">
      <w:pPr>
        <w:tabs>
          <w:tab w:val="left" w:pos="8730"/>
        </w:tabs>
        <w:spacing w:line="360" w:lineRule="auto"/>
        <w:ind w:left="-90" w:right="-900" w:hanging="360"/>
        <w:rPr>
          <w:rFonts w:ascii="Times" w:hAnsi="Times" w:cs="OTNEJMScalaSansLF"/>
        </w:rPr>
      </w:pPr>
      <w:r>
        <w:rPr>
          <w:rFonts w:ascii="Times" w:hAnsi="Times"/>
        </w:rPr>
        <w:t>Abbreviations</w:t>
      </w:r>
      <w:r w:rsidRPr="00DA29CE">
        <w:rPr>
          <w:rFonts w:ascii="Times" w:hAnsi="Times"/>
        </w:rPr>
        <w:t xml:space="preserve">: </w:t>
      </w:r>
      <w:r>
        <w:rPr>
          <w:rFonts w:ascii="Times" w:hAnsi="Times"/>
        </w:rPr>
        <w:t xml:space="preserve">ACR30, urinary albumin-to-creatinine ratio stratified at 30 mg/g; CI, confidence interval; CKD, chronic kidney disease; </w:t>
      </w:r>
      <w:r w:rsidRPr="00DA29CE">
        <w:rPr>
          <w:rFonts w:ascii="Times" w:hAnsi="Times"/>
        </w:rPr>
        <w:t>eCrCl</w:t>
      </w:r>
      <w:r>
        <w:rPr>
          <w:rFonts w:ascii="Times" w:hAnsi="Times"/>
        </w:rPr>
        <w:t xml:space="preserve">, estimated creatinine clearance, Cockcroft Gault equation, ml/min; </w:t>
      </w:r>
      <w:r>
        <w:rPr>
          <w:rFonts w:ascii="Times" w:hAnsi="Times"/>
          <w:vertAlign w:val="superscript"/>
        </w:rPr>
        <w:t xml:space="preserve">, </w:t>
      </w:r>
      <w:r w:rsidR="00C77FCB">
        <w:rPr>
          <w:rFonts w:ascii="Times" w:hAnsi="Times"/>
        </w:rPr>
        <w:t>eGFR, estimated GFR, CKD-</w:t>
      </w:r>
      <w:r>
        <w:rPr>
          <w:rFonts w:ascii="Times" w:hAnsi="Times"/>
        </w:rPr>
        <w:t>Epi Collaboration, ml/min/1.73 m</w:t>
      </w:r>
      <w:r w:rsidRPr="00DA29CE">
        <w:rPr>
          <w:rFonts w:ascii="Times" w:hAnsi="Times"/>
          <w:vertAlign w:val="superscript"/>
        </w:rPr>
        <w:t>2</w:t>
      </w:r>
      <w:r w:rsidRPr="005C13DE">
        <w:rPr>
          <w:rFonts w:ascii="Times" w:hAnsi="Times"/>
        </w:rPr>
        <w:t>;</w:t>
      </w:r>
      <w:r>
        <w:rPr>
          <w:rFonts w:ascii="Times" w:hAnsi="Times"/>
        </w:rPr>
        <w:t xml:space="preserve"> HR, hazard ratio</w:t>
      </w:r>
      <w:r w:rsidR="00C77FCB">
        <w:rPr>
          <w:rFonts w:ascii="Times" w:hAnsi="Times"/>
        </w:rPr>
        <w:t>;</w:t>
      </w:r>
      <w:r w:rsidR="00C77FCB" w:rsidRPr="00C77FCB">
        <w:rPr>
          <w:rFonts w:ascii="Times" w:hAnsi="Times"/>
        </w:rPr>
        <w:t xml:space="preserve"> </w:t>
      </w:r>
      <w:r w:rsidR="00C77FCB">
        <w:rPr>
          <w:rFonts w:ascii="Times" w:hAnsi="Times"/>
        </w:rPr>
        <w:t>Wald Test, maximum likelihood ratio text, P value relative to reference group (1</w:t>
      </w:r>
      <w:r w:rsidR="00C77FCB" w:rsidRPr="00C77FCB">
        <w:rPr>
          <w:rFonts w:ascii="Times" w:hAnsi="Times"/>
          <w:vertAlign w:val="superscript"/>
        </w:rPr>
        <w:t>st</w:t>
      </w:r>
      <w:r w:rsidR="00C77FCB">
        <w:rPr>
          <w:rFonts w:ascii="Times" w:hAnsi="Times"/>
        </w:rPr>
        <w:t xml:space="preserve"> row), or category 2 (2</w:t>
      </w:r>
      <w:r w:rsidR="00C77FCB" w:rsidRPr="00C77FCB">
        <w:rPr>
          <w:rFonts w:ascii="Times" w:hAnsi="Times"/>
          <w:vertAlign w:val="superscript"/>
        </w:rPr>
        <w:t>nd</w:t>
      </w:r>
      <w:r w:rsidR="00C77FCB">
        <w:rPr>
          <w:rFonts w:ascii="Times" w:hAnsi="Times"/>
        </w:rPr>
        <w:t xml:space="preserve"> row)</w:t>
      </w:r>
      <w:r w:rsidR="00AE01D2">
        <w:rPr>
          <w:rFonts w:ascii="Times" w:hAnsi="Times"/>
        </w:rPr>
        <w:t xml:space="preserve">; </w:t>
      </w:r>
      <w:r w:rsidR="00AE01D2" w:rsidRPr="00AE01D2">
        <w:rPr>
          <w:rFonts w:ascii="Times" w:hAnsi="Times"/>
          <w:b/>
        </w:rPr>
        <w:t>P&lt;0.05</w:t>
      </w:r>
      <w:r w:rsidR="00AE01D2">
        <w:rPr>
          <w:rFonts w:ascii="Times" w:hAnsi="Times"/>
        </w:rPr>
        <w:t xml:space="preserve"> shown in </w:t>
      </w:r>
      <w:r w:rsidR="00AE01D2" w:rsidRPr="00AE01D2">
        <w:rPr>
          <w:rFonts w:ascii="Times" w:hAnsi="Times"/>
          <w:b/>
        </w:rPr>
        <w:t>bold text</w:t>
      </w:r>
      <w:r w:rsidR="00C77FCB">
        <w:rPr>
          <w:rFonts w:ascii="Times" w:hAnsi="Times"/>
        </w:rPr>
        <w:t>.</w:t>
      </w:r>
    </w:p>
    <w:p w:rsidR="001A70BA" w:rsidRPr="004E2370" w:rsidRDefault="001A70BA" w:rsidP="001A70BA">
      <w:pPr>
        <w:widowControl w:val="0"/>
        <w:autoSpaceDE w:val="0"/>
        <w:autoSpaceDN w:val="0"/>
        <w:adjustRightInd w:val="0"/>
        <w:spacing w:line="360" w:lineRule="auto"/>
        <w:ind w:right="-180" w:hanging="450"/>
        <w:rPr>
          <w:rFonts w:ascii="OTNEJMScalaSansLF" w:hAnsi="OTNEJMScalaSansLF" w:cs="OTNEJMScalaSansLF"/>
        </w:rPr>
      </w:pPr>
      <w:r w:rsidRPr="00DA29CE">
        <w:rPr>
          <w:rFonts w:ascii="OTNEJMScalaSansLF" w:hAnsi="OTNEJMScalaSansLF" w:cs="OTNEJMScalaSansLF"/>
          <w:vertAlign w:val="superscript"/>
        </w:rPr>
        <w:t>a</w:t>
      </w:r>
      <w:r w:rsidRPr="003624F8">
        <w:rPr>
          <w:rFonts w:ascii="OTNEJMScalaSansLF" w:hAnsi="OTNEJMScalaSansLF" w:cs="OTNEJMScalaSansLF"/>
        </w:rPr>
        <w:t>R</w:t>
      </w:r>
      <w:r>
        <w:rPr>
          <w:rFonts w:ascii="OTNEJMScalaSansLF" w:hAnsi="OTNEJMScalaSansLF" w:cs="OTNEJMScalaSansLF"/>
        </w:rPr>
        <w:t>ow percentages; all others are column percentages.</w:t>
      </w:r>
    </w:p>
    <w:p w:rsidR="001A70BA" w:rsidRDefault="00AE01D2" w:rsidP="001A70BA">
      <w:pPr>
        <w:tabs>
          <w:tab w:val="left" w:pos="8730"/>
        </w:tabs>
        <w:spacing w:line="360" w:lineRule="auto"/>
        <w:ind w:right="-180" w:hanging="450"/>
        <w:rPr>
          <w:rFonts w:ascii="Times" w:hAnsi="Times"/>
        </w:rPr>
      </w:pPr>
      <w:r>
        <w:rPr>
          <w:rFonts w:ascii="Times" w:hAnsi="Times"/>
          <w:vertAlign w:val="superscript"/>
        </w:rPr>
        <w:t>b</w:t>
      </w:r>
      <w:r w:rsidR="001A70BA" w:rsidRPr="00D170D7">
        <w:rPr>
          <w:rFonts w:ascii="Times" w:hAnsi="Times"/>
        </w:rPr>
        <w:t>P&lt;0.05</w:t>
      </w:r>
      <w:r w:rsidR="001A70BA">
        <w:rPr>
          <w:rFonts w:ascii="Times" w:hAnsi="Times"/>
        </w:rPr>
        <w:t>; Schoenfeld residual test</w:t>
      </w:r>
    </w:p>
    <w:p w:rsidR="001A70BA" w:rsidRPr="005C13DE" w:rsidRDefault="00AE01D2" w:rsidP="001A70BA">
      <w:pPr>
        <w:tabs>
          <w:tab w:val="left" w:pos="8730"/>
        </w:tabs>
        <w:spacing w:line="360" w:lineRule="auto"/>
        <w:ind w:right="-180" w:hanging="450"/>
        <w:rPr>
          <w:rFonts w:ascii="OTNEJMScalaSansLF" w:hAnsi="OTNEJMScalaSansLF" w:cs="OTNEJMScalaSansLF"/>
        </w:rPr>
      </w:pPr>
      <w:r>
        <w:rPr>
          <w:rFonts w:ascii="Times" w:hAnsi="Times"/>
          <w:vertAlign w:val="superscript"/>
        </w:rPr>
        <w:t>c</w:t>
      </w:r>
      <w:r w:rsidR="001A70BA" w:rsidRPr="00D170D7">
        <w:rPr>
          <w:rFonts w:ascii="Times" w:hAnsi="Times"/>
        </w:rPr>
        <w:t>P&lt;0.05</w:t>
      </w:r>
      <w:r w:rsidR="001A70BA">
        <w:rPr>
          <w:rFonts w:ascii="Times" w:hAnsi="Times"/>
        </w:rPr>
        <w:t>; Interaction between Age and eGFR</w:t>
      </w:r>
    </w:p>
    <w:p w:rsidR="001A70BA" w:rsidRDefault="00AE01D2" w:rsidP="001A70BA">
      <w:pPr>
        <w:tabs>
          <w:tab w:val="left" w:pos="8730"/>
        </w:tabs>
        <w:spacing w:line="360" w:lineRule="auto"/>
        <w:ind w:right="-180" w:hanging="450"/>
        <w:rPr>
          <w:rFonts w:ascii="Times" w:hAnsi="Times"/>
        </w:rPr>
      </w:pPr>
      <w:r>
        <w:rPr>
          <w:rFonts w:ascii="Times" w:hAnsi="Times"/>
          <w:vertAlign w:val="superscript"/>
        </w:rPr>
        <w:t>d</w:t>
      </w:r>
      <w:r w:rsidR="001A70BA" w:rsidRPr="00D170D7">
        <w:rPr>
          <w:rFonts w:ascii="Times" w:hAnsi="Times"/>
        </w:rPr>
        <w:t>P&lt;0.05</w:t>
      </w:r>
      <w:r w:rsidR="001A70BA">
        <w:rPr>
          <w:rFonts w:ascii="Times" w:hAnsi="Times"/>
        </w:rPr>
        <w:t>; Interac</w:t>
      </w:r>
      <w:r w:rsidR="00340404">
        <w:rPr>
          <w:rFonts w:ascii="Times" w:hAnsi="Times"/>
        </w:rPr>
        <w:t>tion between Race and eGFR</w:t>
      </w:r>
    </w:p>
    <w:p w:rsidR="00AE01D2" w:rsidRDefault="00AE01D2" w:rsidP="00AE01D2">
      <w:pPr>
        <w:tabs>
          <w:tab w:val="left" w:pos="8730"/>
        </w:tabs>
        <w:spacing w:line="360" w:lineRule="auto"/>
        <w:ind w:right="-180" w:hanging="450"/>
        <w:rPr>
          <w:rFonts w:ascii="OTNEJMScalaSansLF" w:hAnsi="OTNEJMScalaSansLF" w:cs="OTNEJMScalaSansLF"/>
        </w:rPr>
      </w:pPr>
      <w:r>
        <w:rPr>
          <w:rFonts w:ascii="Times" w:hAnsi="Times"/>
          <w:b/>
          <w:vertAlign w:val="superscript"/>
        </w:rPr>
        <w:t>e</w:t>
      </w:r>
      <w:r w:rsidRPr="00120AD2">
        <w:rPr>
          <w:rFonts w:ascii="Times" w:hAnsi="Times"/>
          <w:b/>
        </w:rPr>
        <w:t>P&lt;0.05</w:t>
      </w:r>
      <w:r>
        <w:rPr>
          <w:rFonts w:ascii="Times" w:hAnsi="Times"/>
        </w:rPr>
        <w:t xml:space="preserve">; </w:t>
      </w:r>
      <w:r w:rsidRPr="004E2370">
        <w:rPr>
          <w:rFonts w:ascii="Times" w:hAnsi="Times"/>
        </w:rPr>
        <w:t xml:space="preserve">comparisons </w:t>
      </w:r>
      <w:r>
        <w:rPr>
          <w:rFonts w:ascii="Times" w:hAnsi="Times"/>
        </w:rPr>
        <w:t xml:space="preserve">of categories to reference category; shown as </w:t>
      </w:r>
      <w:r w:rsidRPr="008605CD">
        <w:rPr>
          <w:rFonts w:ascii="Times" w:hAnsi="Times"/>
          <w:b/>
        </w:rPr>
        <w:t>bold text</w:t>
      </w:r>
      <w:r>
        <w:rPr>
          <w:rFonts w:ascii="Times" w:hAnsi="Times"/>
          <w:b/>
        </w:rPr>
        <w:t xml:space="preserve"> (Wald test)</w:t>
      </w:r>
      <w:r>
        <w:rPr>
          <w:rFonts w:ascii="Times" w:hAnsi="Times"/>
        </w:rPr>
        <w:t>.</w:t>
      </w:r>
      <w:r w:rsidRPr="004E2370">
        <w:rPr>
          <w:rFonts w:ascii="OTNEJMScalaSansLF" w:hAnsi="OTNEJMScalaSansLF" w:cs="OTNEJMScalaSansLF"/>
        </w:rPr>
        <w:t xml:space="preserve"> </w:t>
      </w:r>
    </w:p>
    <w:p w:rsidR="002C4780" w:rsidRDefault="002C4780">
      <w:pPr>
        <w:rPr>
          <w:rFonts w:ascii="OTNEJMScalaSansLF" w:hAnsi="OTNEJMScalaSansLF" w:cs="OTNEJMScalaSansLF"/>
        </w:rPr>
      </w:pPr>
      <w:r>
        <w:rPr>
          <w:rFonts w:ascii="OTNEJMScalaSansLF" w:hAnsi="OTNEJMScalaSansLF" w:cs="OTNEJMScalaSansLF"/>
        </w:rPr>
        <w:br w:type="page"/>
      </w:r>
    </w:p>
    <w:p w:rsidR="002C4780" w:rsidRPr="00BC45B2" w:rsidRDefault="002C4780" w:rsidP="002C4780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Table </w:t>
      </w:r>
      <w:r w:rsidR="00BC45B2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2. </w:t>
      </w:r>
      <w:r w:rsidRPr="00BC45B2">
        <w:rPr>
          <w:rFonts w:ascii="Times" w:hAnsi="Times"/>
        </w:rPr>
        <w:t>Comparison of eGFR and eCrCl equations (references 1 &amp; 2)</w:t>
      </w:r>
    </w:p>
    <w:p w:rsidR="002C4780" w:rsidRPr="00011998" w:rsidRDefault="002C4780" w:rsidP="002C4780">
      <w:pPr>
        <w:spacing w:after="120" w:line="360" w:lineRule="auto"/>
        <w:rPr>
          <w:rFonts w:ascii="Times" w:hAnsi="Times"/>
          <w:u w:val="single"/>
        </w:rPr>
      </w:pPr>
      <w:r w:rsidRPr="00011998">
        <w:rPr>
          <w:rFonts w:ascii="Times" w:hAnsi="Times"/>
          <w:u w:val="single"/>
        </w:rPr>
        <w:t>Creatinine-Based Estimated GFR (CKD Epidemiology Collaboration):</w:t>
      </w:r>
    </w:p>
    <w:p w:rsidR="002C4780" w:rsidRPr="00011998" w:rsidRDefault="002C4780" w:rsidP="002C4780">
      <w:pPr>
        <w:numPr>
          <w:ilvl w:val="1"/>
          <w:numId w:val="1"/>
        </w:numPr>
        <w:spacing w:after="120" w:line="360" w:lineRule="auto"/>
        <w:rPr>
          <w:rFonts w:ascii="Times" w:hAnsi="Times"/>
        </w:rPr>
      </w:pPr>
      <w:r w:rsidRPr="00011998">
        <w:rPr>
          <w:rFonts w:ascii="Times" w:hAnsi="Times"/>
        </w:rPr>
        <w:t>Gender</w:t>
      </w:r>
      <w:r>
        <w:rPr>
          <w:rFonts w:ascii="Times" w:hAnsi="Times"/>
        </w:rPr>
        <w:tab/>
      </w:r>
      <w:r w:rsidRPr="00011998">
        <w:rPr>
          <w:rFonts w:ascii="Times" w:hAnsi="Times"/>
        </w:rPr>
        <w:tab/>
        <w:t>sCr (mg/dL)</w:t>
      </w:r>
      <w:r w:rsidRPr="00011998">
        <w:rPr>
          <w:rFonts w:ascii="Times" w:hAnsi="Times"/>
        </w:rPr>
        <w:tab/>
      </w:r>
      <w:r>
        <w:rPr>
          <w:rFonts w:ascii="Times" w:hAnsi="Times"/>
        </w:rPr>
        <w:tab/>
      </w:r>
      <w:r w:rsidRPr="009F1548">
        <w:rPr>
          <w:rFonts w:ascii="Times" w:hAnsi="Times"/>
          <w:u w:val="single"/>
        </w:rPr>
        <w:t>Equation</w:t>
      </w:r>
    </w:p>
    <w:p w:rsidR="002C4780" w:rsidRPr="00011998" w:rsidRDefault="002C4780" w:rsidP="002C4780">
      <w:pPr>
        <w:tabs>
          <w:tab w:val="left" w:pos="3150"/>
        </w:tabs>
        <w:spacing w:after="120" w:line="360" w:lineRule="auto"/>
        <w:ind w:left="1440"/>
        <w:rPr>
          <w:rFonts w:ascii="Times" w:hAnsi="Times"/>
        </w:rPr>
      </w:pPr>
      <w:r w:rsidRPr="00011998">
        <w:rPr>
          <w:rFonts w:ascii="Times" w:hAnsi="Times"/>
        </w:rPr>
        <w:t>Female</w:t>
      </w:r>
      <w:r>
        <w:rPr>
          <w:rFonts w:ascii="Times" w:hAnsi="Times"/>
        </w:rPr>
        <w:tab/>
        <w:t>≤0.7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11998">
        <w:rPr>
          <w:rFonts w:ascii="Times" w:hAnsi="Times"/>
        </w:rPr>
        <w:t>(144 x sCr/0.7)</w:t>
      </w:r>
      <w:r w:rsidRPr="00011998">
        <w:rPr>
          <w:rFonts w:ascii="Times" w:hAnsi="Times"/>
          <w:vertAlign w:val="superscript"/>
        </w:rPr>
        <w:t xml:space="preserve">-0.329 </w:t>
      </w:r>
      <w:r w:rsidRPr="00011998">
        <w:rPr>
          <w:rFonts w:ascii="Times" w:hAnsi="Times"/>
        </w:rPr>
        <w:t>x 0.993</w:t>
      </w:r>
      <w:r w:rsidRPr="00011998">
        <w:rPr>
          <w:rFonts w:ascii="Times" w:hAnsi="Times"/>
          <w:vertAlign w:val="superscript"/>
        </w:rPr>
        <w:t>Age</w:t>
      </w:r>
    </w:p>
    <w:p w:rsidR="002C4780" w:rsidRPr="00011998" w:rsidRDefault="002C4780" w:rsidP="002C4780">
      <w:pPr>
        <w:tabs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>Female</w:t>
      </w:r>
      <w:r>
        <w:rPr>
          <w:rFonts w:ascii="Times" w:hAnsi="Times"/>
        </w:rPr>
        <w:tab/>
      </w:r>
      <w:r w:rsidRPr="00011998">
        <w:rPr>
          <w:rFonts w:ascii="Times" w:hAnsi="Times"/>
        </w:rPr>
        <w:t>&gt;0.7</w:t>
      </w:r>
      <w:r w:rsidRPr="00011998">
        <w:rPr>
          <w:rFonts w:ascii="Times" w:hAnsi="Times"/>
        </w:rPr>
        <w:tab/>
      </w:r>
      <w:r w:rsidRPr="00011998">
        <w:rPr>
          <w:rFonts w:ascii="Times" w:hAnsi="Times"/>
        </w:rPr>
        <w:tab/>
        <w:t>(144 x sCr/0.7)</w:t>
      </w:r>
      <w:r w:rsidRPr="00011998">
        <w:rPr>
          <w:rFonts w:ascii="Times" w:hAnsi="Times"/>
          <w:vertAlign w:val="superscript"/>
        </w:rPr>
        <w:t xml:space="preserve">-1.209 </w:t>
      </w:r>
      <w:r w:rsidRPr="00011998">
        <w:rPr>
          <w:rFonts w:ascii="Times" w:hAnsi="Times"/>
        </w:rPr>
        <w:t>x 0.993</w:t>
      </w:r>
      <w:r w:rsidRPr="00011998">
        <w:rPr>
          <w:rFonts w:ascii="Times" w:hAnsi="Times"/>
          <w:vertAlign w:val="superscript"/>
        </w:rPr>
        <w:t>Age</w:t>
      </w:r>
    </w:p>
    <w:p w:rsidR="002C4780" w:rsidRPr="00011998" w:rsidRDefault="002C4780" w:rsidP="002C4780">
      <w:pPr>
        <w:tabs>
          <w:tab w:val="left" w:pos="3150"/>
        </w:tabs>
        <w:spacing w:after="120" w:line="360" w:lineRule="auto"/>
        <w:ind w:left="1440"/>
        <w:rPr>
          <w:rFonts w:ascii="Times" w:hAnsi="Times"/>
        </w:rPr>
      </w:pPr>
      <w:r w:rsidRPr="00011998">
        <w:rPr>
          <w:rFonts w:ascii="Times" w:hAnsi="Times"/>
        </w:rPr>
        <w:t>Male</w:t>
      </w:r>
      <w:r w:rsidRPr="00011998">
        <w:rPr>
          <w:rFonts w:ascii="Times" w:hAnsi="Times"/>
        </w:rPr>
        <w:tab/>
        <w:t>≤0.9</w:t>
      </w:r>
      <w:r w:rsidRPr="00011998">
        <w:rPr>
          <w:rFonts w:ascii="Times" w:hAnsi="Times"/>
        </w:rPr>
        <w:tab/>
      </w:r>
      <w:r w:rsidRPr="00011998">
        <w:rPr>
          <w:rFonts w:ascii="Times" w:hAnsi="Times"/>
        </w:rPr>
        <w:tab/>
        <w:t>(144 x sCr/0.7)</w:t>
      </w:r>
      <w:r w:rsidRPr="00011998">
        <w:rPr>
          <w:rFonts w:ascii="Times" w:hAnsi="Times"/>
          <w:vertAlign w:val="superscript"/>
        </w:rPr>
        <w:t xml:space="preserve">-0.411 </w:t>
      </w:r>
      <w:r w:rsidRPr="00011998">
        <w:rPr>
          <w:rFonts w:ascii="Times" w:hAnsi="Times"/>
        </w:rPr>
        <w:t>x 0.993</w:t>
      </w:r>
      <w:r w:rsidRPr="00011998">
        <w:rPr>
          <w:rFonts w:ascii="Times" w:hAnsi="Times"/>
          <w:vertAlign w:val="superscript"/>
        </w:rPr>
        <w:t>Age</w:t>
      </w:r>
    </w:p>
    <w:p w:rsidR="002C4780" w:rsidRDefault="002C4780" w:rsidP="002C4780">
      <w:pPr>
        <w:tabs>
          <w:tab w:val="left" w:pos="3150"/>
        </w:tabs>
        <w:spacing w:after="120" w:line="360" w:lineRule="auto"/>
        <w:ind w:left="1440"/>
        <w:rPr>
          <w:rFonts w:ascii="Times" w:hAnsi="Times"/>
        </w:rPr>
      </w:pPr>
      <w:r w:rsidRPr="00011998">
        <w:rPr>
          <w:rFonts w:ascii="Times" w:hAnsi="Times"/>
        </w:rPr>
        <w:t>Male</w:t>
      </w:r>
      <w:r w:rsidRPr="00011998">
        <w:rPr>
          <w:rFonts w:ascii="Times" w:hAnsi="Times"/>
        </w:rPr>
        <w:tab/>
        <w:t>&gt;0.9</w:t>
      </w:r>
      <w:r w:rsidRPr="00011998">
        <w:rPr>
          <w:rFonts w:ascii="Times" w:hAnsi="Times"/>
        </w:rPr>
        <w:tab/>
      </w:r>
      <w:r w:rsidRPr="00011998">
        <w:rPr>
          <w:rFonts w:ascii="Times" w:hAnsi="Times"/>
        </w:rPr>
        <w:tab/>
        <w:t>(144 x sCr/0.7)</w:t>
      </w:r>
      <w:r w:rsidRPr="00011998">
        <w:rPr>
          <w:rFonts w:ascii="Times" w:hAnsi="Times"/>
          <w:vertAlign w:val="superscript"/>
        </w:rPr>
        <w:t xml:space="preserve">-1.209 </w:t>
      </w:r>
      <w:r w:rsidRPr="00011998">
        <w:rPr>
          <w:rFonts w:ascii="Times" w:hAnsi="Times"/>
        </w:rPr>
        <w:t>x 0.993</w:t>
      </w:r>
      <w:r w:rsidRPr="00011998">
        <w:rPr>
          <w:rFonts w:ascii="Times" w:hAnsi="Times"/>
          <w:vertAlign w:val="superscript"/>
        </w:rPr>
        <w:t>Age</w:t>
      </w:r>
    </w:p>
    <w:p w:rsidR="002C4780" w:rsidRPr="00011998" w:rsidRDefault="002C4780" w:rsidP="002C4780">
      <w:pPr>
        <w:tabs>
          <w:tab w:val="left" w:pos="2160"/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</w:r>
      <w:r w:rsidRPr="00011998">
        <w:rPr>
          <w:rFonts w:ascii="Times" w:hAnsi="Times"/>
        </w:rPr>
        <w:t xml:space="preserve">(multiply eGFR x 1.159 if race </w:t>
      </w:r>
      <w:r>
        <w:rPr>
          <w:rFonts w:ascii="Times" w:hAnsi="Times"/>
        </w:rPr>
        <w:t>=</w:t>
      </w:r>
      <w:r w:rsidRPr="00011998">
        <w:rPr>
          <w:rFonts w:ascii="Times" w:hAnsi="Times"/>
        </w:rPr>
        <w:t xml:space="preserve"> black</w:t>
      </w:r>
    </w:p>
    <w:p w:rsidR="002C4780" w:rsidRPr="00011998" w:rsidRDefault="002C4780" w:rsidP="002C4780">
      <w:pPr>
        <w:spacing w:after="120" w:line="360" w:lineRule="auto"/>
        <w:rPr>
          <w:rFonts w:ascii="Times" w:hAnsi="Times"/>
          <w:u w:val="single"/>
        </w:rPr>
      </w:pPr>
      <w:r w:rsidRPr="00011998">
        <w:rPr>
          <w:rFonts w:ascii="Times" w:hAnsi="Times"/>
          <w:u w:val="single"/>
        </w:rPr>
        <w:t>Creatinine-Based Estimated GFR (</w:t>
      </w:r>
      <w:r>
        <w:rPr>
          <w:rFonts w:ascii="Times" w:hAnsi="Times"/>
          <w:u w:val="single"/>
        </w:rPr>
        <w:t>MDRD 4 variable equation</w:t>
      </w:r>
      <w:r w:rsidRPr="00011998">
        <w:rPr>
          <w:rFonts w:ascii="Times" w:hAnsi="Times"/>
          <w:u w:val="single"/>
        </w:rPr>
        <w:t>):</w:t>
      </w:r>
    </w:p>
    <w:p w:rsidR="002C4780" w:rsidRPr="009F1548" w:rsidRDefault="002C4780" w:rsidP="002C4780">
      <w:pPr>
        <w:spacing w:after="120" w:line="360" w:lineRule="auto"/>
        <w:ind w:left="2880" w:firstLine="720"/>
        <w:rPr>
          <w:rFonts w:ascii="Times" w:hAnsi="Times"/>
          <w:u w:val="single"/>
        </w:rPr>
      </w:pPr>
      <w:r w:rsidRPr="009F1548">
        <w:rPr>
          <w:rFonts w:ascii="Times" w:hAnsi="Times"/>
          <w:u w:val="single"/>
        </w:rPr>
        <w:t>Equation</w:t>
      </w:r>
    </w:p>
    <w:p w:rsidR="002C4780" w:rsidRPr="00011998" w:rsidRDefault="002C4780" w:rsidP="002C4780">
      <w:pPr>
        <w:tabs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</w:r>
      <w:r w:rsidRPr="00011998">
        <w:rPr>
          <w:rFonts w:ascii="Times" w:hAnsi="Times"/>
        </w:rPr>
        <w:t>(</w:t>
      </w:r>
      <w:r>
        <w:rPr>
          <w:rFonts w:ascii="Times" w:hAnsi="Times"/>
        </w:rPr>
        <w:t>175</w:t>
      </w:r>
      <w:r w:rsidRPr="00011998">
        <w:rPr>
          <w:rFonts w:ascii="Times" w:hAnsi="Times"/>
        </w:rPr>
        <w:t xml:space="preserve"> x sCr)</w:t>
      </w:r>
      <w:r w:rsidRPr="00011998">
        <w:rPr>
          <w:rFonts w:ascii="Times" w:hAnsi="Times"/>
          <w:vertAlign w:val="superscript"/>
        </w:rPr>
        <w:t>-</w:t>
      </w:r>
      <w:r>
        <w:rPr>
          <w:rFonts w:ascii="Times" w:hAnsi="Times"/>
          <w:vertAlign w:val="superscript"/>
        </w:rPr>
        <w:t xml:space="preserve">1.154 </w:t>
      </w:r>
      <w:r w:rsidRPr="00011998">
        <w:rPr>
          <w:rFonts w:ascii="Times" w:hAnsi="Times"/>
        </w:rPr>
        <w:t xml:space="preserve">x </w:t>
      </w:r>
      <w:r>
        <w:rPr>
          <w:rFonts w:ascii="Times" w:hAnsi="Times"/>
        </w:rPr>
        <w:t>Age</w:t>
      </w:r>
      <w:r>
        <w:rPr>
          <w:rFonts w:ascii="Times" w:hAnsi="Times"/>
          <w:vertAlign w:val="superscript"/>
        </w:rPr>
        <w:t>–0.203</w:t>
      </w:r>
    </w:p>
    <w:p w:rsidR="002C4780" w:rsidRDefault="002C4780" w:rsidP="002C4780">
      <w:pPr>
        <w:tabs>
          <w:tab w:val="left" w:pos="2160"/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</w:r>
      <w:r w:rsidRPr="00011998">
        <w:rPr>
          <w:rFonts w:ascii="Times" w:hAnsi="Times"/>
        </w:rPr>
        <w:t>(multiply eGFR x 1.</w:t>
      </w:r>
      <w:r>
        <w:rPr>
          <w:rFonts w:ascii="Times" w:hAnsi="Times"/>
        </w:rPr>
        <w:t xml:space="preserve">212 </w:t>
      </w:r>
      <w:r w:rsidRPr="00011998">
        <w:rPr>
          <w:rFonts w:ascii="Times" w:hAnsi="Times"/>
        </w:rPr>
        <w:t xml:space="preserve">if race </w:t>
      </w:r>
      <w:r>
        <w:rPr>
          <w:rFonts w:ascii="Times" w:hAnsi="Times"/>
        </w:rPr>
        <w:t>=</w:t>
      </w:r>
      <w:r w:rsidRPr="00011998">
        <w:rPr>
          <w:rFonts w:ascii="Times" w:hAnsi="Times"/>
        </w:rPr>
        <w:t xml:space="preserve"> black</w:t>
      </w:r>
    </w:p>
    <w:p w:rsidR="002C4780" w:rsidRPr="00011998" w:rsidRDefault="002C4780" w:rsidP="002C4780">
      <w:pPr>
        <w:tabs>
          <w:tab w:val="left" w:pos="2160"/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  <w:t>(multiply eGFR x 0.742 if gender = female</w:t>
      </w:r>
    </w:p>
    <w:p w:rsidR="002C4780" w:rsidRDefault="002C4780" w:rsidP="002C4780">
      <w:pPr>
        <w:spacing w:after="120" w:line="360" w:lineRule="auto"/>
        <w:rPr>
          <w:rFonts w:ascii="Times" w:hAnsi="Times"/>
          <w:u w:val="single"/>
        </w:rPr>
      </w:pPr>
      <w:r w:rsidRPr="00011998">
        <w:rPr>
          <w:rFonts w:ascii="Times" w:hAnsi="Times"/>
          <w:u w:val="single"/>
        </w:rPr>
        <w:t>Cockcroft Gault: estimated creatinine clearance:</w:t>
      </w:r>
    </w:p>
    <w:p w:rsidR="002C4780" w:rsidRPr="009F1548" w:rsidRDefault="002C4780" w:rsidP="002C4780">
      <w:pPr>
        <w:spacing w:after="120" w:line="360" w:lineRule="auto"/>
        <w:jc w:val="center"/>
        <w:rPr>
          <w:rFonts w:ascii="Times" w:hAnsi="Times"/>
          <w:u w:val="single"/>
        </w:rPr>
      </w:pPr>
      <w:r w:rsidRPr="009F1548">
        <w:rPr>
          <w:rFonts w:ascii="Times" w:hAnsi="Times"/>
          <w:u w:val="single"/>
        </w:rPr>
        <w:t>Equation</w:t>
      </w:r>
    </w:p>
    <w:p w:rsidR="002C4780" w:rsidRDefault="002C4780" w:rsidP="002C4780">
      <w:pPr>
        <w:spacing w:after="120" w:line="360" w:lineRule="auto"/>
        <w:ind w:left="2880" w:firstLine="720"/>
        <w:rPr>
          <w:rFonts w:ascii="Times" w:hAnsi="Times"/>
        </w:rPr>
      </w:pPr>
      <w:r w:rsidRPr="00011998">
        <w:rPr>
          <w:rFonts w:ascii="Times" w:hAnsi="Times"/>
        </w:rPr>
        <w:t>sCr</w:t>
      </w:r>
      <w:r w:rsidRPr="00011998">
        <w:rPr>
          <w:rFonts w:ascii="Times" w:hAnsi="Times"/>
          <w:vertAlign w:val="superscript"/>
        </w:rPr>
        <w:t>-1.0</w:t>
      </w:r>
      <w:r w:rsidRPr="00011998">
        <w:rPr>
          <w:rFonts w:ascii="Times" w:hAnsi="Times"/>
        </w:rPr>
        <w:t xml:space="preserve"> x (140 – Age) </w:t>
      </w:r>
    </w:p>
    <w:p w:rsidR="002C4780" w:rsidRDefault="002C4780" w:rsidP="002C4780">
      <w:pPr>
        <w:tabs>
          <w:tab w:val="left" w:pos="2160"/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  <w:t>(multiply eGFR x 0.85 if gender = female)</w:t>
      </w:r>
    </w:p>
    <w:p w:rsidR="002C4780" w:rsidRDefault="002C4780" w:rsidP="002C4780">
      <w:pPr>
        <w:tabs>
          <w:tab w:val="left" w:pos="2160"/>
          <w:tab w:val="left" w:pos="3150"/>
        </w:tabs>
        <w:spacing w:after="120" w:line="360" w:lineRule="auto"/>
        <w:ind w:left="1440"/>
        <w:rPr>
          <w:rFonts w:ascii="Times" w:hAnsi="Times"/>
        </w:rPr>
      </w:pPr>
      <w:r>
        <w:rPr>
          <w:rFonts w:ascii="Times" w:hAnsi="Times"/>
        </w:rPr>
        <w:tab/>
        <w:t>(multiply eGFR x actual weight (kg)/72 kg)</w:t>
      </w:r>
    </w:p>
    <w:p w:rsidR="00AE01D2" w:rsidRPr="005C13DE" w:rsidRDefault="00AE01D2" w:rsidP="001A70BA">
      <w:pPr>
        <w:tabs>
          <w:tab w:val="left" w:pos="8730"/>
        </w:tabs>
        <w:spacing w:line="360" w:lineRule="auto"/>
        <w:ind w:right="-180" w:hanging="450"/>
        <w:rPr>
          <w:rFonts w:ascii="OTNEJMScalaSansLF" w:hAnsi="OTNEJMScalaSansLF" w:cs="OTNEJMScalaSansLF"/>
        </w:rPr>
      </w:pPr>
    </w:p>
    <w:p w:rsidR="001A70BA" w:rsidRDefault="001A70BA">
      <w:pPr>
        <w:rPr>
          <w:noProof/>
        </w:rPr>
      </w:pPr>
      <w:r>
        <w:rPr>
          <w:noProof/>
        </w:rPr>
        <w:br w:type="page"/>
      </w:r>
    </w:p>
    <w:p w:rsidR="009F1548" w:rsidRPr="00BC45B2" w:rsidRDefault="00BC45B2" w:rsidP="000604EC">
      <w:pPr>
        <w:pStyle w:val="EndNoteBibliographyTitle"/>
        <w:rPr>
          <w:b/>
          <w:noProof/>
        </w:rPr>
      </w:pPr>
      <w:r w:rsidRPr="00BC45B2">
        <w:rPr>
          <w:b/>
          <w:noProof/>
        </w:rPr>
        <w:lastRenderedPageBreak/>
        <w:t>Supplementary References</w:t>
      </w:r>
    </w:p>
    <w:p w:rsidR="000604EC" w:rsidRPr="00E43D64" w:rsidRDefault="000604EC" w:rsidP="000604EC">
      <w:pPr>
        <w:pStyle w:val="EndNoteBibliographyTitle"/>
        <w:rPr>
          <w:noProof/>
        </w:rPr>
      </w:pPr>
    </w:p>
    <w:p w:rsidR="009F1548" w:rsidRPr="00E43D64" w:rsidRDefault="009F1548" w:rsidP="009F1548">
      <w:pPr>
        <w:pStyle w:val="EndNoteBibliography"/>
        <w:spacing w:line="360" w:lineRule="auto"/>
        <w:rPr>
          <w:noProof/>
        </w:rPr>
      </w:pPr>
      <w:r w:rsidRPr="00E43D64">
        <w:rPr>
          <w:noProof/>
        </w:rPr>
        <w:t>1</w:t>
      </w:r>
      <w:r>
        <w:rPr>
          <w:noProof/>
        </w:rPr>
        <w:t>.</w:t>
      </w:r>
      <w:r w:rsidRPr="00E43D64">
        <w:rPr>
          <w:noProof/>
        </w:rPr>
        <w:tab/>
        <w:t>Stevens LA, Nolin TD, Richardson MM, Feldman HI, Lewis JB, Rodby R, Townsend R, Okparavero A, Zhang YL, Schmid CH, Levey AS, Chronic Kidney Disease Epidemiology C</w:t>
      </w:r>
      <w:r w:rsidR="00597855">
        <w:rPr>
          <w:noProof/>
        </w:rPr>
        <w:t>ollabor</w:t>
      </w:r>
      <w:bookmarkStart w:id="0" w:name="_GoBack"/>
      <w:bookmarkEnd w:id="0"/>
      <w:r w:rsidR="00597855">
        <w:rPr>
          <w:noProof/>
        </w:rPr>
        <w:t>ation</w:t>
      </w:r>
      <w:r w:rsidRPr="00E43D64">
        <w:rPr>
          <w:noProof/>
        </w:rPr>
        <w:t xml:space="preserve">: Comparison of drug dosing recommendations based on measured </w:t>
      </w:r>
      <w:r w:rsidR="00597855">
        <w:rPr>
          <w:noProof/>
        </w:rPr>
        <w:t>GFR</w:t>
      </w:r>
      <w:r w:rsidRPr="00E43D64">
        <w:rPr>
          <w:noProof/>
        </w:rPr>
        <w:t xml:space="preserve"> and kidney function estimating equations. Am J Kidney Dis 2009;54:33-42.</w:t>
      </w:r>
    </w:p>
    <w:p w:rsidR="009F1548" w:rsidRPr="00E43D64" w:rsidRDefault="009F1548" w:rsidP="009F1548">
      <w:pPr>
        <w:pStyle w:val="EndNoteBibliography"/>
        <w:spacing w:line="360" w:lineRule="auto"/>
        <w:rPr>
          <w:noProof/>
        </w:rPr>
      </w:pPr>
      <w:r w:rsidRPr="00E43D64">
        <w:rPr>
          <w:noProof/>
        </w:rPr>
        <w:t>2</w:t>
      </w:r>
      <w:r>
        <w:rPr>
          <w:noProof/>
        </w:rPr>
        <w:t>.</w:t>
      </w:r>
      <w:r w:rsidRPr="00E43D64">
        <w:rPr>
          <w:noProof/>
        </w:rPr>
        <w:tab/>
        <w:t xml:space="preserve">Stevens LA, Li S, Kurella Tamura M, Chen SC, Vassalotti JA, Norris KC, Whaley-Connell AT, Bakris GL, McCullough PA: Comparison of the </w:t>
      </w:r>
      <w:r w:rsidR="00597855">
        <w:rPr>
          <w:noProof/>
        </w:rPr>
        <w:t>CKD</w:t>
      </w:r>
      <w:r w:rsidRPr="00E43D64">
        <w:rPr>
          <w:noProof/>
        </w:rPr>
        <w:t xml:space="preserve"> </w:t>
      </w:r>
      <w:r w:rsidR="00597855">
        <w:rPr>
          <w:noProof/>
        </w:rPr>
        <w:t>E</w:t>
      </w:r>
      <w:r w:rsidRPr="00E43D64">
        <w:rPr>
          <w:noProof/>
        </w:rPr>
        <w:t xml:space="preserve">pidemiology </w:t>
      </w:r>
      <w:r w:rsidR="00597855">
        <w:rPr>
          <w:noProof/>
        </w:rPr>
        <w:t>C</w:t>
      </w:r>
      <w:r w:rsidRPr="00E43D64">
        <w:rPr>
          <w:noProof/>
        </w:rPr>
        <w:t>ollaboration (</w:t>
      </w:r>
      <w:r w:rsidR="00597855">
        <w:rPr>
          <w:noProof/>
        </w:rPr>
        <w:t>CKD_EPI</w:t>
      </w:r>
      <w:r w:rsidRPr="00E43D64">
        <w:rPr>
          <w:noProof/>
        </w:rPr>
        <w:t xml:space="preserve">) and </w:t>
      </w:r>
      <w:r w:rsidR="00597855">
        <w:rPr>
          <w:noProof/>
        </w:rPr>
        <w:t>M</w:t>
      </w:r>
      <w:r w:rsidRPr="00E43D64">
        <w:rPr>
          <w:noProof/>
        </w:rPr>
        <w:t xml:space="preserve">odification of </w:t>
      </w:r>
      <w:r w:rsidR="00597855">
        <w:rPr>
          <w:noProof/>
        </w:rPr>
        <w:t>D</w:t>
      </w:r>
      <w:r w:rsidRPr="00E43D64">
        <w:rPr>
          <w:noProof/>
        </w:rPr>
        <w:t xml:space="preserve">iet in </w:t>
      </w:r>
      <w:r w:rsidR="00597855">
        <w:rPr>
          <w:noProof/>
        </w:rPr>
        <w:t>R</w:t>
      </w:r>
      <w:r w:rsidRPr="00E43D64">
        <w:rPr>
          <w:noProof/>
        </w:rPr>
        <w:t xml:space="preserve">enal </w:t>
      </w:r>
      <w:r w:rsidR="00597855">
        <w:rPr>
          <w:noProof/>
        </w:rPr>
        <w:t>D</w:t>
      </w:r>
      <w:r w:rsidRPr="00E43D64">
        <w:rPr>
          <w:noProof/>
        </w:rPr>
        <w:t>isease (</w:t>
      </w:r>
      <w:r w:rsidR="00597855">
        <w:rPr>
          <w:noProof/>
        </w:rPr>
        <w:t>MDRD</w:t>
      </w:r>
      <w:r w:rsidRPr="00E43D64">
        <w:rPr>
          <w:noProof/>
        </w:rPr>
        <w:t xml:space="preserve">) study equations: Risk factors for and complications of </w:t>
      </w:r>
      <w:r w:rsidR="00597855">
        <w:rPr>
          <w:noProof/>
        </w:rPr>
        <w:t>CKD and mortality in the Kidney Early Evaluation P</w:t>
      </w:r>
      <w:r w:rsidRPr="00E43D64">
        <w:rPr>
          <w:noProof/>
        </w:rPr>
        <w:t>rogram (</w:t>
      </w:r>
      <w:r w:rsidR="00597855">
        <w:rPr>
          <w:noProof/>
        </w:rPr>
        <w:t xml:space="preserve">KEEP). </w:t>
      </w:r>
      <w:r w:rsidR="00597855" w:rsidRPr="00E43D64">
        <w:rPr>
          <w:noProof/>
        </w:rPr>
        <w:t xml:space="preserve">Am J Kidney Dis </w:t>
      </w:r>
      <w:r w:rsidRPr="00E43D64">
        <w:rPr>
          <w:noProof/>
        </w:rPr>
        <w:t>2011;57:S9-16.</w:t>
      </w:r>
    </w:p>
    <w:p w:rsidR="00051778" w:rsidRDefault="00051778"/>
    <w:sectPr w:rsidR="00051778" w:rsidSect="00AF3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NEJMScalaSansLF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854"/>
    <w:multiLevelType w:val="hybridMultilevel"/>
    <w:tmpl w:val="041039AC"/>
    <w:lvl w:ilvl="0" w:tplc="DEB09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6C2A4"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C8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00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C2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E3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0F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5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0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57FCB"/>
    <w:multiLevelType w:val="hybridMultilevel"/>
    <w:tmpl w:val="D6807C8A"/>
    <w:lvl w:ilvl="0" w:tplc="41BC4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A6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AE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26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A2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AB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46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0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07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65EF1"/>
    <w:multiLevelType w:val="hybridMultilevel"/>
    <w:tmpl w:val="0F268100"/>
    <w:lvl w:ilvl="0" w:tplc="595E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09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2B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E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05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C0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E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9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A4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F1548"/>
    <w:rsid w:val="00022E4D"/>
    <w:rsid w:val="00051778"/>
    <w:rsid w:val="000604EC"/>
    <w:rsid w:val="000804D8"/>
    <w:rsid w:val="000F21AE"/>
    <w:rsid w:val="000F614E"/>
    <w:rsid w:val="001061D2"/>
    <w:rsid w:val="00122AE3"/>
    <w:rsid w:val="00141B02"/>
    <w:rsid w:val="00160C88"/>
    <w:rsid w:val="00184AF0"/>
    <w:rsid w:val="00191DF8"/>
    <w:rsid w:val="001A70BA"/>
    <w:rsid w:val="001B272F"/>
    <w:rsid w:val="001F050D"/>
    <w:rsid w:val="001F69A3"/>
    <w:rsid w:val="00211253"/>
    <w:rsid w:val="00256B5A"/>
    <w:rsid w:val="002601CC"/>
    <w:rsid w:val="0029086A"/>
    <w:rsid w:val="00295CC7"/>
    <w:rsid w:val="002A0EA4"/>
    <w:rsid w:val="002C1CE3"/>
    <w:rsid w:val="002C4780"/>
    <w:rsid w:val="00340404"/>
    <w:rsid w:val="00403358"/>
    <w:rsid w:val="00404831"/>
    <w:rsid w:val="00427A00"/>
    <w:rsid w:val="004E199E"/>
    <w:rsid w:val="0051450A"/>
    <w:rsid w:val="005747B7"/>
    <w:rsid w:val="00597855"/>
    <w:rsid w:val="005A0651"/>
    <w:rsid w:val="00662074"/>
    <w:rsid w:val="006B2DA4"/>
    <w:rsid w:val="00703DCB"/>
    <w:rsid w:val="00703EE0"/>
    <w:rsid w:val="00795941"/>
    <w:rsid w:val="007B487B"/>
    <w:rsid w:val="007D3A9C"/>
    <w:rsid w:val="008C0964"/>
    <w:rsid w:val="0094424E"/>
    <w:rsid w:val="00983AEB"/>
    <w:rsid w:val="00985588"/>
    <w:rsid w:val="009F1548"/>
    <w:rsid w:val="00A12838"/>
    <w:rsid w:val="00A64E94"/>
    <w:rsid w:val="00AE01D2"/>
    <w:rsid w:val="00AF3DD7"/>
    <w:rsid w:val="00AF63B7"/>
    <w:rsid w:val="00B14825"/>
    <w:rsid w:val="00B20424"/>
    <w:rsid w:val="00B521B4"/>
    <w:rsid w:val="00B81A2E"/>
    <w:rsid w:val="00B84B61"/>
    <w:rsid w:val="00BB0A87"/>
    <w:rsid w:val="00BC45B2"/>
    <w:rsid w:val="00BD5B28"/>
    <w:rsid w:val="00C12505"/>
    <w:rsid w:val="00C578EB"/>
    <w:rsid w:val="00C77FCB"/>
    <w:rsid w:val="00CE7156"/>
    <w:rsid w:val="00D4350A"/>
    <w:rsid w:val="00D625D3"/>
    <w:rsid w:val="00D933CA"/>
    <w:rsid w:val="00E63F70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5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548"/>
    <w:pPr>
      <w:ind w:left="720"/>
      <w:contextualSpacing/>
    </w:pPr>
  </w:style>
  <w:style w:type="paragraph" w:customStyle="1" w:styleId="SingleSpace">
    <w:name w:val="Single Space"/>
    <w:basedOn w:val="Standard"/>
    <w:qFormat/>
    <w:rsid w:val="009F1548"/>
    <w:rPr>
      <w:rFonts w:ascii="Times New Roman" w:eastAsia="Arial Unicode MS" w:hAnsi="Times New Roman" w:cs="Times New Roman"/>
      <w:color w:val="000000"/>
      <w:sz w:val="22"/>
      <w:szCs w:val="22"/>
    </w:rPr>
  </w:style>
  <w:style w:type="paragraph" w:customStyle="1" w:styleId="CM18">
    <w:name w:val="CM18"/>
    <w:basedOn w:val="Standard"/>
    <w:next w:val="Standard"/>
    <w:uiPriority w:val="99"/>
    <w:rsid w:val="009F154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</w:rPr>
  </w:style>
  <w:style w:type="paragraph" w:styleId="StandardWeb">
    <w:name w:val="Normal (Web)"/>
    <w:basedOn w:val="Standard"/>
    <w:uiPriority w:val="99"/>
    <w:semiHidden/>
    <w:unhideWhenUsed/>
    <w:rsid w:val="009F1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F1548"/>
    <w:rPr>
      <w:i/>
      <w:iCs/>
    </w:rPr>
  </w:style>
  <w:style w:type="paragraph" w:customStyle="1" w:styleId="EndNoteBibliographyTitle">
    <w:name w:val="EndNote Bibliography Title"/>
    <w:basedOn w:val="Standard"/>
    <w:rsid w:val="009F154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9F1548"/>
    <w:rPr>
      <w:rFonts w:ascii="Cambria" w:hAnsi="Cambria"/>
    </w:rPr>
  </w:style>
  <w:style w:type="table" w:styleId="Tabellenraster">
    <w:name w:val="Table Grid"/>
    <w:basedOn w:val="NormaleTabelle"/>
    <w:uiPriority w:val="59"/>
    <w:rsid w:val="00AF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5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548"/>
    <w:pPr>
      <w:ind w:left="720"/>
      <w:contextualSpacing/>
    </w:pPr>
  </w:style>
  <w:style w:type="paragraph" w:customStyle="1" w:styleId="SingleSpace">
    <w:name w:val="Single Space"/>
    <w:basedOn w:val="Standard"/>
    <w:qFormat/>
    <w:rsid w:val="009F1548"/>
    <w:rPr>
      <w:rFonts w:ascii="Times New Roman" w:eastAsia="Arial Unicode MS" w:hAnsi="Times New Roman" w:cs="Times New Roman"/>
      <w:color w:val="000000"/>
      <w:sz w:val="22"/>
      <w:szCs w:val="22"/>
    </w:rPr>
  </w:style>
  <w:style w:type="paragraph" w:customStyle="1" w:styleId="CM18">
    <w:name w:val="CM18"/>
    <w:basedOn w:val="Standard"/>
    <w:next w:val="Standard"/>
    <w:uiPriority w:val="99"/>
    <w:rsid w:val="009F1548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</w:rPr>
  </w:style>
  <w:style w:type="paragraph" w:styleId="StandardWeb">
    <w:name w:val="Normal (Web)"/>
    <w:basedOn w:val="Standard"/>
    <w:uiPriority w:val="99"/>
    <w:semiHidden/>
    <w:unhideWhenUsed/>
    <w:rsid w:val="009F15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F1548"/>
    <w:rPr>
      <w:i/>
      <w:iCs/>
    </w:rPr>
  </w:style>
  <w:style w:type="paragraph" w:customStyle="1" w:styleId="EndNoteBibliographyTitle">
    <w:name w:val="EndNote Bibliography Title"/>
    <w:basedOn w:val="Standard"/>
    <w:rsid w:val="009F154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9F1548"/>
    <w:rPr>
      <w:rFonts w:ascii="Cambria" w:hAnsi="Cambria"/>
    </w:rPr>
  </w:style>
  <w:style w:type="table" w:styleId="Tabellenraster">
    <w:name w:val="Table Grid"/>
    <w:basedOn w:val="NormaleTabelle"/>
    <w:uiPriority w:val="59"/>
    <w:rsid w:val="00AF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Company>UAB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Warnock</dc:creator>
  <cp:keywords/>
  <dc:description/>
  <cp:lastModifiedBy>jappertr</cp:lastModifiedBy>
  <cp:revision>3</cp:revision>
  <cp:lastPrinted>2016-01-06T19:44:00Z</cp:lastPrinted>
  <dcterms:created xsi:type="dcterms:W3CDTF">2016-01-07T22:33:00Z</dcterms:created>
  <dcterms:modified xsi:type="dcterms:W3CDTF">2016-01-21T15:14:00Z</dcterms:modified>
</cp:coreProperties>
</file>