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0C" w:rsidRDefault="0022700C" w:rsidP="0022700C">
      <w:pPr>
        <w:pStyle w:val="a3"/>
        <w:spacing w:line="480" w:lineRule="auto"/>
        <w:ind w:left="480" w:hangingChars="200" w:hanging="4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S1 Table. The updated fossil </w:t>
      </w:r>
      <w:proofErr w:type="spellStart"/>
      <w:r>
        <w:rPr>
          <w:rFonts w:ascii="Times New Roman" w:hAnsi="Times New Roman"/>
          <w:i/>
          <w:sz w:val="24"/>
          <w:szCs w:val="24"/>
        </w:rPr>
        <w:t>Pseudolarix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amabilis</w:t>
      </w:r>
      <w:proofErr w:type="spellEnd"/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1262"/>
        <w:gridCol w:w="1268"/>
        <w:gridCol w:w="1828"/>
        <w:gridCol w:w="1826"/>
        <w:gridCol w:w="3836"/>
      </w:tblGrid>
      <w:tr w:rsidR="0022700C" w:rsidTr="0022700C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2700C" w:rsidRDefault="0022700C"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Location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2700C" w:rsidRDefault="0022700C"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Longitude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Latitude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Organ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Age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References</w:t>
            </w:r>
          </w:p>
        </w:tc>
      </w:tr>
      <w:tr w:rsidR="0022700C" w:rsidTr="0022700C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1"/>
              </w:rPr>
              <w:t>Hlavačov</w:t>
            </w:r>
            <w:proofErr w:type="spellEnd"/>
            <w:r>
              <w:rPr>
                <w:rFonts w:ascii="Times New Roman" w:hAnsi="Times New Roman"/>
                <w:color w:val="000000"/>
                <w:szCs w:val="21"/>
              </w:rPr>
              <w:t xml:space="preserve"> gravel and sand, Bohemia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13.7 °E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50.1 °N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Cone scale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Late Oligocene/early Miocene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hAnsi="Times New Roman"/>
                <w:szCs w:val="21"/>
              </w:rPr>
              <w:t>Bůžek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Cs w:val="21"/>
              </w:rPr>
              <w:t>Kvaček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[1]; </w:t>
            </w:r>
            <w:proofErr w:type="spellStart"/>
            <w:r>
              <w:rPr>
                <w:rFonts w:ascii="Times New Roman" w:hAnsi="Times New Roman"/>
                <w:szCs w:val="21"/>
              </w:rPr>
              <w:t>Teodoridis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[2]; </w:t>
            </w:r>
            <w:proofErr w:type="spellStart"/>
            <w:r>
              <w:rPr>
                <w:rFonts w:ascii="Times New Roman" w:hAnsi="Times New Roman"/>
                <w:szCs w:val="21"/>
              </w:rPr>
              <w:t>Teodoridis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Cs w:val="21"/>
              </w:rPr>
              <w:t>Sakala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[3]</w:t>
            </w:r>
          </w:p>
        </w:tc>
      </w:tr>
      <w:tr w:rsidR="0022700C" w:rsidTr="0022700C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Okanagan Highlands, Southern British Columbia, Canada, and Northeastern Washington State, USA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120.0–127.0 °W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48.7–55.0 °N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Cone scale, pollen and seed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Eocene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hAnsi="Times New Roman"/>
                <w:szCs w:val="21"/>
              </w:rPr>
              <w:t>Dillhoff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et al. [4]; Greenwood et al. [5]; </w:t>
            </w:r>
            <w:proofErr w:type="spellStart"/>
            <w:r>
              <w:rPr>
                <w:rFonts w:ascii="Times New Roman" w:hAnsi="Times New Roman"/>
                <w:szCs w:val="21"/>
              </w:rPr>
              <w:t>Dillhoff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et al. [6]; Moss et al. [7]; Smith et al. [8]; </w:t>
            </w:r>
            <w:proofErr w:type="spellStart"/>
            <w:r>
              <w:rPr>
                <w:rFonts w:ascii="Times New Roman" w:hAnsi="Times New Roman"/>
                <w:szCs w:val="21"/>
              </w:rPr>
              <w:t>Mathewes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et al. [9]; Moss et al. [10]</w:t>
            </w:r>
          </w:p>
        </w:tc>
      </w:tr>
      <w:tr w:rsidR="0022700C" w:rsidTr="0022700C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1"/>
              </w:rPr>
              <w:t>Dembi</w:t>
            </w:r>
            <w:proofErr w:type="spellEnd"/>
            <w:r>
              <w:rPr>
                <w:rFonts w:ascii="Times New Roman" w:hAnsi="Times New Roman"/>
                <w:color w:val="000000"/>
                <w:szCs w:val="21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color w:val="000000"/>
                <w:szCs w:val="21"/>
              </w:rPr>
              <w:t>Amgu</w:t>
            </w:r>
            <w:proofErr w:type="spellEnd"/>
            <w:r>
              <w:rPr>
                <w:rFonts w:ascii="Times New Roman" w:hAnsi="Times New Roman"/>
                <w:color w:val="000000"/>
                <w:szCs w:val="21"/>
              </w:rPr>
              <w:t>, Far East of Russia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137.7 °E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45.8 °N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Cone scale and seed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Oligocene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hAnsi="Times New Roman"/>
                <w:szCs w:val="21"/>
              </w:rPr>
              <w:t>Akhmetiev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et al. [11]</w:t>
            </w:r>
          </w:p>
        </w:tc>
      </w:tr>
      <w:tr w:rsidR="0022700C" w:rsidTr="0022700C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1"/>
              </w:rPr>
              <w:t>Qaidam</w:t>
            </w:r>
            <w:proofErr w:type="spellEnd"/>
            <w:r>
              <w:rPr>
                <w:rFonts w:ascii="Times New Roman" w:hAnsi="Times New Roman"/>
                <w:color w:val="000000"/>
                <w:szCs w:val="21"/>
              </w:rPr>
              <w:t xml:space="preserve"> Basin, China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95.0 °E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37.0 °N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Pollen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Pleistocene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Jiang and Robbins [12]</w:t>
            </w:r>
          </w:p>
        </w:tc>
      </w:tr>
      <w:tr w:rsidR="0022700C" w:rsidTr="0022700C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1"/>
              </w:rPr>
              <w:t>Demura</w:t>
            </w:r>
            <w:proofErr w:type="spellEnd"/>
            <w:r>
              <w:rPr>
                <w:rFonts w:ascii="Times New Roman" w:hAnsi="Times New Roman"/>
                <w:color w:val="000000"/>
                <w:szCs w:val="21"/>
              </w:rPr>
              <w:t>, Fukui City, Japan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136.0 °E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36.0 °N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Seed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Early Miocene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Atsushi [13]</w:t>
            </w:r>
          </w:p>
        </w:tc>
      </w:tr>
      <w:tr w:rsidR="0022700C" w:rsidTr="0022700C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1"/>
              </w:rPr>
              <w:t>Muravyov-Amurskii</w:t>
            </w:r>
            <w:proofErr w:type="spellEnd"/>
            <w:r>
              <w:rPr>
                <w:rFonts w:ascii="Times New Roman" w:hAnsi="Times New Roman"/>
                <w:color w:val="000000"/>
                <w:szCs w:val="21"/>
              </w:rPr>
              <w:t xml:space="preserve"> Peninsula, Amur Bay, Sea of Japan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43.3 °E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132.0 °N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Unknown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Cretaceous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hAnsi="Times New Roman"/>
                <w:szCs w:val="21"/>
              </w:rPr>
              <w:t>Volynets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[14]; </w:t>
            </w:r>
            <w:proofErr w:type="spellStart"/>
            <w:r>
              <w:rPr>
                <w:rFonts w:ascii="Times New Roman" w:hAnsi="Times New Roman"/>
                <w:szCs w:val="21"/>
              </w:rPr>
              <w:t>Volynets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[15]</w:t>
            </w:r>
          </w:p>
        </w:tc>
      </w:tr>
      <w:tr w:rsidR="0022700C" w:rsidTr="0022700C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1"/>
              </w:rPr>
              <w:t>Enmyvaam</w:t>
            </w:r>
            <w:proofErr w:type="spellEnd"/>
            <w:r>
              <w:rPr>
                <w:rFonts w:ascii="Times New Roman" w:hAnsi="Times New Roman"/>
                <w:color w:val="000000"/>
                <w:szCs w:val="21"/>
              </w:rPr>
              <w:t xml:space="preserve"> River Basin, Central Chukotka, Northeastern Russia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174.0 °E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68.0 °N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Leaf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Late Cretaceous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hAnsi="Times New Roman"/>
                <w:szCs w:val="21"/>
              </w:rPr>
              <w:t>Moiseeva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Cs w:val="21"/>
              </w:rPr>
              <w:t>Sokolova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[16]</w:t>
            </w:r>
          </w:p>
        </w:tc>
      </w:tr>
      <w:tr w:rsidR="0022700C" w:rsidTr="0022700C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Axel Heiberg Island, Canadian High Arctic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89.0 °W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79.9 °N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Pollen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Middle Eocene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Richter and </w:t>
            </w:r>
            <w:proofErr w:type="spellStart"/>
            <w:r>
              <w:rPr>
                <w:rFonts w:ascii="Times New Roman" w:hAnsi="Times New Roman"/>
                <w:szCs w:val="21"/>
              </w:rPr>
              <w:t>LePage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[17]</w:t>
            </w:r>
          </w:p>
        </w:tc>
      </w:tr>
      <w:tr w:rsidR="0022700C" w:rsidTr="0022700C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1"/>
              </w:rPr>
              <w:t>Meleto</w:t>
            </w:r>
            <w:proofErr w:type="spellEnd"/>
            <w:r>
              <w:rPr>
                <w:rFonts w:ascii="Times New Roman" w:hAnsi="Times New Roman"/>
                <w:color w:val="000000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Cs w:val="21"/>
              </w:rPr>
              <w:t>Valdarno</w:t>
            </w:r>
            <w:proofErr w:type="spellEnd"/>
            <w:r>
              <w:rPr>
                <w:rFonts w:ascii="Times New Roman" w:hAnsi="Times New Roman"/>
                <w:color w:val="000000"/>
                <w:szCs w:val="21"/>
              </w:rPr>
              <w:t>, Italy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11.8 °E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43.8 °N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Seed and pollen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Pliocene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Fischer and </w:t>
            </w:r>
            <w:proofErr w:type="spellStart"/>
            <w:r>
              <w:rPr>
                <w:rFonts w:ascii="Times New Roman" w:hAnsi="Times New Roman"/>
                <w:szCs w:val="21"/>
              </w:rPr>
              <w:t>Butzmann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[18]</w:t>
            </w:r>
          </w:p>
        </w:tc>
      </w:tr>
      <w:tr w:rsidR="0022700C" w:rsidTr="0022700C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1"/>
              </w:rPr>
              <w:t>Janggi</w:t>
            </w:r>
            <w:proofErr w:type="spellEnd"/>
            <w:r>
              <w:rPr>
                <w:rFonts w:ascii="Times New Roman" w:hAnsi="Times New Roman"/>
                <w:color w:val="000000"/>
                <w:szCs w:val="21"/>
              </w:rPr>
              <w:t xml:space="preserve"> Basin, Korea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129.5 °E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36.0 °N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Cone scale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Early Miocene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Paik et al. [19]</w:t>
            </w:r>
          </w:p>
        </w:tc>
      </w:tr>
      <w:tr w:rsidR="0022700C" w:rsidTr="0022700C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1"/>
              </w:rPr>
              <w:t>Yuyao</w:t>
            </w:r>
            <w:proofErr w:type="spellEnd"/>
            <w:r>
              <w:rPr>
                <w:rFonts w:ascii="Times New Roman" w:hAnsi="Times New Roman"/>
                <w:color w:val="000000"/>
                <w:szCs w:val="21"/>
              </w:rPr>
              <w:t>, Zhejiang, China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121.2 °E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30.0 °N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Cone scale and seed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Pliocene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Li [20]; Li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Guo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[21]</w:t>
            </w:r>
          </w:p>
        </w:tc>
      </w:tr>
      <w:tr w:rsidR="0022700C" w:rsidTr="0022700C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1"/>
              </w:rPr>
              <w:t>Tiantai</w:t>
            </w:r>
            <w:proofErr w:type="spellEnd"/>
            <w:r>
              <w:rPr>
                <w:rFonts w:ascii="Times New Roman" w:hAnsi="Times New Roman"/>
                <w:color w:val="000000"/>
                <w:szCs w:val="21"/>
              </w:rPr>
              <w:t xml:space="preserve"> County, Zhejiang, China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121.2 °E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29.2 °N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Bract-scale complex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Late Miocene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0C" w:rsidRDefault="0022700C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This study</w:t>
            </w:r>
          </w:p>
        </w:tc>
      </w:tr>
    </w:tbl>
    <w:p w:rsidR="0022700C" w:rsidRDefault="0022700C" w:rsidP="0022700C">
      <w:pPr>
        <w:widowControl/>
        <w:jc w:val="left"/>
        <w:rPr>
          <w:rFonts w:ascii="Times New Roman" w:hAnsi="Times New Roman"/>
          <w:sz w:val="24"/>
          <w:szCs w:val="24"/>
        </w:rPr>
        <w:sectPr w:rsidR="0022700C" w:rsidSect="0022700C">
          <w:footerReference w:type="default" r:id="rId7"/>
          <w:pgSz w:w="16838" w:h="11906" w:orient="landscape"/>
          <w:pgMar w:top="1797" w:right="1440" w:bottom="1797" w:left="1440" w:header="851" w:footer="992" w:gutter="0"/>
          <w:lnNumType w:countBy="1" w:restart="continuous"/>
          <w:cols w:space="720"/>
          <w:docGrid w:type="lines" w:linePitch="312"/>
        </w:sectPr>
      </w:pPr>
    </w:p>
    <w:p w:rsidR="0022700C" w:rsidRDefault="0022700C" w:rsidP="0022700C">
      <w:pPr>
        <w:pStyle w:val="1"/>
        <w:rPr>
          <w:rFonts w:ascii="Times New Roman" w:hAnsi="Times New Roman"/>
          <w:kern w:val="2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References</w:t>
      </w:r>
      <w:bookmarkStart w:id="0" w:name="_GoBack"/>
      <w:bookmarkEnd w:id="0"/>
    </w:p>
    <w:p w:rsidR="0022700C" w:rsidRDefault="0022700C" w:rsidP="0022700C">
      <w:pPr>
        <w:pStyle w:val="a3"/>
        <w:numPr>
          <w:ilvl w:val="0"/>
          <w:numId w:val="1"/>
        </w:numPr>
        <w:spacing w:line="480" w:lineRule="auto"/>
        <w:ind w:firstLineChars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Bůžek</w:t>
      </w:r>
      <w:proofErr w:type="spellEnd"/>
      <w:r>
        <w:rPr>
          <w:rFonts w:ascii="Times New Roman" w:hAnsi="Times New Roman"/>
          <w:sz w:val="24"/>
          <w:szCs w:val="24"/>
        </w:rPr>
        <w:t xml:space="preserve"> Č, </w:t>
      </w:r>
      <w:proofErr w:type="spellStart"/>
      <w:r>
        <w:rPr>
          <w:rFonts w:ascii="Times New Roman" w:hAnsi="Times New Roman"/>
          <w:sz w:val="24"/>
          <w:szCs w:val="24"/>
        </w:rPr>
        <w:t>Kvaček</w:t>
      </w:r>
      <w:proofErr w:type="spellEnd"/>
      <w:r>
        <w:rPr>
          <w:rFonts w:ascii="Times New Roman" w:hAnsi="Times New Roman"/>
          <w:sz w:val="24"/>
          <w:szCs w:val="24"/>
        </w:rPr>
        <w:t xml:space="preserve"> Z. </w:t>
      </w:r>
      <w:proofErr w:type="spellStart"/>
      <w:r>
        <w:rPr>
          <w:rFonts w:ascii="Times New Roman" w:hAnsi="Times New Roman"/>
          <w:sz w:val="24"/>
          <w:szCs w:val="24"/>
        </w:rPr>
        <w:t>Nové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nálezy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třetihorní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flóry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hlavačovských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štěrkopíscích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Nesuchyně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Rakovnicku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Zprávy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geol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výzk</w:t>
      </w:r>
      <w:proofErr w:type="spellEnd"/>
      <w:r>
        <w:rPr>
          <w:rFonts w:ascii="Times New Roman" w:hAnsi="Times New Roman"/>
          <w:sz w:val="24"/>
          <w:szCs w:val="24"/>
        </w:rPr>
        <w:t xml:space="preserve"> v r. 1989; 1986: 22–24.</w:t>
      </w:r>
    </w:p>
    <w:p w:rsidR="0022700C" w:rsidRDefault="0022700C" w:rsidP="0022700C">
      <w:pPr>
        <w:pStyle w:val="a3"/>
        <w:numPr>
          <w:ilvl w:val="0"/>
          <w:numId w:val="1"/>
        </w:numPr>
        <w:spacing w:line="480" w:lineRule="auto"/>
        <w:ind w:firstLineChars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Teodoridis</w:t>
      </w:r>
      <w:proofErr w:type="spellEnd"/>
      <w:r>
        <w:rPr>
          <w:rFonts w:ascii="Times New Roman" w:hAnsi="Times New Roman"/>
          <w:sz w:val="24"/>
          <w:szCs w:val="24"/>
        </w:rPr>
        <w:t xml:space="preserve"> V. Tertiary flora and vegetation of the </w:t>
      </w:r>
      <w:proofErr w:type="spellStart"/>
      <w:r>
        <w:rPr>
          <w:rFonts w:ascii="Times New Roman" w:hAnsi="Times New Roman"/>
          <w:sz w:val="24"/>
          <w:szCs w:val="24"/>
        </w:rPr>
        <w:t>Hlavačov</w:t>
      </w:r>
      <w:proofErr w:type="spellEnd"/>
      <w:r>
        <w:rPr>
          <w:rFonts w:ascii="Times New Roman" w:hAnsi="Times New Roman"/>
          <w:sz w:val="24"/>
          <w:szCs w:val="24"/>
        </w:rPr>
        <w:t xml:space="preserve"> gravel and sand and the surroundings of </w:t>
      </w:r>
      <w:proofErr w:type="spellStart"/>
      <w:r>
        <w:rPr>
          <w:rFonts w:ascii="Times New Roman" w:hAnsi="Times New Roman"/>
          <w:sz w:val="24"/>
          <w:szCs w:val="24"/>
        </w:rPr>
        <w:t>Holedeč</w:t>
      </w:r>
      <w:proofErr w:type="spellEnd"/>
      <w:r>
        <w:rPr>
          <w:rFonts w:ascii="Times New Roman" w:hAnsi="Times New Roman"/>
          <w:sz w:val="24"/>
          <w:szCs w:val="24"/>
        </w:rPr>
        <w:t xml:space="preserve"> in the Most Basin (Czech Republic). </w:t>
      </w:r>
      <w:proofErr w:type="spellStart"/>
      <w:r>
        <w:rPr>
          <w:rFonts w:ascii="Times New Roman" w:hAnsi="Times New Roman"/>
          <w:sz w:val="24"/>
          <w:szCs w:val="24"/>
        </w:rPr>
        <w:t>Acta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Mus</w:t>
      </w:r>
      <w:proofErr w:type="spellEnd"/>
      <w:r>
        <w:rPr>
          <w:rFonts w:ascii="Times New Roman" w:hAnsi="Times New Roman"/>
          <w:sz w:val="24"/>
          <w:szCs w:val="24"/>
        </w:rPr>
        <w:t xml:space="preserve"> Nat </w:t>
      </w:r>
      <w:proofErr w:type="spellStart"/>
      <w:r>
        <w:rPr>
          <w:rFonts w:ascii="Times New Roman" w:hAnsi="Times New Roman"/>
          <w:sz w:val="24"/>
          <w:szCs w:val="24"/>
        </w:rPr>
        <w:t>Pragae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</w:t>
      </w:r>
      <w:proofErr w:type="spellEnd"/>
      <w:r>
        <w:rPr>
          <w:rFonts w:ascii="Times New Roman" w:hAnsi="Times New Roman"/>
          <w:sz w:val="24"/>
          <w:szCs w:val="24"/>
        </w:rPr>
        <w:t xml:space="preserve"> B, </w:t>
      </w:r>
      <w:proofErr w:type="spellStart"/>
      <w:r>
        <w:rPr>
          <w:rFonts w:ascii="Times New Roman" w:hAnsi="Times New Roman"/>
          <w:sz w:val="24"/>
          <w:szCs w:val="24"/>
        </w:rPr>
        <w:t>Hist</w:t>
      </w:r>
      <w:proofErr w:type="spellEnd"/>
      <w:r>
        <w:rPr>
          <w:rFonts w:ascii="Times New Roman" w:hAnsi="Times New Roman"/>
          <w:sz w:val="24"/>
          <w:szCs w:val="24"/>
        </w:rPr>
        <w:t xml:space="preserve"> Nat. 2002; 57: 103–140.</w:t>
      </w:r>
    </w:p>
    <w:p w:rsidR="0022700C" w:rsidRDefault="0022700C" w:rsidP="0022700C">
      <w:pPr>
        <w:pStyle w:val="a3"/>
        <w:numPr>
          <w:ilvl w:val="0"/>
          <w:numId w:val="1"/>
        </w:numPr>
        <w:spacing w:line="480" w:lineRule="auto"/>
        <w:ind w:firstLineChars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Teodoridis</w:t>
      </w:r>
      <w:proofErr w:type="spellEnd"/>
      <w:r>
        <w:rPr>
          <w:rFonts w:ascii="Times New Roman" w:hAnsi="Times New Roman"/>
          <w:sz w:val="24"/>
          <w:szCs w:val="24"/>
        </w:rPr>
        <w:t xml:space="preserve"> V, </w:t>
      </w:r>
      <w:proofErr w:type="spellStart"/>
      <w:r>
        <w:rPr>
          <w:rFonts w:ascii="Times New Roman" w:hAnsi="Times New Roman"/>
          <w:sz w:val="24"/>
          <w:szCs w:val="24"/>
        </w:rPr>
        <w:t>Sakala</w:t>
      </w:r>
      <w:proofErr w:type="spellEnd"/>
      <w:r>
        <w:rPr>
          <w:rFonts w:ascii="Times New Roman" w:hAnsi="Times New Roman"/>
          <w:sz w:val="24"/>
          <w:szCs w:val="24"/>
        </w:rPr>
        <w:t xml:space="preserve"> J. Early Miocene conifer macrofossils from the Most Basin (Czech Republic). N </w:t>
      </w:r>
      <w:proofErr w:type="spellStart"/>
      <w:r>
        <w:rPr>
          <w:rFonts w:ascii="Times New Roman" w:hAnsi="Times New Roman"/>
          <w:sz w:val="24"/>
          <w:szCs w:val="24"/>
        </w:rPr>
        <w:t>Jb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Paläont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Abh</w:t>
      </w:r>
      <w:proofErr w:type="spellEnd"/>
      <w:r>
        <w:rPr>
          <w:rFonts w:ascii="Times New Roman" w:hAnsi="Times New Roman"/>
          <w:sz w:val="24"/>
          <w:szCs w:val="24"/>
        </w:rPr>
        <w:t>. 2008; 250: 287–312.</w:t>
      </w:r>
    </w:p>
    <w:p w:rsidR="0022700C" w:rsidRDefault="0022700C" w:rsidP="0022700C">
      <w:pPr>
        <w:pStyle w:val="a3"/>
        <w:numPr>
          <w:ilvl w:val="0"/>
          <w:numId w:val="1"/>
        </w:numPr>
        <w:spacing w:line="480" w:lineRule="auto"/>
        <w:ind w:firstLineChars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Dillhoff</w:t>
      </w:r>
      <w:proofErr w:type="spellEnd"/>
      <w:r>
        <w:rPr>
          <w:rFonts w:ascii="Times New Roman" w:hAnsi="Times New Roman"/>
          <w:sz w:val="24"/>
          <w:szCs w:val="24"/>
        </w:rPr>
        <w:t xml:space="preserve"> R M, Leopold EB, Manchester SR. The </w:t>
      </w:r>
      <w:proofErr w:type="spellStart"/>
      <w:r>
        <w:rPr>
          <w:rFonts w:ascii="Times New Roman" w:hAnsi="Times New Roman"/>
          <w:sz w:val="24"/>
          <w:szCs w:val="24"/>
        </w:rPr>
        <w:t>McAbee</w:t>
      </w:r>
      <w:proofErr w:type="spellEnd"/>
      <w:r>
        <w:rPr>
          <w:rFonts w:ascii="Times New Roman" w:hAnsi="Times New Roman"/>
          <w:sz w:val="24"/>
          <w:szCs w:val="24"/>
        </w:rPr>
        <w:t xml:space="preserve"> flora of British Columbia and its relation to the early-middle Eocene Okanagan Highlands flora of the Pacific Northwest. Can J Earth Sci. 2005; 42: 151–166.</w:t>
      </w:r>
    </w:p>
    <w:p w:rsidR="0022700C" w:rsidRDefault="0022700C" w:rsidP="0022700C">
      <w:pPr>
        <w:pStyle w:val="a3"/>
        <w:numPr>
          <w:ilvl w:val="0"/>
          <w:numId w:val="1"/>
        </w:numPr>
        <w:spacing w:line="480" w:lineRule="auto"/>
        <w:ind w:firstLineChars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Greenwood DR, Archibald SB, </w:t>
      </w:r>
      <w:proofErr w:type="spellStart"/>
      <w:r>
        <w:rPr>
          <w:rFonts w:ascii="Times New Roman" w:hAnsi="Times New Roman"/>
          <w:sz w:val="24"/>
          <w:szCs w:val="24"/>
        </w:rPr>
        <w:t>Mathewes</w:t>
      </w:r>
      <w:proofErr w:type="spellEnd"/>
      <w:r>
        <w:rPr>
          <w:rFonts w:ascii="Times New Roman" w:hAnsi="Times New Roman"/>
          <w:sz w:val="24"/>
          <w:szCs w:val="24"/>
        </w:rPr>
        <w:t xml:space="preserve"> RW, Moss PT. Fossil biotas from the Okanagan Highlands, southern British Columbia and northeastern Washington State: climates and ecosystems across an Eocene landscape. Can J Earth Sci. 2005; 42: 167–185.</w:t>
      </w:r>
    </w:p>
    <w:p w:rsidR="0022700C" w:rsidRDefault="0022700C" w:rsidP="0022700C">
      <w:pPr>
        <w:pStyle w:val="a3"/>
        <w:numPr>
          <w:ilvl w:val="0"/>
          <w:numId w:val="1"/>
        </w:numPr>
        <w:spacing w:line="480" w:lineRule="auto"/>
        <w:ind w:firstLineChars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Dillhoff</w:t>
      </w:r>
      <w:proofErr w:type="spellEnd"/>
      <w:r>
        <w:rPr>
          <w:rFonts w:ascii="Times New Roman" w:hAnsi="Times New Roman"/>
          <w:sz w:val="24"/>
          <w:szCs w:val="24"/>
        </w:rPr>
        <w:t xml:space="preserve"> RM, </w:t>
      </w:r>
      <w:proofErr w:type="spellStart"/>
      <w:r>
        <w:rPr>
          <w:rFonts w:ascii="Times New Roman" w:hAnsi="Times New Roman"/>
          <w:sz w:val="24"/>
          <w:szCs w:val="24"/>
        </w:rPr>
        <w:t>Dillhoff</w:t>
      </w:r>
      <w:proofErr w:type="spellEnd"/>
      <w:r>
        <w:rPr>
          <w:rFonts w:ascii="Times New Roman" w:hAnsi="Times New Roman"/>
          <w:sz w:val="24"/>
          <w:szCs w:val="24"/>
        </w:rPr>
        <w:t xml:space="preserve"> TA, Greenwood DR, </w:t>
      </w:r>
      <w:proofErr w:type="spellStart"/>
      <w:r>
        <w:rPr>
          <w:rFonts w:ascii="Times New Roman" w:hAnsi="Times New Roman"/>
          <w:sz w:val="24"/>
          <w:szCs w:val="24"/>
        </w:rPr>
        <w:t>DeVore</w:t>
      </w:r>
      <w:proofErr w:type="spellEnd"/>
      <w:r>
        <w:rPr>
          <w:rFonts w:ascii="Times New Roman" w:hAnsi="Times New Roman"/>
          <w:sz w:val="24"/>
          <w:szCs w:val="24"/>
        </w:rPr>
        <w:t xml:space="preserve"> ML, </w:t>
      </w:r>
      <w:proofErr w:type="spellStart"/>
      <w:r>
        <w:rPr>
          <w:rFonts w:ascii="Times New Roman" w:hAnsi="Times New Roman"/>
          <w:sz w:val="24"/>
          <w:szCs w:val="24"/>
        </w:rPr>
        <w:t>Pigg</w:t>
      </w:r>
      <w:proofErr w:type="spellEnd"/>
      <w:r>
        <w:rPr>
          <w:rFonts w:ascii="Times New Roman" w:hAnsi="Times New Roman"/>
          <w:sz w:val="24"/>
          <w:szCs w:val="24"/>
        </w:rPr>
        <w:t xml:space="preserve"> KB. The Eocene Thomas Ranch flora, Allenby Formation, Princeton, British Columbia. Can Botany. 2013; 91: 514–529.</w:t>
      </w:r>
    </w:p>
    <w:p w:rsidR="0022700C" w:rsidRDefault="0022700C" w:rsidP="0022700C">
      <w:pPr>
        <w:pStyle w:val="a3"/>
        <w:numPr>
          <w:ilvl w:val="0"/>
          <w:numId w:val="1"/>
        </w:numPr>
        <w:spacing w:line="480" w:lineRule="auto"/>
        <w:ind w:firstLineChars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Moss PT, Greenwood DR, Archibald SB. Regional and local vegetation community dynamics of the Eocene Okanagan Highlands (British Columbia Washington State) from palynology. Can J Earth Sci. 2005; 42: 187–204.</w:t>
      </w:r>
    </w:p>
    <w:p w:rsidR="0022700C" w:rsidRDefault="0022700C" w:rsidP="0022700C">
      <w:pPr>
        <w:pStyle w:val="a3"/>
        <w:numPr>
          <w:ilvl w:val="0"/>
          <w:numId w:val="1"/>
        </w:numPr>
        <w:spacing w:line="480" w:lineRule="auto"/>
        <w:ind w:firstLineChars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Smith RY, </w:t>
      </w:r>
      <w:proofErr w:type="spellStart"/>
      <w:r>
        <w:rPr>
          <w:rFonts w:ascii="Times New Roman" w:hAnsi="Times New Roman"/>
          <w:sz w:val="24"/>
          <w:szCs w:val="24"/>
        </w:rPr>
        <w:t>Basinger</w:t>
      </w:r>
      <w:proofErr w:type="spellEnd"/>
      <w:r>
        <w:rPr>
          <w:rFonts w:ascii="Times New Roman" w:hAnsi="Times New Roman"/>
          <w:sz w:val="24"/>
          <w:szCs w:val="24"/>
        </w:rPr>
        <w:t xml:space="preserve"> JF, Greenwood DR. Early Eocene plant diversity and dynamics in the Falkland flora, Okanagan Highlands, British Columbia, Canada. </w:t>
      </w:r>
      <w:proofErr w:type="spellStart"/>
      <w:r>
        <w:rPr>
          <w:rFonts w:ascii="Times New Roman" w:hAnsi="Times New Roman"/>
          <w:sz w:val="24"/>
          <w:szCs w:val="24"/>
        </w:rPr>
        <w:t>Palaeobio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Palaeoenv</w:t>
      </w:r>
      <w:proofErr w:type="spellEnd"/>
      <w:r>
        <w:rPr>
          <w:rFonts w:ascii="Times New Roman" w:hAnsi="Times New Roman"/>
          <w:sz w:val="24"/>
          <w:szCs w:val="24"/>
        </w:rPr>
        <w:t>. 2012; 92: 309–328.</w:t>
      </w:r>
    </w:p>
    <w:p w:rsidR="0022700C" w:rsidRDefault="0022700C" w:rsidP="0022700C">
      <w:pPr>
        <w:pStyle w:val="a3"/>
        <w:numPr>
          <w:ilvl w:val="0"/>
          <w:numId w:val="1"/>
        </w:numPr>
        <w:spacing w:line="480" w:lineRule="auto"/>
        <w:ind w:firstLineChars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Mathewes</w:t>
      </w:r>
      <w:proofErr w:type="spellEnd"/>
      <w:r>
        <w:rPr>
          <w:rFonts w:ascii="Times New Roman" w:hAnsi="Times New Roman"/>
          <w:sz w:val="24"/>
          <w:szCs w:val="24"/>
        </w:rPr>
        <w:t xml:space="preserve"> RW, Greenwood DR, Archibald SB. </w:t>
      </w:r>
      <w:proofErr w:type="spellStart"/>
      <w:r>
        <w:rPr>
          <w:rFonts w:ascii="Times New Roman" w:hAnsi="Times New Roman"/>
          <w:sz w:val="24"/>
          <w:szCs w:val="24"/>
        </w:rPr>
        <w:t>Paleoenvironment</w:t>
      </w:r>
      <w:proofErr w:type="spellEnd"/>
      <w:r>
        <w:rPr>
          <w:rFonts w:ascii="Times New Roman" w:hAnsi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/>
          <w:sz w:val="24"/>
          <w:szCs w:val="24"/>
        </w:rPr>
        <w:t>Quilchena</w:t>
      </w:r>
      <w:proofErr w:type="spellEnd"/>
      <w:r>
        <w:rPr>
          <w:rFonts w:ascii="Times New Roman" w:hAnsi="Times New Roman"/>
          <w:sz w:val="24"/>
          <w:szCs w:val="24"/>
        </w:rPr>
        <w:t xml:space="preserve"> flora, British Columbia, during the Early Eocene Climatic Optimum 1. Can J Earth Sci. 2016: 53: 1–17.</w:t>
      </w:r>
    </w:p>
    <w:p w:rsidR="0022700C" w:rsidRDefault="0022700C" w:rsidP="0022700C">
      <w:pPr>
        <w:pStyle w:val="a3"/>
        <w:numPr>
          <w:ilvl w:val="0"/>
          <w:numId w:val="1"/>
        </w:numPr>
        <w:spacing w:line="480" w:lineRule="auto"/>
        <w:ind w:firstLineChars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Moss PT, Smith RY, Greenwood DR. A window into mid-latitudinal Early Eocene environmental variability: a high-resolution </w:t>
      </w:r>
      <w:proofErr w:type="spellStart"/>
      <w:r>
        <w:rPr>
          <w:rFonts w:ascii="Times New Roman" w:hAnsi="Times New Roman"/>
          <w:sz w:val="24"/>
          <w:szCs w:val="24"/>
        </w:rPr>
        <w:t>palynological</w:t>
      </w:r>
      <w:proofErr w:type="spellEnd"/>
      <w:r>
        <w:rPr>
          <w:rFonts w:ascii="Times New Roman" w:hAnsi="Times New Roman"/>
          <w:sz w:val="24"/>
          <w:szCs w:val="24"/>
        </w:rPr>
        <w:t xml:space="preserve"> analysis of the Falkland site, Okanagan Highlands, British Columbia, Canada 1. Can J Earth Sci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2016; 53: 1–9.</w:t>
      </w:r>
    </w:p>
    <w:p w:rsidR="0022700C" w:rsidRDefault="0022700C" w:rsidP="0022700C">
      <w:pPr>
        <w:pStyle w:val="a3"/>
        <w:numPr>
          <w:ilvl w:val="0"/>
          <w:numId w:val="1"/>
        </w:numPr>
        <w:spacing w:line="480" w:lineRule="auto"/>
        <w:ind w:firstLineChars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Akhmetiev</w:t>
      </w:r>
      <w:proofErr w:type="spellEnd"/>
      <w:r>
        <w:rPr>
          <w:rFonts w:ascii="Times New Roman" w:hAnsi="Times New Roman"/>
          <w:sz w:val="24"/>
          <w:szCs w:val="24"/>
        </w:rPr>
        <w:t xml:space="preserve"> M, Walther H, </w:t>
      </w:r>
      <w:proofErr w:type="spellStart"/>
      <w:r>
        <w:rPr>
          <w:rFonts w:ascii="Times New Roman" w:hAnsi="Times New Roman"/>
          <w:sz w:val="24"/>
          <w:szCs w:val="24"/>
        </w:rPr>
        <w:t>Kvaček</w:t>
      </w:r>
      <w:proofErr w:type="spellEnd"/>
      <w:r>
        <w:rPr>
          <w:rFonts w:ascii="Times New Roman" w:hAnsi="Times New Roman"/>
          <w:sz w:val="24"/>
          <w:szCs w:val="24"/>
        </w:rPr>
        <w:t xml:space="preserve"> Z. Mid-latitude </w:t>
      </w:r>
      <w:proofErr w:type="spellStart"/>
      <w:r>
        <w:rPr>
          <w:rFonts w:ascii="Times New Roman" w:hAnsi="Times New Roman"/>
          <w:sz w:val="24"/>
          <w:szCs w:val="24"/>
        </w:rPr>
        <w:t>Palaeogene</w:t>
      </w:r>
      <w:proofErr w:type="spellEnd"/>
      <w:r>
        <w:rPr>
          <w:rFonts w:ascii="Times New Roman" w:hAnsi="Times New Roman"/>
          <w:sz w:val="24"/>
          <w:szCs w:val="24"/>
        </w:rPr>
        <w:t xml:space="preserve"> floras of Eurasia bound to volcanic settings and </w:t>
      </w:r>
      <w:proofErr w:type="spellStart"/>
      <w:r>
        <w:rPr>
          <w:rFonts w:ascii="Times New Roman" w:hAnsi="Times New Roman"/>
          <w:sz w:val="24"/>
          <w:szCs w:val="24"/>
        </w:rPr>
        <w:t>palaeoclimatic</w:t>
      </w:r>
      <w:proofErr w:type="spellEnd"/>
      <w:r>
        <w:rPr>
          <w:rFonts w:ascii="Times New Roman" w:hAnsi="Times New Roman"/>
          <w:sz w:val="24"/>
          <w:szCs w:val="24"/>
        </w:rPr>
        <w:t xml:space="preserve"> events-experience obtained from the Far East of Russia (</w:t>
      </w:r>
      <w:proofErr w:type="spellStart"/>
      <w:r>
        <w:rPr>
          <w:rFonts w:ascii="Times New Roman" w:hAnsi="Times New Roman"/>
          <w:sz w:val="24"/>
          <w:szCs w:val="24"/>
        </w:rPr>
        <w:t>Sikhote-Alin</w:t>
      </w:r>
      <w:proofErr w:type="spellEnd"/>
      <w:r>
        <w:rPr>
          <w:rFonts w:ascii="Times New Roman" w:hAnsi="Times New Roman"/>
          <w:sz w:val="24"/>
          <w:szCs w:val="24"/>
        </w:rPr>
        <w:t xml:space="preserve">’) and Central Europe (Bohemian Massif). </w:t>
      </w:r>
      <w:proofErr w:type="spellStart"/>
      <w:r>
        <w:rPr>
          <w:rFonts w:ascii="Times New Roman" w:hAnsi="Times New Roman"/>
          <w:sz w:val="24"/>
          <w:szCs w:val="24"/>
        </w:rPr>
        <w:t>Acta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Mus</w:t>
      </w:r>
      <w:proofErr w:type="spellEnd"/>
      <w:r>
        <w:rPr>
          <w:rFonts w:ascii="Times New Roman" w:hAnsi="Times New Roman"/>
          <w:sz w:val="24"/>
          <w:szCs w:val="24"/>
        </w:rPr>
        <w:t xml:space="preserve"> Nat </w:t>
      </w:r>
      <w:proofErr w:type="spellStart"/>
      <w:r>
        <w:rPr>
          <w:rFonts w:ascii="Times New Roman" w:hAnsi="Times New Roman"/>
          <w:sz w:val="24"/>
          <w:szCs w:val="24"/>
        </w:rPr>
        <w:t>Pragae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</w:t>
      </w:r>
      <w:proofErr w:type="spellEnd"/>
      <w:r>
        <w:rPr>
          <w:rFonts w:ascii="Times New Roman" w:hAnsi="Times New Roman"/>
          <w:sz w:val="24"/>
          <w:szCs w:val="24"/>
        </w:rPr>
        <w:t xml:space="preserve"> B, </w:t>
      </w:r>
      <w:proofErr w:type="spellStart"/>
      <w:r>
        <w:rPr>
          <w:rFonts w:ascii="Times New Roman" w:hAnsi="Times New Roman"/>
          <w:sz w:val="24"/>
          <w:szCs w:val="24"/>
        </w:rPr>
        <w:t>Hist</w:t>
      </w:r>
      <w:proofErr w:type="spellEnd"/>
      <w:r>
        <w:rPr>
          <w:rFonts w:ascii="Times New Roman" w:hAnsi="Times New Roman"/>
          <w:sz w:val="24"/>
          <w:szCs w:val="24"/>
        </w:rPr>
        <w:t xml:space="preserve"> Nat. 2009; 65: 61–129.</w:t>
      </w:r>
    </w:p>
    <w:p w:rsidR="0022700C" w:rsidRDefault="0022700C" w:rsidP="0022700C">
      <w:pPr>
        <w:pStyle w:val="a3"/>
        <w:numPr>
          <w:ilvl w:val="0"/>
          <w:numId w:val="1"/>
        </w:numPr>
        <w:spacing w:line="480" w:lineRule="auto"/>
        <w:ind w:firstLineChars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Jiang DX, Robbins EI. Quaternary </w:t>
      </w:r>
      <w:proofErr w:type="spellStart"/>
      <w:r>
        <w:rPr>
          <w:rFonts w:ascii="Times New Roman" w:hAnsi="Times New Roman"/>
          <w:sz w:val="24"/>
          <w:szCs w:val="24"/>
        </w:rPr>
        <w:t>palynofloras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paleoclimate</w:t>
      </w:r>
      <w:proofErr w:type="spellEnd"/>
      <w:r>
        <w:rPr>
          <w:rFonts w:ascii="Times New Roman" w:hAnsi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/>
          <w:sz w:val="24"/>
          <w:szCs w:val="24"/>
        </w:rPr>
        <w:t>Qaidam</w:t>
      </w:r>
      <w:proofErr w:type="spellEnd"/>
      <w:r>
        <w:rPr>
          <w:rFonts w:ascii="Times New Roman" w:hAnsi="Times New Roman"/>
          <w:sz w:val="24"/>
          <w:szCs w:val="24"/>
        </w:rPr>
        <w:t xml:space="preserve"> Basin, Qinghai Province, northwestern China. Palynology 2000; 24: 95–112.</w:t>
      </w:r>
    </w:p>
    <w:p w:rsidR="0022700C" w:rsidRDefault="0022700C" w:rsidP="0022700C">
      <w:pPr>
        <w:pStyle w:val="a3"/>
        <w:numPr>
          <w:ilvl w:val="0"/>
          <w:numId w:val="1"/>
        </w:numPr>
        <w:spacing w:line="480" w:lineRule="auto"/>
        <w:ind w:firstLineChars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Atsushi Y. Plant </w:t>
      </w:r>
      <w:proofErr w:type="spellStart"/>
      <w:r>
        <w:rPr>
          <w:rFonts w:ascii="Times New Roman" w:hAnsi="Times New Roman"/>
          <w:sz w:val="24"/>
          <w:szCs w:val="24"/>
        </w:rPr>
        <w:t>megafossil</w:t>
      </w:r>
      <w:proofErr w:type="spellEnd"/>
      <w:r>
        <w:rPr>
          <w:rFonts w:ascii="Times New Roman" w:hAnsi="Times New Roman"/>
          <w:sz w:val="24"/>
          <w:szCs w:val="24"/>
        </w:rPr>
        <w:t xml:space="preserve"> assemblage from the Lower Miocene Ito-o Formation, Fukui Prefecture, Central Japan. </w:t>
      </w:r>
      <w:proofErr w:type="spellStart"/>
      <w:r>
        <w:rPr>
          <w:rFonts w:ascii="Times New Roman" w:hAnsi="Times New Roman"/>
          <w:sz w:val="24"/>
          <w:szCs w:val="24"/>
        </w:rPr>
        <w:t>Mem</w:t>
      </w:r>
      <w:proofErr w:type="spellEnd"/>
      <w:r>
        <w:rPr>
          <w:rFonts w:ascii="Times New Roman" w:hAnsi="Times New Roman"/>
          <w:sz w:val="24"/>
          <w:szCs w:val="24"/>
        </w:rPr>
        <w:t xml:space="preserve"> Fukui Prefect Dinosaur Mus. 2008: 7: 1–24. </w:t>
      </w:r>
    </w:p>
    <w:p w:rsidR="0022700C" w:rsidRDefault="0022700C" w:rsidP="0022700C">
      <w:pPr>
        <w:pStyle w:val="a3"/>
        <w:numPr>
          <w:ilvl w:val="0"/>
          <w:numId w:val="1"/>
        </w:numPr>
        <w:spacing w:line="480" w:lineRule="auto"/>
        <w:ind w:firstLineChars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Volynets</w:t>
      </w:r>
      <w:proofErr w:type="spellEnd"/>
      <w:r>
        <w:rPr>
          <w:rFonts w:ascii="Times New Roman" w:hAnsi="Times New Roman"/>
          <w:sz w:val="24"/>
          <w:szCs w:val="24"/>
        </w:rPr>
        <w:t xml:space="preserve"> E. The </w:t>
      </w:r>
      <w:proofErr w:type="spellStart"/>
      <w:r>
        <w:rPr>
          <w:rFonts w:ascii="Times New Roman" w:hAnsi="Times New Roman"/>
          <w:sz w:val="24"/>
          <w:szCs w:val="24"/>
        </w:rPr>
        <w:t>Aptian</w:t>
      </w:r>
      <w:proofErr w:type="spellEnd"/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Cenomanian</w:t>
      </w:r>
      <w:proofErr w:type="spellEnd"/>
      <w:r>
        <w:rPr>
          <w:rFonts w:ascii="Times New Roman" w:hAnsi="Times New Roman"/>
          <w:sz w:val="24"/>
          <w:szCs w:val="24"/>
        </w:rPr>
        <w:t xml:space="preserve"> flora of </w:t>
      </w:r>
      <w:proofErr w:type="spellStart"/>
      <w:r>
        <w:rPr>
          <w:rFonts w:ascii="Times New Roman" w:hAnsi="Times New Roman"/>
          <w:sz w:val="24"/>
          <w:szCs w:val="24"/>
        </w:rPr>
        <w:t>Primor’e</w:t>
      </w:r>
      <w:proofErr w:type="spellEnd"/>
      <w:r>
        <w:rPr>
          <w:rFonts w:ascii="Times New Roman" w:hAnsi="Times New Roman"/>
          <w:sz w:val="24"/>
          <w:szCs w:val="24"/>
        </w:rPr>
        <w:t xml:space="preserve">, Part 1: floral assemblages. </w:t>
      </w:r>
      <w:proofErr w:type="spellStart"/>
      <w:r>
        <w:rPr>
          <w:rFonts w:ascii="Times New Roman" w:hAnsi="Times New Roman"/>
          <w:sz w:val="24"/>
          <w:szCs w:val="24"/>
        </w:rPr>
        <w:t>Stratigr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Geol</w:t>
      </w:r>
      <w:proofErr w:type="spellEnd"/>
      <w:r>
        <w:rPr>
          <w:rFonts w:ascii="Times New Roman" w:hAnsi="Times New Roman"/>
          <w:sz w:val="24"/>
          <w:szCs w:val="24"/>
        </w:rPr>
        <w:t xml:space="preserve"> Correl. 2005; 13: 613–631.</w:t>
      </w:r>
    </w:p>
    <w:p w:rsidR="0022700C" w:rsidRDefault="0022700C" w:rsidP="0022700C">
      <w:pPr>
        <w:pStyle w:val="a3"/>
        <w:numPr>
          <w:ilvl w:val="0"/>
          <w:numId w:val="1"/>
        </w:numPr>
        <w:spacing w:line="480" w:lineRule="auto"/>
        <w:ind w:firstLineChars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Volynets</w:t>
      </w:r>
      <w:proofErr w:type="spellEnd"/>
      <w:r>
        <w:rPr>
          <w:rFonts w:ascii="Times New Roman" w:hAnsi="Times New Roman"/>
          <w:sz w:val="24"/>
          <w:szCs w:val="24"/>
        </w:rPr>
        <w:t xml:space="preserve"> E. Cretaceous deposits and flora of the </w:t>
      </w:r>
      <w:proofErr w:type="spellStart"/>
      <w:r>
        <w:rPr>
          <w:rFonts w:ascii="Times New Roman" w:hAnsi="Times New Roman"/>
          <w:sz w:val="24"/>
          <w:szCs w:val="24"/>
        </w:rPr>
        <w:t>Muravyov-Amurskii</w:t>
      </w:r>
      <w:proofErr w:type="spellEnd"/>
      <w:r>
        <w:rPr>
          <w:rFonts w:ascii="Times New Roman" w:hAnsi="Times New Roman"/>
          <w:sz w:val="24"/>
          <w:szCs w:val="24"/>
        </w:rPr>
        <w:t xml:space="preserve"> Peninsula </w:t>
      </w:r>
      <w:r>
        <w:rPr>
          <w:rFonts w:ascii="Times New Roman" w:hAnsi="Times New Roman"/>
          <w:sz w:val="24"/>
          <w:szCs w:val="24"/>
        </w:rPr>
        <w:lastRenderedPageBreak/>
        <w:t xml:space="preserve">(Amur Bay, Sea of Japan). </w:t>
      </w:r>
      <w:proofErr w:type="spellStart"/>
      <w:r>
        <w:rPr>
          <w:rFonts w:ascii="Times New Roman" w:hAnsi="Times New Roman"/>
          <w:sz w:val="24"/>
          <w:szCs w:val="24"/>
        </w:rPr>
        <w:t>Stratigr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Geol</w:t>
      </w:r>
      <w:proofErr w:type="spellEnd"/>
      <w:r>
        <w:rPr>
          <w:rFonts w:ascii="Times New Roman" w:hAnsi="Times New Roman"/>
          <w:sz w:val="24"/>
          <w:szCs w:val="24"/>
        </w:rPr>
        <w:t xml:space="preserve"> Correl. 2015; 23: 281–299.</w:t>
      </w:r>
    </w:p>
    <w:p w:rsidR="0022700C" w:rsidRDefault="0022700C" w:rsidP="0022700C">
      <w:pPr>
        <w:pStyle w:val="a3"/>
        <w:numPr>
          <w:ilvl w:val="0"/>
          <w:numId w:val="1"/>
        </w:numPr>
        <w:spacing w:line="480" w:lineRule="auto"/>
        <w:ind w:firstLineChars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Moiseeva</w:t>
      </w:r>
      <w:proofErr w:type="spellEnd"/>
      <w:r>
        <w:rPr>
          <w:rFonts w:ascii="Times New Roman" w:hAnsi="Times New Roman"/>
          <w:sz w:val="24"/>
          <w:szCs w:val="24"/>
        </w:rPr>
        <w:t xml:space="preserve"> M, </w:t>
      </w:r>
      <w:proofErr w:type="spellStart"/>
      <w:r>
        <w:rPr>
          <w:rFonts w:ascii="Times New Roman" w:hAnsi="Times New Roman"/>
          <w:sz w:val="24"/>
          <w:szCs w:val="24"/>
        </w:rPr>
        <w:t>Sokolova</w:t>
      </w:r>
      <w:proofErr w:type="spellEnd"/>
      <w:r>
        <w:rPr>
          <w:rFonts w:ascii="Times New Roman" w:hAnsi="Times New Roman"/>
          <w:sz w:val="24"/>
          <w:szCs w:val="24"/>
        </w:rPr>
        <w:t xml:space="preserve"> A. New data on the composition and age of the </w:t>
      </w:r>
      <w:proofErr w:type="spellStart"/>
      <w:r>
        <w:rPr>
          <w:rFonts w:ascii="Times New Roman" w:hAnsi="Times New Roman"/>
          <w:sz w:val="24"/>
          <w:szCs w:val="24"/>
        </w:rPr>
        <w:t>Ust</w:t>
      </w:r>
      <w:proofErr w:type="spellEnd"/>
      <w:r>
        <w:rPr>
          <w:rFonts w:ascii="Times New Roman" w:hAnsi="Times New Roman"/>
          <w:sz w:val="24"/>
          <w:szCs w:val="24"/>
        </w:rPr>
        <w:t>’-</w:t>
      </w:r>
      <w:proofErr w:type="spellStart"/>
      <w:r>
        <w:rPr>
          <w:rFonts w:ascii="Times New Roman" w:hAnsi="Times New Roman"/>
          <w:sz w:val="24"/>
          <w:szCs w:val="24"/>
        </w:rPr>
        <w:t>Emuneret</w:t>
      </w:r>
      <w:proofErr w:type="spellEnd"/>
      <w:r>
        <w:rPr>
          <w:rFonts w:ascii="Times New Roman" w:hAnsi="Times New Roman"/>
          <w:sz w:val="24"/>
          <w:szCs w:val="24"/>
        </w:rPr>
        <w:t xml:space="preserve"> flora from the </w:t>
      </w:r>
      <w:proofErr w:type="spellStart"/>
      <w:r>
        <w:rPr>
          <w:rFonts w:ascii="Times New Roman" w:hAnsi="Times New Roman"/>
          <w:sz w:val="24"/>
          <w:szCs w:val="24"/>
        </w:rPr>
        <w:t>Enmyvaam</w:t>
      </w:r>
      <w:proofErr w:type="spellEnd"/>
      <w:r>
        <w:rPr>
          <w:rFonts w:ascii="Times New Roman" w:hAnsi="Times New Roman"/>
          <w:sz w:val="24"/>
          <w:szCs w:val="24"/>
        </w:rPr>
        <w:t xml:space="preserve"> River basin (Central Chukotka). </w:t>
      </w:r>
      <w:proofErr w:type="spellStart"/>
      <w:r>
        <w:rPr>
          <w:rFonts w:ascii="Times New Roman" w:hAnsi="Times New Roman"/>
          <w:sz w:val="24"/>
          <w:szCs w:val="24"/>
        </w:rPr>
        <w:t>Stratigr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Geol</w:t>
      </w:r>
      <w:proofErr w:type="spellEnd"/>
      <w:r>
        <w:rPr>
          <w:rFonts w:ascii="Times New Roman" w:hAnsi="Times New Roman"/>
          <w:sz w:val="24"/>
          <w:szCs w:val="24"/>
        </w:rPr>
        <w:t xml:space="preserve"> Correl. 2014; 22: 269–286.</w:t>
      </w:r>
    </w:p>
    <w:p w:rsidR="0022700C" w:rsidRDefault="0022700C" w:rsidP="0022700C">
      <w:pPr>
        <w:pStyle w:val="a3"/>
        <w:numPr>
          <w:ilvl w:val="0"/>
          <w:numId w:val="1"/>
        </w:numPr>
        <w:spacing w:line="480" w:lineRule="auto"/>
        <w:ind w:firstLineChars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Richter SL, </w:t>
      </w:r>
      <w:proofErr w:type="spellStart"/>
      <w:r>
        <w:rPr>
          <w:rFonts w:ascii="Times New Roman" w:hAnsi="Times New Roman"/>
          <w:sz w:val="24"/>
          <w:szCs w:val="24"/>
        </w:rPr>
        <w:t>LePage</w:t>
      </w:r>
      <w:proofErr w:type="spellEnd"/>
      <w:r>
        <w:rPr>
          <w:rFonts w:ascii="Times New Roman" w:hAnsi="Times New Roman"/>
          <w:sz w:val="24"/>
          <w:szCs w:val="24"/>
        </w:rPr>
        <w:t xml:space="preserve"> BA. A high-resolution </w:t>
      </w:r>
      <w:proofErr w:type="spellStart"/>
      <w:r>
        <w:rPr>
          <w:rFonts w:ascii="Times New Roman" w:hAnsi="Times New Roman"/>
          <w:sz w:val="24"/>
          <w:szCs w:val="24"/>
        </w:rPr>
        <w:t>palynological</w:t>
      </w:r>
      <w:proofErr w:type="spellEnd"/>
      <w:r>
        <w:rPr>
          <w:rFonts w:ascii="Times New Roman" w:hAnsi="Times New Roman"/>
          <w:sz w:val="24"/>
          <w:szCs w:val="24"/>
        </w:rPr>
        <w:t xml:space="preserve"> analysis, Axel Heiberg Island, Canadian High Arctic. In: </w:t>
      </w:r>
      <w:proofErr w:type="spellStart"/>
      <w:r>
        <w:rPr>
          <w:rFonts w:ascii="Times New Roman" w:hAnsi="Times New Roman"/>
          <w:sz w:val="24"/>
          <w:szCs w:val="24"/>
        </w:rPr>
        <w:t>LePage</w:t>
      </w:r>
      <w:proofErr w:type="spellEnd"/>
      <w:r>
        <w:rPr>
          <w:rFonts w:ascii="Times New Roman" w:hAnsi="Times New Roman"/>
          <w:sz w:val="24"/>
          <w:szCs w:val="24"/>
        </w:rPr>
        <w:t xml:space="preserve"> BA, Williams CJ, Yang H, editors. The </w:t>
      </w:r>
      <w:proofErr w:type="spellStart"/>
      <w:r>
        <w:rPr>
          <w:rFonts w:ascii="Times New Roman" w:hAnsi="Times New Roman"/>
          <w:sz w:val="24"/>
          <w:szCs w:val="24"/>
        </w:rPr>
        <w:t>Geobiology</w:t>
      </w:r>
      <w:proofErr w:type="spellEnd"/>
      <w:r>
        <w:rPr>
          <w:rFonts w:ascii="Times New Roman" w:hAnsi="Times New Roman"/>
          <w:sz w:val="24"/>
          <w:szCs w:val="24"/>
        </w:rPr>
        <w:t xml:space="preserve"> and Ecology of </w:t>
      </w:r>
      <w:proofErr w:type="spellStart"/>
      <w:r>
        <w:rPr>
          <w:rFonts w:ascii="Times New Roman" w:hAnsi="Times New Roman"/>
          <w:i/>
          <w:sz w:val="24"/>
          <w:szCs w:val="24"/>
        </w:rPr>
        <w:t>Metasequoia</w:t>
      </w:r>
      <w:proofErr w:type="spellEnd"/>
      <w:r>
        <w:rPr>
          <w:rFonts w:ascii="Times New Roman" w:hAnsi="Times New Roman"/>
          <w:sz w:val="24"/>
          <w:szCs w:val="24"/>
        </w:rPr>
        <w:t>. Berlin: Springer; 2005. pp. 137–158.</w:t>
      </w:r>
    </w:p>
    <w:p w:rsidR="0022700C" w:rsidRDefault="0022700C" w:rsidP="0022700C">
      <w:pPr>
        <w:pStyle w:val="a3"/>
        <w:numPr>
          <w:ilvl w:val="0"/>
          <w:numId w:val="1"/>
        </w:numPr>
        <w:spacing w:line="480" w:lineRule="auto"/>
        <w:ind w:firstLineChars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Fischer TC, </w:t>
      </w:r>
      <w:proofErr w:type="spellStart"/>
      <w:r>
        <w:rPr>
          <w:rFonts w:ascii="Times New Roman" w:hAnsi="Times New Roman"/>
          <w:sz w:val="24"/>
          <w:szCs w:val="24"/>
        </w:rPr>
        <w:t>Butzmann</w:t>
      </w:r>
      <w:proofErr w:type="spellEnd"/>
      <w:r>
        <w:rPr>
          <w:rFonts w:ascii="Times New Roman" w:hAnsi="Times New Roman"/>
          <w:sz w:val="24"/>
          <w:szCs w:val="24"/>
        </w:rPr>
        <w:t xml:space="preserve"> R. The Pliocene macro-and </w:t>
      </w:r>
      <w:proofErr w:type="spellStart"/>
      <w:r>
        <w:rPr>
          <w:rFonts w:ascii="Times New Roman" w:hAnsi="Times New Roman"/>
          <w:sz w:val="24"/>
          <w:szCs w:val="24"/>
        </w:rPr>
        <w:t>microflora</w:t>
      </w:r>
      <w:proofErr w:type="spellEnd"/>
      <w:r>
        <w:rPr>
          <w:rFonts w:ascii="Times New Roman" w:hAnsi="Times New Roman"/>
          <w:sz w:val="24"/>
          <w:szCs w:val="24"/>
        </w:rPr>
        <w:t xml:space="preserve"> of lacustrine </w:t>
      </w:r>
      <w:proofErr w:type="gramStart"/>
      <w:r>
        <w:rPr>
          <w:rFonts w:ascii="Times New Roman" w:hAnsi="Times New Roman"/>
          <w:sz w:val="24"/>
          <w:szCs w:val="24"/>
        </w:rPr>
        <w:t>sediments</w:t>
      </w:r>
      <w:proofErr w:type="gramEnd"/>
      <w:r>
        <w:rPr>
          <w:rFonts w:ascii="Times New Roman" w:hAnsi="Times New Roman"/>
          <w:sz w:val="24"/>
          <w:szCs w:val="24"/>
        </w:rPr>
        <w:t xml:space="preserve"> from </w:t>
      </w:r>
      <w:proofErr w:type="spellStart"/>
      <w:r>
        <w:rPr>
          <w:rFonts w:ascii="Times New Roman" w:hAnsi="Times New Roman"/>
          <w:sz w:val="24"/>
          <w:szCs w:val="24"/>
        </w:rPr>
        <w:t>Meleto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Valdarno</w:t>
      </w:r>
      <w:proofErr w:type="spellEnd"/>
      <w:r>
        <w:rPr>
          <w:rFonts w:ascii="Times New Roman" w:hAnsi="Times New Roman"/>
          <w:sz w:val="24"/>
          <w:szCs w:val="24"/>
        </w:rPr>
        <w:t xml:space="preserve">, N. Italy) and its ecological, </w:t>
      </w:r>
      <w:proofErr w:type="spellStart"/>
      <w:r>
        <w:rPr>
          <w:rFonts w:ascii="Times New Roman" w:hAnsi="Times New Roman"/>
          <w:sz w:val="24"/>
          <w:szCs w:val="24"/>
        </w:rPr>
        <w:t>palaeobiogeographical</w:t>
      </w:r>
      <w:proofErr w:type="spellEnd"/>
      <w:r>
        <w:rPr>
          <w:rFonts w:ascii="Times New Roman" w:hAnsi="Times New Roman"/>
          <w:sz w:val="24"/>
          <w:szCs w:val="24"/>
        </w:rPr>
        <w:t xml:space="preserve"> and climatic interpretation. </w:t>
      </w:r>
      <w:proofErr w:type="spellStart"/>
      <w:r>
        <w:rPr>
          <w:rFonts w:ascii="Times New Roman" w:hAnsi="Times New Roman"/>
          <w:sz w:val="24"/>
          <w:szCs w:val="24"/>
        </w:rPr>
        <w:t>Cainozoic</w:t>
      </w:r>
      <w:proofErr w:type="spellEnd"/>
      <w:r>
        <w:rPr>
          <w:rFonts w:ascii="Times New Roman" w:hAnsi="Times New Roman"/>
          <w:sz w:val="24"/>
          <w:szCs w:val="24"/>
        </w:rPr>
        <w:t xml:space="preserve"> Res. 2006; 5: 71–88.</w:t>
      </w:r>
    </w:p>
    <w:p w:rsidR="0022700C" w:rsidRDefault="0022700C" w:rsidP="0022700C">
      <w:pPr>
        <w:pStyle w:val="a3"/>
        <w:numPr>
          <w:ilvl w:val="0"/>
          <w:numId w:val="1"/>
        </w:numPr>
        <w:spacing w:line="480" w:lineRule="auto"/>
        <w:ind w:firstLineChars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Paik IS, Kim HJ, Kim K, </w:t>
      </w:r>
      <w:proofErr w:type="spellStart"/>
      <w:r>
        <w:rPr>
          <w:rFonts w:ascii="Times New Roman" w:hAnsi="Times New Roman"/>
          <w:sz w:val="24"/>
          <w:szCs w:val="24"/>
        </w:rPr>
        <w:t>Jeong</w:t>
      </w:r>
      <w:proofErr w:type="spellEnd"/>
      <w:r>
        <w:rPr>
          <w:rFonts w:ascii="Times New Roman" w:hAnsi="Times New Roman"/>
          <w:sz w:val="24"/>
          <w:szCs w:val="24"/>
        </w:rPr>
        <w:t xml:space="preserve"> EK, Kang HC, </w:t>
      </w:r>
      <w:proofErr w:type="spellStart"/>
      <w:r>
        <w:rPr>
          <w:rFonts w:ascii="Times New Roman" w:hAnsi="Times New Roman"/>
          <w:sz w:val="24"/>
          <w:szCs w:val="24"/>
        </w:rPr>
        <w:t>Leea</w:t>
      </w:r>
      <w:proofErr w:type="spellEnd"/>
      <w:r>
        <w:rPr>
          <w:rFonts w:ascii="Times New Roman" w:hAnsi="Times New Roman"/>
          <w:sz w:val="24"/>
          <w:szCs w:val="24"/>
        </w:rPr>
        <w:t xml:space="preserve"> HI, et al. Leaf beds in the Early Miocene lacustrine deposits of the </w:t>
      </w:r>
      <w:proofErr w:type="spellStart"/>
      <w:r>
        <w:rPr>
          <w:rFonts w:ascii="Times New Roman" w:hAnsi="Times New Roman"/>
          <w:sz w:val="24"/>
          <w:szCs w:val="24"/>
        </w:rPr>
        <w:t>Geumgwangdong</w:t>
      </w:r>
      <w:proofErr w:type="spellEnd"/>
      <w:r>
        <w:rPr>
          <w:rFonts w:ascii="Times New Roman" w:hAnsi="Times New Roman"/>
          <w:sz w:val="24"/>
          <w:szCs w:val="24"/>
        </w:rPr>
        <w:t xml:space="preserve"> Formation, Korea: Occurrence, plant-insect interaction records, </w:t>
      </w:r>
      <w:proofErr w:type="spellStart"/>
      <w:r>
        <w:rPr>
          <w:rFonts w:ascii="Times New Roman" w:hAnsi="Times New Roman"/>
          <w:sz w:val="24"/>
          <w:szCs w:val="24"/>
        </w:rPr>
        <w:t>taphonomy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palaeoenvironmental</w:t>
      </w:r>
      <w:proofErr w:type="spellEnd"/>
      <w:r>
        <w:rPr>
          <w:rFonts w:ascii="Times New Roman" w:hAnsi="Times New Roman"/>
          <w:sz w:val="24"/>
          <w:szCs w:val="24"/>
        </w:rPr>
        <w:t xml:space="preserve"> implications. Rev </w:t>
      </w:r>
      <w:proofErr w:type="spellStart"/>
      <w:r>
        <w:rPr>
          <w:rFonts w:ascii="Times New Roman" w:hAnsi="Times New Roman"/>
          <w:sz w:val="24"/>
          <w:szCs w:val="24"/>
        </w:rPr>
        <w:t>Palaeobot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Palyno</w:t>
      </w:r>
      <w:proofErr w:type="spellEnd"/>
      <w:r>
        <w:rPr>
          <w:rFonts w:ascii="Times New Roman" w:hAnsi="Times New Roman"/>
          <w:sz w:val="24"/>
          <w:szCs w:val="24"/>
        </w:rPr>
        <w:t>. 2012; 170: 1–14.</w:t>
      </w:r>
    </w:p>
    <w:p w:rsidR="0022700C" w:rsidRDefault="0022700C" w:rsidP="0022700C">
      <w:pPr>
        <w:pStyle w:val="EndNoteBibliography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 HM. Neogene floras from eastern Zhejiang, China. In: Whyte RO, editor. The evolution of the East Asian environment Vol II palaeobotany, palaeozoology and palaeoanthropology. Hong Kong: University of Hong Kong; 1984. pp. 461–466.</w:t>
      </w:r>
    </w:p>
    <w:p w:rsidR="0022700C" w:rsidRDefault="0022700C" w:rsidP="0022700C">
      <w:pPr>
        <w:pStyle w:val="EndNoteBibliography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 HM, Guo SX. Spermatophyte. In: Nanjing Institute of Geology and Mineral Resources, editor. Atlas of paleontology in East China (III) Mesozoic and Cenozoic. Beijing: Geology Publishing House; 1982. pp. 280–316.</w:t>
      </w:r>
    </w:p>
    <w:p w:rsidR="002E26F5" w:rsidRDefault="002E26F5">
      <w:pPr>
        <w:rPr>
          <w:rFonts w:hint="eastAsia"/>
        </w:rPr>
      </w:pPr>
    </w:p>
    <w:sectPr w:rsidR="002E26F5" w:rsidSect="0022700C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5B2" w:rsidRDefault="001E15B2" w:rsidP="0022700C">
      <w:r>
        <w:separator/>
      </w:r>
    </w:p>
  </w:endnote>
  <w:endnote w:type="continuationSeparator" w:id="0">
    <w:p w:rsidR="001E15B2" w:rsidRDefault="001E15B2" w:rsidP="0022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650438"/>
      <w:docPartObj>
        <w:docPartGallery w:val="Page Numbers (Bottom of Page)"/>
        <w:docPartUnique/>
      </w:docPartObj>
    </w:sdtPr>
    <w:sdtContent>
      <w:p w:rsidR="0022700C" w:rsidRDefault="0022700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700C">
          <w:rPr>
            <w:noProof/>
            <w:lang w:val="zh-CN"/>
          </w:rPr>
          <w:t>3</w:t>
        </w:r>
        <w:r>
          <w:fldChar w:fldCharType="end"/>
        </w:r>
      </w:p>
    </w:sdtContent>
  </w:sdt>
  <w:p w:rsidR="0022700C" w:rsidRDefault="002270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5B2" w:rsidRDefault="001E15B2" w:rsidP="0022700C">
      <w:r>
        <w:separator/>
      </w:r>
    </w:p>
  </w:footnote>
  <w:footnote w:type="continuationSeparator" w:id="0">
    <w:p w:rsidR="001E15B2" w:rsidRDefault="001E15B2" w:rsidP="00227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9229C"/>
    <w:multiLevelType w:val="hybridMultilevel"/>
    <w:tmpl w:val="A678E5BA"/>
    <w:lvl w:ilvl="0" w:tplc="C60AE21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31"/>
    <w:rsid w:val="001E15B2"/>
    <w:rsid w:val="0022700C"/>
    <w:rsid w:val="002E26F5"/>
    <w:rsid w:val="003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256ADC-1A51-4D19-932B-01C3CB5E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0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22700C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2700C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22700C"/>
    <w:pPr>
      <w:ind w:firstLineChars="200" w:firstLine="420"/>
    </w:pPr>
  </w:style>
  <w:style w:type="character" w:customStyle="1" w:styleId="EndNoteBibliographyChar">
    <w:name w:val="EndNote Bibliography Char"/>
    <w:link w:val="EndNoteBibliography"/>
    <w:locked/>
    <w:rsid w:val="0022700C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Char"/>
    <w:rsid w:val="0022700C"/>
    <w:pPr>
      <w:jc w:val="left"/>
    </w:pPr>
    <w:rPr>
      <w:rFonts w:eastAsiaTheme="minorEastAsia" w:cs="Calibri"/>
      <w:noProof/>
    </w:rPr>
  </w:style>
  <w:style w:type="character" w:styleId="a4">
    <w:name w:val="line number"/>
    <w:basedOn w:val="a0"/>
    <w:uiPriority w:val="99"/>
    <w:semiHidden/>
    <w:unhideWhenUsed/>
    <w:rsid w:val="0022700C"/>
  </w:style>
  <w:style w:type="paragraph" w:styleId="a5">
    <w:name w:val="header"/>
    <w:basedOn w:val="a"/>
    <w:link w:val="Char"/>
    <w:uiPriority w:val="99"/>
    <w:unhideWhenUsed/>
    <w:rsid w:val="00227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2700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27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2700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4834</Characters>
  <Application>Microsoft Office Word</Application>
  <DocSecurity>0</DocSecurity>
  <Lines>40</Lines>
  <Paragraphs>11</Paragraphs>
  <ScaleCrop>false</ScaleCrop>
  <Company>Microsoft</Company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2017-04-29T04:43:00Z</dcterms:created>
  <dcterms:modified xsi:type="dcterms:W3CDTF">2017-04-29T04:44:00Z</dcterms:modified>
</cp:coreProperties>
</file>