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904" w:rsidRDefault="005D23B6" w:rsidP="005D23B6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Additional file 1</w:t>
      </w:r>
    </w:p>
    <w:p w:rsidR="00AF6904" w:rsidRDefault="001D745E" w:rsidP="001D745E">
      <w:pPr>
        <w:pStyle w:val="NoSpacing"/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val="en-US"/>
        </w:rPr>
        <w:drawing>
          <wp:inline distT="0" distB="0" distL="0" distR="0">
            <wp:extent cx="5731510" cy="2520382"/>
            <wp:effectExtent l="0" t="0" r="2540" b="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033"/>
                    <a:stretch/>
                  </pic:blipFill>
                  <pic:spPr bwMode="auto">
                    <a:xfrm>
                      <a:off x="0" y="0"/>
                      <a:ext cx="5731510" cy="252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6904" w:rsidRDefault="00AF6904" w:rsidP="001D745E">
      <w:pPr>
        <w:pStyle w:val="NoSpacing"/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</w:t>
      </w:r>
      <w:r w:rsidR="005D23B6">
        <w:rPr>
          <w:rFonts w:ascii="Times New Roman" w:hAnsi="Times New Roman" w:cs="Times New Roman"/>
          <w:b/>
        </w:rPr>
        <w:t>ure</w:t>
      </w:r>
      <w:r>
        <w:rPr>
          <w:rFonts w:ascii="Times New Roman" w:hAnsi="Times New Roman" w:cs="Times New Roman"/>
          <w:b/>
        </w:rPr>
        <w:t xml:space="preserve"> S1. IFP volume determination</w:t>
      </w:r>
    </w:p>
    <w:p w:rsidR="00AF6904" w:rsidRDefault="00AF6904" w:rsidP="001D745E">
      <w:pPr>
        <w:pStyle w:val="NoSpacing"/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IFP volume was measured on section-by-section sagittal PD FSE images (left), T1-weighted CE-images were used to distinguish and compare between IFP and non-IFP structures (right).</w:t>
      </w:r>
    </w:p>
    <w:p w:rsidR="00AF6904" w:rsidRDefault="0099084C" w:rsidP="001D745E">
      <w:pPr>
        <w:pStyle w:val="NoSpacing"/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229225" cy="5233836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 fig 2_170520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991" cy="523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4" w:rsidRPr="00071226" w:rsidRDefault="00AF6904" w:rsidP="001D745E">
      <w:pPr>
        <w:pStyle w:val="NoSpacing"/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</w:t>
      </w:r>
      <w:r w:rsidR="005D23B6">
        <w:rPr>
          <w:rFonts w:ascii="Times New Roman" w:hAnsi="Times New Roman" w:cs="Times New Roman"/>
          <w:b/>
        </w:rPr>
        <w:t>ure</w:t>
      </w:r>
      <w:r>
        <w:rPr>
          <w:rFonts w:ascii="Times New Roman" w:hAnsi="Times New Roman" w:cs="Times New Roman"/>
          <w:b/>
        </w:rPr>
        <w:t xml:space="preserve"> S2. </w:t>
      </w:r>
      <w:r w:rsidRPr="00071226">
        <w:rPr>
          <w:rFonts w:ascii="Times New Roman" w:hAnsi="Times New Roman" w:cs="Times New Roman"/>
          <w:b/>
        </w:rPr>
        <w:t>Adipocyte</w:t>
      </w:r>
      <w:r w:rsidR="00937873">
        <w:rPr>
          <w:rFonts w:ascii="Times New Roman" w:hAnsi="Times New Roman" w:cs="Times New Roman"/>
          <w:b/>
        </w:rPr>
        <w:t xml:space="preserve"> volume and</w:t>
      </w:r>
      <w:r w:rsidRPr="00071226">
        <w:rPr>
          <w:rFonts w:ascii="Times New Roman" w:hAnsi="Times New Roman" w:cs="Times New Roman"/>
          <w:b/>
        </w:rPr>
        <w:t xml:space="preserve"> size </w:t>
      </w:r>
      <w:r w:rsidR="00937873">
        <w:rPr>
          <w:rFonts w:ascii="Times New Roman" w:hAnsi="Times New Roman" w:cs="Times New Roman"/>
          <w:b/>
        </w:rPr>
        <w:t>and number of SVF cells in SCAT</w:t>
      </w:r>
      <w:r w:rsidRPr="00071226">
        <w:rPr>
          <w:rFonts w:ascii="Times New Roman" w:hAnsi="Times New Roman" w:cs="Times New Roman"/>
          <w:b/>
        </w:rPr>
        <w:t xml:space="preserve"> correlate with BMI</w:t>
      </w:r>
    </w:p>
    <w:p w:rsidR="00AF6904" w:rsidRDefault="00AF6904" w:rsidP="001D745E">
      <w:pPr>
        <w:pStyle w:val="NoSpacing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Adipocytes were isolated from control SCAT of OA patients and adipocyte volume was determined and correlated to BMI, N=56 (</w:t>
      </w:r>
      <w:r w:rsidR="001D745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). SCAT tissue was H&amp;E stained and adipocyte size was determined. </w:t>
      </w:r>
      <w:r w:rsidRPr="0087414E">
        <w:rPr>
          <w:rFonts w:ascii="Times New Roman" w:hAnsi="Times New Roman" w:cs="Times New Roman"/>
        </w:rPr>
        <w:t xml:space="preserve">Representative images of H&amp;E stained </w:t>
      </w:r>
      <w:proofErr w:type="spellStart"/>
      <w:r w:rsidRPr="0087414E">
        <w:rPr>
          <w:rFonts w:ascii="Times New Roman" w:hAnsi="Times New Roman" w:cs="Times New Roman"/>
        </w:rPr>
        <w:t>cryosections</w:t>
      </w:r>
      <w:proofErr w:type="spellEnd"/>
      <w:r w:rsidRPr="0087414E">
        <w:rPr>
          <w:rFonts w:ascii="Times New Roman" w:hAnsi="Times New Roman" w:cs="Times New Roman"/>
        </w:rPr>
        <w:t xml:space="preserve"> of adipose tissue from </w:t>
      </w:r>
      <w:r>
        <w:rPr>
          <w:rFonts w:ascii="Times New Roman" w:hAnsi="Times New Roman" w:cs="Times New Roman"/>
        </w:rPr>
        <w:t xml:space="preserve">both </w:t>
      </w:r>
      <w:r w:rsidRPr="0087414E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IFP</w:t>
      </w:r>
      <w:r w:rsidRPr="0087414E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SCAT tissue</w:t>
      </w:r>
      <w:r w:rsidRPr="0087414E">
        <w:rPr>
          <w:rFonts w:ascii="Times New Roman" w:hAnsi="Times New Roman" w:cs="Times New Roman"/>
        </w:rPr>
        <w:t xml:space="preserve"> of non-obese and obese donors</w:t>
      </w:r>
      <w:r>
        <w:rPr>
          <w:rFonts w:ascii="Times New Roman" w:hAnsi="Times New Roman" w:cs="Times New Roman"/>
        </w:rPr>
        <w:t xml:space="preserve"> (</w:t>
      </w:r>
      <w:r w:rsidR="001D745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87414E">
        <w:rPr>
          <w:rFonts w:ascii="Times New Roman" w:hAnsi="Times New Roman" w:cs="Times New Roman"/>
        </w:rPr>
        <w:t>. Scale bar= 100μm</w:t>
      </w:r>
      <w:r>
        <w:rPr>
          <w:rFonts w:ascii="Times New Roman" w:hAnsi="Times New Roman" w:cs="Times New Roman"/>
        </w:rPr>
        <w:t>. The size of adipocytes from SCAT were correlated with BMI, N=12 (</w:t>
      </w:r>
      <w:r w:rsidR="001D745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). Number of SVF cells per gram SCAT was determined and correlated with BMI, N=38 (</w:t>
      </w:r>
      <w:r w:rsidR="001D745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). A comparison between IFP and SCAT tissue for adipocyte volume (</w:t>
      </w:r>
      <w:r w:rsidR="001D745E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), size (</w:t>
      </w:r>
      <w:r w:rsidR="001D745E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) and number of SVF cells per gram (</w:t>
      </w:r>
      <w:r w:rsidR="001D745E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) is given. </w:t>
      </w:r>
      <w:r w:rsidRPr="005B4F5F">
        <w:rPr>
          <w:rFonts w:ascii="Times New Roman" w:hAnsi="Times New Roman" w:cs="Times New Roman"/>
          <w:lang w:val="en-US"/>
        </w:rPr>
        <w:t>Correlations were determined using Spearman’s rank correlation (</w:t>
      </w:r>
      <w:r w:rsidR="001D745E">
        <w:rPr>
          <w:rFonts w:ascii="Times New Roman" w:hAnsi="Times New Roman" w:cs="Times New Roman"/>
          <w:lang w:val="en-US"/>
        </w:rPr>
        <w:t>a, c</w:t>
      </w:r>
      <w:r w:rsidRPr="005B4F5F">
        <w:rPr>
          <w:rFonts w:ascii="Times New Roman" w:hAnsi="Times New Roman" w:cs="Times New Roman"/>
          <w:lang w:val="en-US"/>
        </w:rPr>
        <w:t>) or Pearson correlation coefficient (</w:t>
      </w:r>
      <w:r w:rsidR="001D745E">
        <w:rPr>
          <w:rFonts w:ascii="Times New Roman" w:hAnsi="Times New Roman" w:cs="Times New Roman"/>
          <w:lang w:val="en-US"/>
        </w:rPr>
        <w:t>d</w:t>
      </w:r>
      <w:r w:rsidRPr="005B4F5F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>.</w:t>
      </w:r>
      <w:r w:rsidRPr="005B4F5F">
        <w:rPr>
          <w:rFonts w:ascii="Times New Roman" w:hAnsi="Times New Roman" w:cs="Times New Roman"/>
        </w:rPr>
        <w:t xml:space="preserve"> </w:t>
      </w:r>
      <w:r w:rsidRPr="005B4F5F">
        <w:rPr>
          <w:rFonts w:ascii="Times New Roman" w:hAnsi="Times New Roman" w:cs="Times New Roman"/>
          <w:lang w:val="en-US"/>
        </w:rPr>
        <w:t>P-values for differences between groups (as indicated) were tes</w:t>
      </w:r>
      <w:r>
        <w:rPr>
          <w:rFonts w:ascii="Times New Roman" w:hAnsi="Times New Roman" w:cs="Times New Roman"/>
          <w:lang w:val="en-US"/>
        </w:rPr>
        <w:t>ted by Wilcoxon signed rank test (</w:t>
      </w:r>
      <w:r w:rsidR="001D745E"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lang w:val="en-US"/>
        </w:rPr>
        <w:t>), unpaired student’s t-test (</w:t>
      </w:r>
      <w:r w:rsidR="001D745E"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  <w:lang w:val="en-US"/>
        </w:rPr>
        <w:t>) or</w:t>
      </w:r>
      <w:r w:rsidRPr="005B4F5F">
        <w:rPr>
          <w:rFonts w:ascii="Times New Roman" w:hAnsi="Times New Roman" w:cs="Times New Roman"/>
          <w:lang w:val="en-US"/>
        </w:rPr>
        <w:t xml:space="preserve"> paired </w:t>
      </w:r>
      <w:r>
        <w:rPr>
          <w:rFonts w:ascii="Times New Roman" w:hAnsi="Times New Roman" w:cs="Times New Roman"/>
          <w:lang w:val="en-US"/>
        </w:rPr>
        <w:t>student’s t-test (</w:t>
      </w:r>
      <w:r w:rsidR="001D745E">
        <w:rPr>
          <w:rFonts w:ascii="Times New Roman" w:hAnsi="Times New Roman" w:cs="Times New Roman"/>
          <w:lang w:val="en-US"/>
        </w:rPr>
        <w:t>g</w:t>
      </w:r>
      <w:r w:rsidRPr="005B4F5F">
        <w:rPr>
          <w:rFonts w:ascii="Times New Roman" w:hAnsi="Times New Roman" w:cs="Times New Roman"/>
          <w:lang w:val="en-US"/>
        </w:rPr>
        <w:t xml:space="preserve">). </w:t>
      </w:r>
      <w:r>
        <w:rPr>
          <w:rFonts w:ascii="Times New Roman" w:hAnsi="Times New Roman" w:cs="Times New Roman"/>
        </w:rPr>
        <w:t>Medians are depicted and each dot represents one patient.</w:t>
      </w:r>
    </w:p>
    <w:p w:rsidR="00AF6904" w:rsidRPr="00A60C70" w:rsidRDefault="00310C82" w:rsidP="001D745E">
      <w:pPr>
        <w:pStyle w:val="NoSpacing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760720" cy="49733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ting strategy_290320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04" w:rsidRPr="00AF6904" w:rsidRDefault="00AF6904" w:rsidP="001D745E">
      <w:pPr>
        <w:pStyle w:val="NoSpacing"/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Fig</w:t>
      </w:r>
      <w:r w:rsidR="005D23B6">
        <w:rPr>
          <w:rFonts w:ascii="Times New Roman" w:hAnsi="Times New Roman" w:cs="Times New Roman"/>
          <w:b/>
        </w:rPr>
        <w:t>ure</w:t>
      </w:r>
      <w:r>
        <w:rPr>
          <w:rFonts w:ascii="Times New Roman" w:hAnsi="Times New Roman" w:cs="Times New Roman"/>
          <w:b/>
        </w:rPr>
        <w:t xml:space="preserve"> S3. </w:t>
      </w:r>
      <w:r w:rsidRPr="00AF6904">
        <w:rPr>
          <w:rFonts w:ascii="Times New Roman" w:hAnsi="Times New Roman" w:cs="Times New Roman"/>
          <w:b/>
          <w:lang w:val="en-US"/>
        </w:rPr>
        <w:t>Gating strategy</w:t>
      </w:r>
    </w:p>
    <w:p w:rsidR="00AF6904" w:rsidRDefault="00AF6904" w:rsidP="001D745E">
      <w:pPr>
        <w:pStyle w:val="NoSpacing"/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AF6904">
        <w:rPr>
          <w:rFonts w:ascii="Times New Roman" w:hAnsi="Times New Roman" w:cs="Times New Roman"/>
          <w:lang w:val="en-US"/>
        </w:rPr>
        <w:t xml:space="preserve">Gating strategy used for </w:t>
      </w:r>
      <w:proofErr w:type="spellStart"/>
      <w:r w:rsidRPr="00AF6904">
        <w:rPr>
          <w:rFonts w:ascii="Times New Roman" w:hAnsi="Times New Roman" w:cs="Times New Roman"/>
          <w:lang w:val="en-US"/>
        </w:rPr>
        <w:t>phenotypical</w:t>
      </w:r>
      <w:proofErr w:type="spellEnd"/>
      <w:r w:rsidRPr="00AF690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F6904">
        <w:rPr>
          <w:rFonts w:ascii="Times New Roman" w:hAnsi="Times New Roman" w:cs="Times New Roman"/>
          <w:lang w:val="en-US"/>
        </w:rPr>
        <w:t>stainings</w:t>
      </w:r>
      <w:proofErr w:type="spellEnd"/>
      <w:r w:rsidRPr="00AF6904">
        <w:rPr>
          <w:rFonts w:ascii="Times New Roman" w:hAnsi="Times New Roman" w:cs="Times New Roman"/>
          <w:lang w:val="en-US"/>
        </w:rPr>
        <w:t xml:space="preserve"> (</w:t>
      </w:r>
      <w:r w:rsidR="001D745E">
        <w:rPr>
          <w:rFonts w:ascii="Times New Roman" w:hAnsi="Times New Roman" w:cs="Times New Roman"/>
          <w:lang w:val="en-US"/>
        </w:rPr>
        <w:t>a</w:t>
      </w:r>
      <w:r w:rsidRPr="00AF6904">
        <w:rPr>
          <w:rFonts w:ascii="Times New Roman" w:hAnsi="Times New Roman" w:cs="Times New Roman"/>
          <w:lang w:val="en-US"/>
        </w:rPr>
        <w:t>), a live gate based on FSC-A/SSC-A was set on the stromal vascular cell fraction, followed by two gates to exclude double cells. The intersection of this gate was used for gating hematopoietic cells (CD45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>), after which CD3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 xml:space="preserve"> T cells or CD14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 xml:space="preserve"> macrophages were gated. Within the CD14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 xml:space="preserve"> population phenotypic markers were further analyzed. Alternatively, CD14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>CD163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 xml:space="preserve"> or CD14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>CD163</w:t>
      </w:r>
      <w:r w:rsidRPr="00AF6904">
        <w:rPr>
          <w:rFonts w:ascii="Times New Roman" w:hAnsi="Times New Roman" w:cs="Times New Roman"/>
          <w:vertAlign w:val="superscript"/>
          <w:lang w:val="en-US"/>
        </w:rPr>
        <w:t>-</w:t>
      </w:r>
      <w:r w:rsidRPr="00AF6904">
        <w:rPr>
          <w:rFonts w:ascii="Times New Roman" w:hAnsi="Times New Roman" w:cs="Times New Roman"/>
          <w:lang w:val="en-US"/>
        </w:rPr>
        <w:t xml:space="preserve"> cells were selected and phenotypic markers were further analyzed. Within the CD3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 xml:space="preserve"> T cell population the expression of CD4 and CD8 were analyzed. Gating strategy used for intracellular </w:t>
      </w:r>
      <w:proofErr w:type="spellStart"/>
      <w:r w:rsidRPr="00AF6904">
        <w:rPr>
          <w:rFonts w:ascii="Times New Roman" w:hAnsi="Times New Roman" w:cs="Times New Roman"/>
          <w:lang w:val="en-US"/>
        </w:rPr>
        <w:t>stainings</w:t>
      </w:r>
      <w:proofErr w:type="spellEnd"/>
      <w:r w:rsidRPr="00AF6904">
        <w:rPr>
          <w:rFonts w:ascii="Times New Roman" w:hAnsi="Times New Roman" w:cs="Times New Roman"/>
          <w:lang w:val="en-US"/>
        </w:rPr>
        <w:t xml:space="preserve"> (</w:t>
      </w:r>
      <w:r w:rsidR="001D745E">
        <w:rPr>
          <w:rFonts w:ascii="Times New Roman" w:hAnsi="Times New Roman" w:cs="Times New Roman"/>
          <w:lang w:val="en-US"/>
        </w:rPr>
        <w:t>b</w:t>
      </w:r>
      <w:r w:rsidRPr="00AF6904">
        <w:rPr>
          <w:rFonts w:ascii="Times New Roman" w:hAnsi="Times New Roman" w:cs="Times New Roman"/>
          <w:lang w:val="en-US"/>
        </w:rPr>
        <w:t xml:space="preserve">), a live gate based on FSC-A/SSC-A was set, followed by two gates to exclude double cells (as depicted in </w:t>
      </w:r>
      <w:r w:rsidR="001D745E">
        <w:rPr>
          <w:rFonts w:ascii="Times New Roman" w:hAnsi="Times New Roman" w:cs="Times New Roman"/>
          <w:lang w:val="en-US"/>
        </w:rPr>
        <w:t>a</w:t>
      </w:r>
      <w:r w:rsidRPr="00AF6904">
        <w:rPr>
          <w:rFonts w:ascii="Times New Roman" w:hAnsi="Times New Roman" w:cs="Times New Roman"/>
          <w:lang w:val="en-US"/>
        </w:rPr>
        <w:t>). Within the intersection of these gates, cells positive for dead cell discriminator were excluded. CD14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 xml:space="preserve"> cells in this live gate were further analyzed for cytokine production or CD14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>CD163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 xml:space="preserve"> or CD14</w:t>
      </w:r>
      <w:r w:rsidRPr="00AF6904">
        <w:rPr>
          <w:rFonts w:ascii="Times New Roman" w:hAnsi="Times New Roman" w:cs="Times New Roman"/>
          <w:vertAlign w:val="superscript"/>
          <w:lang w:val="en-US"/>
        </w:rPr>
        <w:t>+</w:t>
      </w:r>
      <w:r w:rsidRPr="00AF6904">
        <w:rPr>
          <w:rFonts w:ascii="Times New Roman" w:hAnsi="Times New Roman" w:cs="Times New Roman"/>
          <w:lang w:val="en-US"/>
        </w:rPr>
        <w:t>CD163</w:t>
      </w:r>
      <w:r w:rsidRPr="00AF6904">
        <w:rPr>
          <w:rFonts w:ascii="Times New Roman" w:hAnsi="Times New Roman" w:cs="Times New Roman"/>
          <w:vertAlign w:val="superscript"/>
          <w:lang w:val="en-US"/>
        </w:rPr>
        <w:t>-</w:t>
      </w:r>
      <w:r w:rsidRPr="00AF6904">
        <w:rPr>
          <w:rFonts w:ascii="Times New Roman" w:hAnsi="Times New Roman" w:cs="Times New Roman"/>
          <w:lang w:val="en-US"/>
        </w:rPr>
        <w:t xml:space="preserve"> were gated to analyze cytokine production.</w:t>
      </w:r>
    </w:p>
    <w:p w:rsidR="00A455EB" w:rsidRPr="00A455EB" w:rsidRDefault="005D23B6" w:rsidP="00A455EB">
      <w:pPr>
        <w:spacing w:after="0" w:line="240" w:lineRule="auto"/>
        <w:rPr>
          <w:rFonts w:ascii="Times New Roman" w:eastAsia="MS Mincho"/>
          <w:lang w:val="en-US" w:eastAsia="ja-JP"/>
        </w:rPr>
      </w:pPr>
      <w:r>
        <w:rPr>
          <w:rFonts w:ascii="Times New Roman" w:eastAsia="MS Mincho"/>
          <w:b/>
          <w:lang w:val="en-US" w:eastAsia="ja-JP"/>
        </w:rPr>
        <w:t>T</w:t>
      </w:r>
      <w:r w:rsidR="00A455EB" w:rsidRPr="00A455EB">
        <w:rPr>
          <w:rFonts w:ascii="Times New Roman" w:eastAsia="MS Mincho"/>
          <w:b/>
          <w:lang w:val="en-US" w:eastAsia="ja-JP"/>
        </w:rPr>
        <w:t xml:space="preserve">able </w:t>
      </w:r>
      <w:r>
        <w:rPr>
          <w:rFonts w:ascii="Times New Roman" w:eastAsia="MS Mincho"/>
          <w:b/>
          <w:lang w:val="en-US" w:eastAsia="ja-JP"/>
        </w:rPr>
        <w:t>S</w:t>
      </w:r>
      <w:r w:rsidR="00A455EB" w:rsidRPr="00A455EB">
        <w:rPr>
          <w:rFonts w:ascii="Times New Roman" w:eastAsia="MS Mincho"/>
          <w:b/>
          <w:lang w:val="en-US" w:eastAsia="ja-JP"/>
        </w:rPr>
        <w:t xml:space="preserve">1. </w:t>
      </w:r>
      <w:proofErr w:type="gramStart"/>
      <w:r w:rsidR="00A455EB" w:rsidRPr="00A455EB">
        <w:rPr>
          <w:rFonts w:ascii="Times New Roman" w:eastAsia="MS Mincho"/>
          <w:b/>
          <w:lang w:val="en-US" w:eastAsia="ja-JP"/>
        </w:rPr>
        <w:t>Patient characteristics for all figures.</w:t>
      </w:r>
      <w:proofErr w:type="gramEnd"/>
      <w:r w:rsidR="00A455EB" w:rsidRPr="00A455EB">
        <w:rPr>
          <w:rFonts w:ascii="Times New Roman" w:eastAsia="MS Mincho"/>
          <w:b/>
          <w:lang w:val="en-US" w:eastAsia="ja-JP"/>
        </w:rPr>
        <w:t xml:space="preserve"> </w:t>
      </w:r>
    </w:p>
    <w:tbl>
      <w:tblPr>
        <w:tblStyle w:val="Lichtearcering2"/>
        <w:tblW w:w="5340" w:type="pct"/>
        <w:tblInd w:w="0" w:type="dxa"/>
        <w:tblLook w:val="06A0"/>
      </w:tblPr>
      <w:tblGrid>
        <w:gridCol w:w="2496"/>
        <w:gridCol w:w="1861"/>
        <w:gridCol w:w="1857"/>
        <w:gridCol w:w="1855"/>
        <w:gridCol w:w="1851"/>
      </w:tblGrid>
      <w:tr w:rsidR="00A455EB" w:rsidRPr="00A455EB" w:rsidTr="00A455EB">
        <w:trPr>
          <w:cnfStyle w:val="100000000000"/>
        </w:trPr>
        <w:tc>
          <w:tcPr>
            <w:cnfStyle w:val="001000000000"/>
            <w:tcW w:w="1258" w:type="pct"/>
            <w:hideMark/>
          </w:tcPr>
          <w:p w:rsidR="00A455EB" w:rsidRPr="00A455EB" w:rsidRDefault="00A455EB" w:rsidP="00A455EB">
            <w:pPr>
              <w:spacing w:after="200" w:line="276" w:lineRule="auto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Patient characteristics</w:t>
            </w:r>
          </w:p>
        </w:tc>
        <w:tc>
          <w:tcPr>
            <w:tcW w:w="938" w:type="pct"/>
            <w:hideMark/>
          </w:tcPr>
          <w:p w:rsidR="00A455EB" w:rsidRPr="00A455EB" w:rsidRDefault="00A455EB" w:rsidP="00A455EB">
            <w:pPr>
              <w:spacing w:after="200" w:line="276" w:lineRule="auto"/>
              <w:cnfStyle w:val="100000000000"/>
              <w:rPr>
                <w:rFonts w:ascii="Times New Roman" w:eastAsia="MS Mincho"/>
                <w:lang w:val="en-GB" w:eastAsia="ja-JP"/>
              </w:rPr>
            </w:pPr>
            <w:r w:rsidRPr="00A455EB">
              <w:rPr>
                <w:rFonts w:ascii="Times New Roman" w:eastAsia="MS Mincho"/>
                <w:lang w:val="en-GB" w:eastAsia="ja-JP"/>
              </w:rPr>
              <w:t>Fig 1 and Fig S</w:t>
            </w:r>
            <w:r w:rsidR="00220644">
              <w:rPr>
                <w:rFonts w:ascii="Times New Roman" w:eastAsia="MS Mincho"/>
                <w:lang w:val="en-GB" w:eastAsia="ja-JP"/>
              </w:rPr>
              <w:t>2</w:t>
            </w:r>
            <w:r w:rsidRPr="00A455EB">
              <w:rPr>
                <w:rFonts w:ascii="Times New Roman" w:eastAsia="MS Mincho"/>
                <w:lang w:val="en-GB" w:eastAsia="ja-JP"/>
              </w:rPr>
              <w:t xml:space="preserve"> (N=82)</w:t>
            </w:r>
          </w:p>
        </w:tc>
        <w:tc>
          <w:tcPr>
            <w:tcW w:w="936" w:type="pct"/>
            <w:hideMark/>
          </w:tcPr>
          <w:p w:rsidR="00A455EB" w:rsidRPr="00A455EB" w:rsidRDefault="00A455EB" w:rsidP="00A455EB">
            <w:pPr>
              <w:spacing w:after="200" w:line="276" w:lineRule="auto"/>
              <w:cnfStyle w:val="1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Fig 2 (N=44)</w:t>
            </w:r>
          </w:p>
        </w:tc>
        <w:tc>
          <w:tcPr>
            <w:tcW w:w="935" w:type="pct"/>
            <w:hideMark/>
          </w:tcPr>
          <w:p w:rsidR="00A455EB" w:rsidRPr="00A455EB" w:rsidRDefault="00A455EB" w:rsidP="00A455EB">
            <w:pPr>
              <w:spacing w:after="200" w:line="276" w:lineRule="auto"/>
              <w:cnfStyle w:val="1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Fig 3 (N=62)</w:t>
            </w:r>
          </w:p>
        </w:tc>
        <w:tc>
          <w:tcPr>
            <w:tcW w:w="934" w:type="pct"/>
            <w:hideMark/>
          </w:tcPr>
          <w:p w:rsidR="00A455EB" w:rsidRPr="00A455EB" w:rsidRDefault="00A455EB" w:rsidP="00A455EB">
            <w:pPr>
              <w:spacing w:after="200" w:line="276" w:lineRule="auto"/>
              <w:cnfStyle w:val="1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 xml:space="preserve">Fig 4 (N=20) </w:t>
            </w:r>
          </w:p>
        </w:tc>
      </w:tr>
      <w:tr w:rsidR="00A455EB" w:rsidRPr="00A455EB" w:rsidTr="00A455EB">
        <w:tc>
          <w:tcPr>
            <w:cnfStyle w:val="001000000000"/>
            <w:tcW w:w="12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rPr>
                <w:rFonts w:ascii="Times New Roman" w:eastAsia="MS Mincho"/>
                <w:b w:val="0"/>
                <w:lang w:eastAsia="ja-JP"/>
              </w:rPr>
            </w:pPr>
            <w:r w:rsidRPr="00A455EB">
              <w:rPr>
                <w:rFonts w:ascii="Times New Roman" w:eastAsia="MS Mincho"/>
                <w:b w:val="0"/>
                <w:lang w:eastAsia="ja-JP"/>
              </w:rPr>
              <w:t>Age, year, mean (SD)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65 (9.8)</w:t>
            </w:r>
          </w:p>
        </w:tc>
        <w:tc>
          <w:tcPr>
            <w:tcW w:w="93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67 (9.3)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67 (10.1)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70 (7.1)</w:t>
            </w:r>
          </w:p>
        </w:tc>
      </w:tr>
      <w:tr w:rsidR="00A455EB" w:rsidRPr="00A455EB" w:rsidTr="00A455EB">
        <w:tc>
          <w:tcPr>
            <w:cnfStyle w:val="001000000000"/>
            <w:tcW w:w="12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rPr>
                <w:rFonts w:ascii="Times New Roman" w:eastAsia="MS Mincho"/>
                <w:b w:val="0"/>
                <w:lang w:eastAsia="ja-JP"/>
              </w:rPr>
            </w:pPr>
            <w:r w:rsidRPr="00A455EB">
              <w:rPr>
                <w:rFonts w:ascii="Times New Roman" w:eastAsia="MS Mincho"/>
                <w:b w:val="0"/>
                <w:lang w:eastAsia="ja-JP"/>
              </w:rPr>
              <w:t>Female, N (%)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66</w:t>
            </w:r>
          </w:p>
        </w:tc>
        <w:tc>
          <w:tcPr>
            <w:tcW w:w="93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64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63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70</w:t>
            </w:r>
          </w:p>
        </w:tc>
      </w:tr>
      <w:tr w:rsidR="00A455EB" w:rsidRPr="00A455EB" w:rsidTr="00A455EB">
        <w:tc>
          <w:tcPr>
            <w:cnfStyle w:val="001000000000"/>
            <w:tcW w:w="12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rPr>
                <w:rFonts w:ascii="Times New Roman" w:eastAsia="MS Mincho"/>
                <w:b w:val="0"/>
                <w:lang w:val="en-GB" w:eastAsia="ja-JP"/>
              </w:rPr>
            </w:pPr>
            <w:r w:rsidRPr="00A455EB">
              <w:rPr>
                <w:rFonts w:ascii="Times New Roman" w:eastAsia="MS Mincho"/>
                <w:b w:val="0"/>
                <w:lang w:val="en-GB" w:eastAsia="ja-JP"/>
              </w:rPr>
              <w:t>BMI, kg/m</w:t>
            </w:r>
            <w:r w:rsidRPr="00A455EB">
              <w:rPr>
                <w:rFonts w:ascii="Times New Roman" w:eastAsia="MS Mincho"/>
                <w:b w:val="0"/>
                <w:vertAlign w:val="superscript"/>
                <w:lang w:val="en-GB" w:eastAsia="ja-JP"/>
              </w:rPr>
              <w:t>2</w:t>
            </w:r>
            <w:r w:rsidRPr="00A455EB">
              <w:rPr>
                <w:rFonts w:ascii="Times New Roman" w:eastAsia="MS Mincho"/>
                <w:b w:val="0"/>
                <w:lang w:val="en-GB" w:eastAsia="ja-JP"/>
              </w:rPr>
              <w:t>, mean (SD)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30.2 (6.4)</w:t>
            </w:r>
          </w:p>
        </w:tc>
        <w:tc>
          <w:tcPr>
            <w:tcW w:w="93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29.7 (5.6)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29.8 (5.3)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55EB" w:rsidRPr="00A455EB" w:rsidRDefault="00A455EB" w:rsidP="00A455EB">
            <w:pPr>
              <w:spacing w:after="200" w:line="276" w:lineRule="auto"/>
              <w:cnfStyle w:val="000000000000"/>
              <w:rPr>
                <w:rFonts w:ascii="Times New Roman" w:eastAsia="MS Mincho"/>
                <w:lang w:eastAsia="ja-JP"/>
              </w:rPr>
            </w:pPr>
            <w:r w:rsidRPr="00A455EB">
              <w:rPr>
                <w:rFonts w:ascii="Times New Roman" w:eastAsia="MS Mincho"/>
                <w:lang w:eastAsia="ja-JP"/>
              </w:rPr>
              <w:t>29.8 (4.0)</w:t>
            </w:r>
          </w:p>
        </w:tc>
      </w:tr>
    </w:tbl>
    <w:p w:rsidR="00A455EB" w:rsidRDefault="00A455EB">
      <w:pPr>
        <w:rPr>
          <w:rFonts w:ascii="Times New Roman" w:eastAsia="MS Mincho"/>
          <w:b/>
          <w:szCs w:val="24"/>
          <w:lang w:val="en-US" w:eastAsia="ja-JP"/>
        </w:rPr>
      </w:pPr>
      <w:r>
        <w:rPr>
          <w:rFonts w:ascii="Times New Roman" w:eastAsia="MS Mincho"/>
          <w:b/>
          <w:szCs w:val="24"/>
          <w:lang w:val="en-US" w:eastAsia="ja-JP"/>
        </w:rPr>
        <w:br w:type="page"/>
      </w:r>
    </w:p>
    <w:p w:rsidR="001D745E" w:rsidRPr="001D745E" w:rsidRDefault="005D23B6" w:rsidP="001D745E">
      <w:pPr>
        <w:spacing w:after="0" w:line="240" w:lineRule="auto"/>
        <w:rPr>
          <w:rFonts w:ascii="Times New Roman" w:eastAsia="MS Mincho"/>
          <w:szCs w:val="24"/>
          <w:lang w:val="en-US" w:eastAsia="ja-JP"/>
        </w:rPr>
      </w:pPr>
      <w:r>
        <w:rPr>
          <w:rFonts w:ascii="Times New Roman" w:eastAsia="MS Mincho"/>
          <w:b/>
          <w:szCs w:val="24"/>
          <w:lang w:val="en-US" w:eastAsia="ja-JP"/>
        </w:rPr>
        <w:t>T</w:t>
      </w:r>
      <w:r w:rsidR="001D745E" w:rsidRPr="001D745E">
        <w:rPr>
          <w:rFonts w:ascii="Times New Roman" w:eastAsia="MS Mincho"/>
          <w:b/>
          <w:szCs w:val="24"/>
          <w:lang w:val="en-US" w:eastAsia="ja-JP"/>
        </w:rPr>
        <w:t xml:space="preserve">able </w:t>
      </w:r>
      <w:r>
        <w:rPr>
          <w:rFonts w:ascii="Times New Roman" w:eastAsia="MS Mincho"/>
          <w:b/>
          <w:szCs w:val="24"/>
          <w:lang w:val="en-US" w:eastAsia="ja-JP"/>
        </w:rPr>
        <w:t>S</w:t>
      </w:r>
      <w:r w:rsidR="00A455EB">
        <w:rPr>
          <w:rFonts w:ascii="Times New Roman" w:eastAsia="MS Mincho"/>
          <w:b/>
          <w:szCs w:val="24"/>
          <w:lang w:val="en-US" w:eastAsia="ja-JP"/>
        </w:rPr>
        <w:t>2</w:t>
      </w:r>
      <w:r w:rsidR="001D745E" w:rsidRPr="001D745E">
        <w:rPr>
          <w:rFonts w:ascii="Times New Roman" w:eastAsia="MS Mincho"/>
          <w:b/>
          <w:szCs w:val="24"/>
          <w:lang w:val="en-US" w:eastAsia="ja-JP"/>
        </w:rPr>
        <w:t xml:space="preserve">. </w:t>
      </w:r>
      <w:proofErr w:type="gramStart"/>
      <w:r w:rsidR="001D745E" w:rsidRPr="001D745E">
        <w:rPr>
          <w:rFonts w:ascii="Times New Roman" w:eastAsia="MS Mincho"/>
          <w:b/>
          <w:szCs w:val="24"/>
          <w:lang w:val="en-US" w:eastAsia="ja-JP"/>
        </w:rPr>
        <w:t>Levels of TNFα in FCM and ACM.</w:t>
      </w:r>
      <w:proofErr w:type="gramEnd"/>
      <w:r w:rsidR="001D745E" w:rsidRPr="001D745E">
        <w:rPr>
          <w:rFonts w:ascii="Times New Roman" w:eastAsia="MS Mincho"/>
          <w:szCs w:val="24"/>
          <w:lang w:val="en-US" w:eastAsia="ja-JP"/>
        </w:rPr>
        <w:t xml:space="preserve"> Differences between BMI ≤ 25 </w:t>
      </w:r>
      <w:proofErr w:type="gramStart"/>
      <w:r w:rsidR="001D745E" w:rsidRPr="001D745E">
        <w:rPr>
          <w:rFonts w:ascii="Times New Roman" w:eastAsia="MS Mincho"/>
          <w:szCs w:val="24"/>
          <w:lang w:val="en-US" w:eastAsia="ja-JP"/>
        </w:rPr>
        <w:t>group</w:t>
      </w:r>
      <w:proofErr w:type="gramEnd"/>
      <w:r w:rsidR="001D745E" w:rsidRPr="001D745E">
        <w:rPr>
          <w:rFonts w:ascii="Times New Roman" w:eastAsia="MS Mincho"/>
          <w:szCs w:val="24"/>
          <w:lang w:val="en-US" w:eastAsia="ja-JP"/>
        </w:rPr>
        <w:t xml:space="preserve"> and BMI &gt; 30 group determined with Mann-Whitney test are indicated with p-value. </w:t>
      </w:r>
    </w:p>
    <w:tbl>
      <w:tblPr>
        <w:tblW w:w="9498" w:type="dxa"/>
        <w:tblLook w:val="04A0"/>
      </w:tblPr>
      <w:tblGrid>
        <w:gridCol w:w="1418"/>
        <w:gridCol w:w="805"/>
        <w:gridCol w:w="1606"/>
        <w:gridCol w:w="805"/>
        <w:gridCol w:w="1741"/>
        <w:gridCol w:w="805"/>
        <w:gridCol w:w="1467"/>
        <w:gridCol w:w="851"/>
      </w:tblGrid>
      <w:tr w:rsidR="001D745E" w:rsidRPr="001D745E" w:rsidTr="001D745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 </w:t>
            </w:r>
          </w:p>
        </w:tc>
        <w:tc>
          <w:tcPr>
            <w:tcW w:w="808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/>
                <w:bCs/>
                <w:color w:val="000000"/>
                <w:sz w:val="20"/>
                <w:szCs w:val="20"/>
                <w:lang w:val="en-US" w:eastAsia="ja-JP"/>
              </w:rPr>
              <w:t>TNFα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40" w:lineRule="auto"/>
              <w:rPr>
                <w:rFonts w:ascii="Times New Roman" w:eastAsia="MS Mincho"/>
                <w:b/>
                <w:bCs/>
                <w:color w:val="000000"/>
                <w:sz w:val="20"/>
                <w:szCs w:val="20"/>
                <w:lang w:val="en-US" w:eastAsia="ja-JP"/>
              </w:rPr>
            </w:pPr>
          </w:p>
        </w:tc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≤ 25 (N=8-11)</w:t>
            </w:r>
          </w:p>
        </w:tc>
        <w:tc>
          <w:tcPr>
            <w:tcW w:w="254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&gt;25 and ≤ 30 (N=7-8)</w:t>
            </w:r>
          </w:p>
        </w:tc>
        <w:tc>
          <w:tcPr>
            <w:tcW w:w="22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&gt; 30 (N=9-11)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p-value</w:t>
            </w:r>
          </w:p>
        </w:tc>
      </w:tr>
      <w:tr w:rsidR="001D745E" w:rsidRPr="001D745E" w:rsidTr="001D745E">
        <w:trPr>
          <w:trHeight w:val="25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b/>
                <w:bCs/>
                <w:color w:val="000000"/>
                <w:sz w:val="20"/>
                <w:szCs w:val="20"/>
                <w:lang w:val="en-US" w:eastAsia="ja-JP"/>
              </w:rPr>
            </w:pP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 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FCM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15.8)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6.3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2173. 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165.1)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  <w:t>0.04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ACM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(1.4 – 40.1)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16.8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(3.6 – 35.9)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(1.3 – 168.3)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  <w:t>0.51</w:t>
            </w:r>
          </w:p>
        </w:tc>
      </w:tr>
    </w:tbl>
    <w:p w:rsidR="001D745E" w:rsidRPr="001D745E" w:rsidRDefault="001D745E" w:rsidP="001D745E">
      <w:pPr>
        <w:spacing w:after="200" w:line="276" w:lineRule="auto"/>
        <w:rPr>
          <w:rFonts w:ascii="Times New Roman" w:eastAsia="MS Mincho"/>
          <w:b/>
          <w:szCs w:val="24"/>
          <w:lang w:val="en-US" w:eastAsia="ja-JP"/>
        </w:rPr>
      </w:pPr>
      <w:r w:rsidRPr="001D745E">
        <w:rPr>
          <w:rFonts w:ascii="Times New Roman" w:eastAsia="MS Mincho"/>
          <w:b/>
          <w:szCs w:val="24"/>
          <w:lang w:val="en-US" w:eastAsia="ja-JP"/>
        </w:rPr>
        <w:br w:type="page"/>
      </w:r>
    </w:p>
    <w:p w:rsidR="001D745E" w:rsidRPr="001D745E" w:rsidRDefault="005D23B6" w:rsidP="001D745E">
      <w:pPr>
        <w:spacing w:after="0" w:line="240" w:lineRule="auto"/>
        <w:rPr>
          <w:rFonts w:ascii="Times New Roman" w:eastAsia="Calibri"/>
          <w:sz w:val="24"/>
          <w:szCs w:val="24"/>
        </w:rPr>
      </w:pPr>
      <w:r>
        <w:rPr>
          <w:rFonts w:ascii="Times New Roman" w:eastAsia="MS Mincho"/>
          <w:b/>
          <w:szCs w:val="24"/>
          <w:lang w:val="en-US" w:eastAsia="ja-JP"/>
        </w:rPr>
        <w:t>T</w:t>
      </w:r>
      <w:r w:rsidR="001D745E" w:rsidRPr="001D745E">
        <w:rPr>
          <w:rFonts w:ascii="Times New Roman" w:eastAsia="MS Mincho"/>
          <w:b/>
          <w:szCs w:val="24"/>
          <w:lang w:val="en-US" w:eastAsia="ja-JP"/>
        </w:rPr>
        <w:t xml:space="preserve">able </w:t>
      </w:r>
      <w:r>
        <w:rPr>
          <w:rFonts w:ascii="Times New Roman" w:eastAsia="MS Mincho"/>
          <w:b/>
          <w:szCs w:val="24"/>
          <w:lang w:val="en-US" w:eastAsia="ja-JP"/>
        </w:rPr>
        <w:t>S</w:t>
      </w:r>
      <w:r w:rsidR="00A455EB">
        <w:rPr>
          <w:rFonts w:ascii="Times New Roman" w:eastAsia="MS Mincho"/>
          <w:b/>
          <w:szCs w:val="24"/>
          <w:lang w:val="en-US" w:eastAsia="ja-JP"/>
        </w:rPr>
        <w:t>3</w:t>
      </w:r>
      <w:r w:rsidR="001D745E" w:rsidRPr="001D745E">
        <w:rPr>
          <w:rFonts w:ascii="Times New Roman" w:eastAsia="MS Mincho"/>
          <w:b/>
          <w:szCs w:val="24"/>
          <w:lang w:val="en-US" w:eastAsia="ja-JP"/>
        </w:rPr>
        <w:t xml:space="preserve">. </w:t>
      </w:r>
      <w:proofErr w:type="gramStart"/>
      <w:r w:rsidR="001D745E" w:rsidRPr="001D745E">
        <w:rPr>
          <w:rFonts w:ascii="Times New Roman" w:eastAsia="MS Mincho"/>
          <w:b/>
          <w:szCs w:val="24"/>
          <w:lang w:val="en-US" w:eastAsia="ja-JP"/>
        </w:rPr>
        <w:t>Levels of cytokines/chemokines in FCM.</w:t>
      </w:r>
      <w:proofErr w:type="gramEnd"/>
      <w:r w:rsidR="001D745E" w:rsidRPr="001D745E">
        <w:rPr>
          <w:rFonts w:ascii="Times New Roman" w:eastAsia="MS Mincho"/>
          <w:szCs w:val="24"/>
          <w:lang w:val="en-US" w:eastAsia="ja-JP"/>
        </w:rPr>
        <w:t xml:space="preserve"> Differences between BMI ≤ 25 </w:t>
      </w:r>
      <w:proofErr w:type="gramStart"/>
      <w:r w:rsidR="001D745E" w:rsidRPr="001D745E">
        <w:rPr>
          <w:rFonts w:ascii="Times New Roman" w:eastAsia="MS Mincho"/>
          <w:szCs w:val="24"/>
          <w:lang w:val="en-US" w:eastAsia="ja-JP"/>
        </w:rPr>
        <w:t>group</w:t>
      </w:r>
      <w:proofErr w:type="gramEnd"/>
      <w:r w:rsidR="001D745E" w:rsidRPr="001D745E">
        <w:rPr>
          <w:rFonts w:ascii="Times New Roman" w:eastAsia="MS Mincho"/>
          <w:szCs w:val="24"/>
          <w:lang w:val="en-US" w:eastAsia="ja-JP"/>
        </w:rPr>
        <w:t xml:space="preserve"> and BMI &gt; 30 group determined with Mann-Whitney test are indicated with p-value. The Bonferroni adjusted p-value indicating significance is &lt; 0.001.</w:t>
      </w:r>
    </w:p>
    <w:p w:rsidR="001D745E" w:rsidRPr="001D745E" w:rsidRDefault="001D745E" w:rsidP="001D745E">
      <w:pPr>
        <w:spacing w:after="0" w:line="240" w:lineRule="auto"/>
        <w:rPr>
          <w:rFonts w:ascii="Times New Roman" w:eastAsia="MS Mincho"/>
          <w:szCs w:val="24"/>
          <w:lang w:val="en-US" w:eastAsia="ja-JP"/>
        </w:rPr>
      </w:pPr>
    </w:p>
    <w:tbl>
      <w:tblPr>
        <w:tblW w:w="9498" w:type="dxa"/>
        <w:tblLook w:val="04A0"/>
      </w:tblPr>
      <w:tblGrid>
        <w:gridCol w:w="1418"/>
        <w:gridCol w:w="805"/>
        <w:gridCol w:w="1606"/>
        <w:gridCol w:w="805"/>
        <w:gridCol w:w="1741"/>
        <w:gridCol w:w="805"/>
        <w:gridCol w:w="1467"/>
        <w:gridCol w:w="851"/>
      </w:tblGrid>
      <w:tr w:rsidR="001D745E" w:rsidRPr="001D745E" w:rsidTr="001D745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 </w:t>
            </w:r>
          </w:p>
        </w:tc>
        <w:tc>
          <w:tcPr>
            <w:tcW w:w="808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/>
                <w:bCs/>
                <w:color w:val="000000"/>
                <w:sz w:val="20"/>
                <w:szCs w:val="20"/>
                <w:lang w:val="en-US" w:eastAsia="ja-JP"/>
              </w:rPr>
              <w:t>FCM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Cytokines (pg/ml)</w:t>
            </w:r>
          </w:p>
        </w:tc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≤ 25 (N=8)</w:t>
            </w:r>
          </w:p>
        </w:tc>
        <w:tc>
          <w:tcPr>
            <w:tcW w:w="254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&gt;25 and ≤ 30 (N=7)</w:t>
            </w:r>
          </w:p>
        </w:tc>
        <w:tc>
          <w:tcPr>
            <w:tcW w:w="22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&gt; 30 (N=9)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p-value</w:t>
            </w:r>
          </w:p>
        </w:tc>
      </w:tr>
      <w:tr w:rsidR="001D745E" w:rsidRPr="001D745E" w:rsidTr="001D745E">
        <w:trPr>
          <w:trHeight w:val="25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 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EGF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5.7)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3.4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10.3)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10.3)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0.09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Eotaxin</w:t>
            </w:r>
            <w:proofErr w:type="spellEnd"/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26.9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(14.9 – 70.2)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51.3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(26.7 – 80.5)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58.2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73.8)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0.07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FGF-2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184.9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(64.7 – 1313.9)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182.4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(55.8 – 505.4)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283.1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(106.4–1150.2)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FLT3L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12.5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18.7)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15.9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(4.8 – 40.8)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17.4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28.7)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0.19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Fractalkine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170.0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(58.5 – 472.1)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307.3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(147.1 – 873.6)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384.7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(2.4 – 432.3)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0.09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G-CSF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56.2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467.4)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91.0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523.8)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301.5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3890.7)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0.15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GM-CSF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30.5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(17.8 – 50.0)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38.3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(27.1 – 407.0)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51.5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83.4)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  <w:t>0.03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GRO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730.3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(100.3 – 1157.9)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1877.0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(656.3 – 8925.5)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2515.0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9158.9)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0.23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IFNα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1.3)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19.1)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6.5)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0.60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IFNγ</w:t>
            </w:r>
            <w:proofErr w:type="spellEnd"/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4.8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22.8)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6.2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(4.0 – 47.5)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12.7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23.8)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0.19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IL1α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5.7)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9.9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171.8)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18.3)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0.26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IL1β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4.7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1318.5)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33.1)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0.07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IL1RA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19.3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98.7)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35.0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(11.4 – 1705.4)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23.8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566.4)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IL2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5.2)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IL3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IL4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8.9)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11.1)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0.21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IL5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0.6)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4.3)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8.0)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IL6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754.8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(189.3 – 2958.1)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981.4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(634.5 – 2935.8)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1306.2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(28.4 – 7628.7)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0.09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IL7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4.6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(1.0 – 12.1)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5.4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(2.7 – 34.3)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14.1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31.0)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0.06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IL8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1131.0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(306.2 – 7708.9)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2433.7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(1126.1 – 9513.0)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1945.7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(20.5 – 4123.6)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  <w:t>0.04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IL9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1.2)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0.6)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IL10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12.1)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7.9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(4.2 – 788.1)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13.3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192.4)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0.06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IL12p40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5.4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(2.8 – 25.8)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25.8)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0.83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IL12p70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4.8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11.0)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(3.4 – 11.4)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13.5)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0.31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IL13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6.4)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3.1)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IL15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IL17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IP10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42.0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242.8)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316.2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(73.9 – 1483.6)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63.6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709. 4)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0.81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MCP1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4468.0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10067.9)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9023.6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10086.7)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8929.9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(86.1 – 9799.0)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MCP3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41.1)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18.3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90.9)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33.1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102.6)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  <w:t>0.03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MDC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37.2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(9.6 – 219.9)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54.5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(11.6 – 224.7)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47.6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940.9)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0.69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MIP1α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17.0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(5.4 – 52.2)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77.9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(21.8 – 527.8)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82.7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637.6)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0.20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MIP1β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20.7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143.2)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103.1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(38.0 – 1031.0)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68.7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248.9)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0.23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PDGF-AA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10.9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 xml:space="preserve">(3.4 – 16.5) 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16.4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(8.7 – 35.0)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18.0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(1.0 – 25.0)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PDGF-ABBB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15.5)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RANTES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6.6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20.5)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18.1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(3.3 – 673.6)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10.5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62.5)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0.47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sCD40L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28.0)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33.5)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15.8)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0.64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sIL2-RA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3.3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6.1)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2.8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48.7)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18.7)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0.74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TGFα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3.3)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0.47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TNFβ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3.5)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3.5)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0.58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VEGF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45.0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664.4)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81.0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(41.5 – 477.2)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88.7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428.3)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0.12</w:t>
            </w:r>
          </w:p>
        </w:tc>
      </w:tr>
    </w:tbl>
    <w:p w:rsidR="001D745E" w:rsidRPr="001D745E" w:rsidRDefault="001D745E" w:rsidP="001D745E">
      <w:pPr>
        <w:spacing w:after="0" w:line="240" w:lineRule="auto"/>
        <w:rPr>
          <w:rFonts w:ascii="Times New Roman" w:eastAsia="MS Mincho"/>
          <w:sz w:val="24"/>
          <w:szCs w:val="24"/>
          <w:lang w:val="en-US" w:eastAsia="ja-JP"/>
        </w:rPr>
      </w:pPr>
    </w:p>
    <w:p w:rsidR="001D745E" w:rsidRPr="001D745E" w:rsidRDefault="001D745E" w:rsidP="001D745E">
      <w:pPr>
        <w:spacing w:after="200" w:line="276" w:lineRule="auto"/>
        <w:rPr>
          <w:rFonts w:ascii="Times New Roman" w:eastAsia="MS Mincho"/>
          <w:b/>
          <w:szCs w:val="24"/>
          <w:lang w:val="en-US" w:eastAsia="ja-JP"/>
        </w:rPr>
      </w:pPr>
      <w:r w:rsidRPr="001D745E">
        <w:rPr>
          <w:rFonts w:ascii="Times New Roman" w:eastAsia="MS Mincho"/>
          <w:b/>
          <w:szCs w:val="24"/>
          <w:lang w:val="en-US" w:eastAsia="ja-JP"/>
        </w:rPr>
        <w:br w:type="page"/>
      </w:r>
    </w:p>
    <w:p w:rsidR="001D745E" w:rsidRPr="001D745E" w:rsidRDefault="005D23B6" w:rsidP="001D745E">
      <w:pPr>
        <w:spacing w:after="0" w:line="240" w:lineRule="auto"/>
        <w:rPr>
          <w:rFonts w:ascii="Times New Roman" w:eastAsia="MS Mincho"/>
          <w:szCs w:val="24"/>
          <w:lang w:val="en-US" w:eastAsia="ja-JP"/>
        </w:rPr>
      </w:pPr>
      <w:r>
        <w:rPr>
          <w:rFonts w:ascii="Times New Roman" w:eastAsia="MS Mincho"/>
          <w:b/>
          <w:szCs w:val="24"/>
          <w:lang w:val="en-US" w:eastAsia="ja-JP"/>
        </w:rPr>
        <w:t>T</w:t>
      </w:r>
      <w:r w:rsidR="001D745E" w:rsidRPr="001D745E">
        <w:rPr>
          <w:rFonts w:ascii="Times New Roman" w:eastAsia="MS Mincho"/>
          <w:b/>
          <w:szCs w:val="24"/>
          <w:lang w:val="en-US" w:eastAsia="ja-JP"/>
        </w:rPr>
        <w:t xml:space="preserve">able </w:t>
      </w:r>
      <w:bookmarkStart w:id="0" w:name="_GoBack"/>
      <w:r>
        <w:rPr>
          <w:rFonts w:ascii="Times New Roman" w:eastAsia="MS Mincho"/>
          <w:b/>
          <w:szCs w:val="24"/>
          <w:lang w:val="en-US" w:eastAsia="ja-JP"/>
        </w:rPr>
        <w:t>S</w:t>
      </w:r>
      <w:r w:rsidR="00A455EB">
        <w:rPr>
          <w:rFonts w:ascii="Times New Roman" w:eastAsia="MS Mincho"/>
          <w:b/>
          <w:szCs w:val="24"/>
          <w:lang w:val="en-US" w:eastAsia="ja-JP"/>
        </w:rPr>
        <w:t>4</w:t>
      </w:r>
      <w:bookmarkEnd w:id="0"/>
      <w:r w:rsidR="001D745E" w:rsidRPr="001D745E">
        <w:rPr>
          <w:rFonts w:ascii="Times New Roman" w:eastAsia="MS Mincho"/>
          <w:b/>
          <w:szCs w:val="24"/>
          <w:lang w:val="en-US" w:eastAsia="ja-JP"/>
        </w:rPr>
        <w:t xml:space="preserve">. </w:t>
      </w:r>
      <w:proofErr w:type="gramStart"/>
      <w:r w:rsidR="001D745E" w:rsidRPr="001D745E">
        <w:rPr>
          <w:rFonts w:ascii="Times New Roman" w:eastAsia="MS Mincho"/>
          <w:b/>
          <w:szCs w:val="24"/>
          <w:lang w:val="en-US" w:eastAsia="ja-JP"/>
        </w:rPr>
        <w:t>Levels of cytokines/chemokines in ACM.</w:t>
      </w:r>
      <w:proofErr w:type="gramEnd"/>
      <w:r w:rsidR="001D745E" w:rsidRPr="001D745E">
        <w:rPr>
          <w:rFonts w:ascii="Times New Roman" w:eastAsia="MS Mincho"/>
          <w:szCs w:val="24"/>
          <w:lang w:val="en-US" w:eastAsia="ja-JP"/>
        </w:rPr>
        <w:t xml:space="preserve"> Differences between BMI ≤ 25 </w:t>
      </w:r>
      <w:proofErr w:type="gramStart"/>
      <w:r w:rsidR="001D745E" w:rsidRPr="001D745E">
        <w:rPr>
          <w:rFonts w:ascii="Times New Roman" w:eastAsia="MS Mincho"/>
          <w:szCs w:val="24"/>
          <w:lang w:val="en-US" w:eastAsia="ja-JP"/>
        </w:rPr>
        <w:t>group</w:t>
      </w:r>
      <w:proofErr w:type="gramEnd"/>
      <w:r w:rsidR="001D745E" w:rsidRPr="001D745E">
        <w:rPr>
          <w:rFonts w:ascii="Times New Roman" w:eastAsia="MS Mincho"/>
          <w:szCs w:val="24"/>
          <w:lang w:val="en-US" w:eastAsia="ja-JP"/>
        </w:rPr>
        <w:t xml:space="preserve"> and BMI &gt; 30 group determined with Mann-Whitney test are indicated with p-value. The Bonferroni adjusted p-value indicating significance is &lt; 0.001.</w:t>
      </w:r>
    </w:p>
    <w:tbl>
      <w:tblPr>
        <w:tblW w:w="9432" w:type="dxa"/>
        <w:tblLook w:val="04A0"/>
      </w:tblPr>
      <w:tblGrid>
        <w:gridCol w:w="1418"/>
        <w:gridCol w:w="805"/>
        <w:gridCol w:w="1562"/>
        <w:gridCol w:w="845"/>
        <w:gridCol w:w="1562"/>
        <w:gridCol w:w="845"/>
        <w:gridCol w:w="1562"/>
        <w:gridCol w:w="833"/>
      </w:tblGrid>
      <w:tr w:rsidR="001D745E" w:rsidRPr="001D745E" w:rsidTr="001D745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 </w:t>
            </w:r>
          </w:p>
        </w:tc>
        <w:tc>
          <w:tcPr>
            <w:tcW w:w="801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/>
                <w:bCs/>
                <w:color w:val="000000"/>
                <w:sz w:val="20"/>
                <w:szCs w:val="20"/>
                <w:lang w:val="en-US" w:eastAsia="ja-JP"/>
              </w:rPr>
              <w:t>ACM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Cytokines (pg/ml)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≤ 25 (N=11)</w:t>
            </w:r>
          </w:p>
        </w:tc>
        <w:tc>
          <w:tcPr>
            <w:tcW w:w="24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&gt;25 and ≤ 30 (N=8)</w:t>
            </w:r>
          </w:p>
        </w:tc>
        <w:tc>
          <w:tcPr>
            <w:tcW w:w="24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jc w:val="center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BMI &gt; 30 (N=11)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p-value</w:t>
            </w:r>
          </w:p>
        </w:tc>
      </w:tr>
      <w:tr w:rsidR="001D745E" w:rsidRPr="001D745E" w:rsidTr="001D745E">
        <w:trPr>
          <w:trHeight w:val="25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median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(min – max)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 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EGF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6.4)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12.5)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0.48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Eotaxin</w:t>
            </w:r>
            <w:proofErr w:type="spellEnd"/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9.7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30.2)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20.8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(9.2 – 34.1)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8.9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41.0)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FGF-2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50.8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151.5)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58.2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(10.4 – 470.6)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49.8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578.1)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FLT3L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11.2)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13.5)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19.0)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0.40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Fractalkine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17.0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174.3)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64.5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(32.6 – 370.8)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32.6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229.9)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0.48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G-CSF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67.7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(3.9 – 556.1)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144.6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(17.5 – 1043.1)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100.6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648.4)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0.85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GM-CSF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3.4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(0.5 – 40.1)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13.0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59.9)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(0.7 – 36.0)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0.61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GRO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254.8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(118.6 – 2379.3)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1306.4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(117.2 – 2936.4)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880.3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(103.0 – 3663.5)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0.40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IFNα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33.7)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80.0)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9.9)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0.73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IFNγ</w:t>
            </w:r>
            <w:proofErr w:type="spellEnd"/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21.3)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61.6)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10.7)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0.32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IL1α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3.2)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4.6)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6.7)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0.48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IL1β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3.4)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3.9)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6.2)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IL1RA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15.5)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8.9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24.0)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31.4)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0.77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IL2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1.4)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0.68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IL3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5.7)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4.8)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5.2)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IL4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14.5)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  <w:t>0.04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IL5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0.6)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0.21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IL6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142.7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(28.9 – 979.2)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760.2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(44.4 – 1737.7)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300.0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(37.2 – 2854.8)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0.52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IL7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32.9)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61.1)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15.7)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IL8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670.5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(98.9 – 5468.8)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2022.5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(145.5 – 5221.9)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1543.8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(328.5 – 9676.4)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IL9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IL10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21.9)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5.2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57.6)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10.2)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0.15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IL12p40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12.5)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26.1)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2.9)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IL12p70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8.1)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4.8)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0.66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IL13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1.2)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1.3)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1.8)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0.25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IL15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1.9)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1.9)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0.76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IL17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2.1)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IP10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10.5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294.1)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51.9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122.5)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18.1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3768.0)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0.50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MCP1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391.5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(138.7 – 7492.1)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825.5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(108.0 – 2380.8)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582.9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(51.2 – 9260.7)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0.75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MCP3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20.6)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16.3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38.0)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65.1)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0.49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MDC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6.4)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1.6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61.1)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9.3)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0.67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MIP1α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18.8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67.2)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42.2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(11.6 – 71.5)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29.0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293.4)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0.56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MIP1β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15.4)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21.1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36.1)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61.8)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0.24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PDGF-AA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2.7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7.8)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13.3)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4.0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9.6)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0.19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PDGF-ABBB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5.7)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0.74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RANTES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6.1)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3.9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6.7)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53.9)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0.63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sCD40L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7.0)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21.5)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sIL2-RA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4.8)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13.8)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4.6)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0.74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TGFα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1.4)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1.4)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2.0)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bCs/>
                <w:sz w:val="20"/>
                <w:szCs w:val="20"/>
                <w:lang w:val="en-US" w:eastAsia="ja-JP"/>
              </w:rPr>
              <w:t>0.02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TNFβ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13.6)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39.5)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0.0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0.0)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0.99</w:t>
            </w:r>
          </w:p>
        </w:tc>
      </w:tr>
      <w:tr w:rsidR="001D745E" w:rsidRPr="001D745E" w:rsidTr="001D745E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VEGF</w:t>
            </w:r>
          </w:p>
        </w:tc>
        <w:tc>
          <w:tcPr>
            <w:tcW w:w="805" w:type="dxa"/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17.5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50.8)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53.7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(17.2 – 105.0)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14.9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color w:val="000000"/>
                <w:sz w:val="20"/>
                <w:szCs w:val="20"/>
                <w:lang w:val="en-US" w:eastAsia="ja-JP"/>
              </w:rPr>
              <w:t>(0.0 – 139.3)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1D745E" w:rsidRPr="001D745E" w:rsidRDefault="001D745E" w:rsidP="001D745E">
            <w:pPr>
              <w:spacing w:after="0" w:line="276" w:lineRule="auto"/>
              <w:rPr>
                <w:rFonts w:ascii="Times New Roman" w:eastAsia="MS Mincho"/>
                <w:sz w:val="20"/>
                <w:szCs w:val="20"/>
                <w:lang w:val="en-US" w:eastAsia="ja-JP"/>
              </w:rPr>
            </w:pPr>
            <w:r w:rsidRPr="001D745E">
              <w:rPr>
                <w:rFonts w:ascii="Times New Roman" w:eastAsia="MS Mincho"/>
                <w:sz w:val="20"/>
                <w:szCs w:val="20"/>
                <w:lang w:val="en-US" w:eastAsia="ja-JP"/>
              </w:rPr>
              <w:t>0.59</w:t>
            </w:r>
          </w:p>
        </w:tc>
      </w:tr>
    </w:tbl>
    <w:p w:rsidR="00B42676" w:rsidRPr="00AF6904" w:rsidRDefault="00B42676" w:rsidP="005D23B6">
      <w:pPr>
        <w:pStyle w:val="NoSpacing"/>
        <w:spacing w:line="480" w:lineRule="auto"/>
        <w:jc w:val="both"/>
        <w:rPr>
          <w:rFonts w:ascii="Times New Roman" w:hAnsi="Times New Roman" w:cs="Times New Roman"/>
        </w:rPr>
      </w:pPr>
    </w:p>
    <w:sectPr w:rsidR="00B42676" w:rsidRPr="00AF6904" w:rsidSect="00F53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24F05"/>
    <w:multiLevelType w:val="hybridMultilevel"/>
    <w:tmpl w:val="0F70A5B6"/>
    <w:lvl w:ilvl="0" w:tplc="7D3ABECC">
      <w:start w:val="8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00F88"/>
    <w:multiLevelType w:val="hybridMultilevel"/>
    <w:tmpl w:val="817C1B12"/>
    <w:lvl w:ilvl="0" w:tplc="7416DB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F54C3"/>
    <w:multiLevelType w:val="multilevel"/>
    <w:tmpl w:val="19D8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132912"/>
    <w:multiLevelType w:val="hybridMultilevel"/>
    <w:tmpl w:val="14044B84"/>
    <w:lvl w:ilvl="0" w:tplc="84681976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docVars>
    <w:docVar w:name="Total_Editing_Time" w:val="0"/>
  </w:docVars>
  <w:rsids>
    <w:rsidRoot w:val="00AF6904"/>
    <w:rsid w:val="000128F6"/>
    <w:rsid w:val="000801E8"/>
    <w:rsid w:val="001D745E"/>
    <w:rsid w:val="00220644"/>
    <w:rsid w:val="00310C82"/>
    <w:rsid w:val="00461799"/>
    <w:rsid w:val="00510413"/>
    <w:rsid w:val="005C044D"/>
    <w:rsid w:val="005D23B6"/>
    <w:rsid w:val="00762657"/>
    <w:rsid w:val="007B43FF"/>
    <w:rsid w:val="00937873"/>
    <w:rsid w:val="0099084C"/>
    <w:rsid w:val="00A455EB"/>
    <w:rsid w:val="00AF6904"/>
    <w:rsid w:val="00B42676"/>
    <w:rsid w:val="00C05B61"/>
    <w:rsid w:val="00F53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6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F6904"/>
    <w:pPr>
      <w:spacing w:after="0" w:line="240" w:lineRule="auto"/>
    </w:pPr>
    <w:rPr>
      <w:rFonts w:eastAsiaTheme="minorHAnsi" w:hAnsiTheme="minorHAnsi" w:cstheme="minorBid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F6904"/>
    <w:rPr>
      <w:rFonts w:eastAsiaTheme="minorHAnsi" w:hAnsiTheme="minorHAnsi" w:cstheme="minorBidi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904"/>
    <w:rPr>
      <w:rFonts w:ascii="Tahoma" w:eastAsia="MS Mincho" w:hAnsi="Tahoma" w:cs="Tahoma"/>
      <w:sz w:val="16"/>
      <w:szCs w:val="16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904"/>
    <w:pPr>
      <w:spacing w:after="0" w:line="240" w:lineRule="auto"/>
    </w:pPr>
    <w:rPr>
      <w:rFonts w:ascii="Tahoma" w:eastAsia="MS Mincho" w:hAnsi="Tahoma" w:cs="Tahoma"/>
      <w:sz w:val="16"/>
      <w:szCs w:val="16"/>
      <w:lang w:val="en-US" w:eastAsia="ja-JP"/>
    </w:rPr>
  </w:style>
  <w:style w:type="character" w:styleId="Hyperlink">
    <w:name w:val="Hyperlink"/>
    <w:uiPriority w:val="99"/>
    <w:rsid w:val="00AF6904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AF6904"/>
    <w:pPr>
      <w:spacing w:after="0" w:line="240" w:lineRule="auto"/>
      <w:jc w:val="center"/>
    </w:pPr>
    <w:rPr>
      <w:rFonts w:ascii="Calibri" w:eastAsia="MS Mincho" w:hAnsi="Calibri" w:cs="Calibri"/>
      <w:noProof/>
      <w:szCs w:val="24"/>
      <w:lang w:val="en-US" w:eastAsia="ja-JP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AF6904"/>
    <w:rPr>
      <w:rFonts w:ascii="Calibri" w:eastAsia="MS Mincho" w:hAnsi="Calibri" w:cs="Calibri"/>
      <w:noProof/>
      <w:szCs w:val="24"/>
      <w:lang w:val="en-US" w:eastAsia="ja-JP"/>
    </w:rPr>
  </w:style>
  <w:style w:type="paragraph" w:customStyle="1" w:styleId="EndNoteBibliography">
    <w:name w:val="EndNote Bibliography"/>
    <w:basedOn w:val="Normal"/>
    <w:link w:val="EndNoteBibliographyChar"/>
    <w:rsid w:val="00AF6904"/>
    <w:pPr>
      <w:spacing w:after="0" w:line="240" w:lineRule="auto"/>
      <w:jc w:val="both"/>
    </w:pPr>
    <w:rPr>
      <w:rFonts w:ascii="Calibri" w:eastAsia="MS Mincho" w:hAnsi="Calibri" w:cs="Calibri"/>
      <w:noProof/>
      <w:szCs w:val="24"/>
      <w:lang w:val="en-US" w:eastAsia="ja-JP"/>
    </w:rPr>
  </w:style>
  <w:style w:type="character" w:customStyle="1" w:styleId="EndNoteBibliographyChar">
    <w:name w:val="EndNote Bibliography Char"/>
    <w:basedOn w:val="NoSpacingChar"/>
    <w:link w:val="EndNoteBibliography"/>
    <w:rsid w:val="00AF6904"/>
    <w:rPr>
      <w:rFonts w:ascii="Calibri" w:eastAsia="MS Mincho" w:hAnsi="Calibri" w:cs="Calibri"/>
      <w:noProof/>
      <w:szCs w:val="24"/>
      <w:lang w:val="en-US" w:eastAsia="ja-JP"/>
    </w:rPr>
  </w:style>
  <w:style w:type="paragraph" w:styleId="CommentText">
    <w:name w:val="annotation text"/>
    <w:basedOn w:val="Normal"/>
    <w:link w:val="CommentTextChar"/>
    <w:uiPriority w:val="99"/>
    <w:unhideWhenUsed/>
    <w:rsid w:val="00AF6904"/>
    <w:pPr>
      <w:spacing w:after="0" w:line="240" w:lineRule="auto"/>
    </w:pPr>
    <w:rPr>
      <w:rFonts w:ascii="Times New Roman" w:eastAsia="MS Mincho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6904"/>
    <w:rPr>
      <w:rFonts w:ascii="Times New Roman" w:eastAsia="MS Mincho"/>
      <w:sz w:val="20"/>
      <w:szCs w:val="20"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904"/>
    <w:rPr>
      <w:rFonts w:ascii="Times New Roman" w:eastAsia="MS Mincho"/>
      <w:b/>
      <w:bCs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904"/>
    <w:rPr>
      <w:b/>
      <w:bCs/>
    </w:rPr>
  </w:style>
  <w:style w:type="character" w:customStyle="1" w:styleId="interref">
    <w:name w:val="interref"/>
    <w:basedOn w:val="DefaultParagraphFont"/>
    <w:rsid w:val="00AF6904"/>
  </w:style>
  <w:style w:type="paragraph" w:customStyle="1" w:styleId="section">
    <w:name w:val="section"/>
    <w:basedOn w:val="Normal"/>
    <w:rsid w:val="00AF6904"/>
    <w:pPr>
      <w:spacing w:before="100" w:beforeAutospacing="1" w:after="100" w:afterAutospacing="1" w:line="240" w:lineRule="auto"/>
    </w:pPr>
    <w:rPr>
      <w:rFonts w:ascii="Times New Roman" w:eastAsiaTheme="minorHAnsi"/>
      <w:sz w:val="24"/>
      <w:szCs w:val="24"/>
    </w:rPr>
  </w:style>
  <w:style w:type="character" w:customStyle="1" w:styleId="apple-converted-space">
    <w:name w:val="apple-converted-space"/>
    <w:basedOn w:val="DefaultParagraphFont"/>
    <w:rsid w:val="00AF6904"/>
  </w:style>
  <w:style w:type="paragraph" w:styleId="ListParagraph">
    <w:name w:val="List Paragraph"/>
    <w:basedOn w:val="Normal"/>
    <w:uiPriority w:val="34"/>
    <w:qFormat/>
    <w:rsid w:val="00AF6904"/>
    <w:pPr>
      <w:spacing w:after="0" w:line="240" w:lineRule="auto"/>
      <w:ind w:left="720"/>
      <w:contextualSpacing/>
    </w:pPr>
    <w:rPr>
      <w:rFonts w:ascii="Times New Roman" w:eastAsia="MS Mincho"/>
      <w:sz w:val="24"/>
      <w:szCs w:val="24"/>
      <w:lang w:val="en-US" w:eastAsia="ja-JP"/>
    </w:rPr>
  </w:style>
  <w:style w:type="character" w:styleId="Emphasis">
    <w:name w:val="Emphasis"/>
    <w:basedOn w:val="DefaultParagraphFont"/>
    <w:uiPriority w:val="20"/>
    <w:qFormat/>
    <w:rsid w:val="00AF6904"/>
    <w:rPr>
      <w:i/>
      <w:iCs/>
    </w:rPr>
  </w:style>
  <w:style w:type="numbering" w:customStyle="1" w:styleId="Geenlijst1">
    <w:name w:val="Geen lijst1"/>
    <w:next w:val="NoList"/>
    <w:uiPriority w:val="99"/>
    <w:semiHidden/>
    <w:unhideWhenUsed/>
    <w:rsid w:val="001D745E"/>
  </w:style>
  <w:style w:type="character" w:customStyle="1" w:styleId="GevolgdeHyperlink1">
    <w:name w:val="GevolgdeHyperlink1"/>
    <w:basedOn w:val="DefaultParagraphFont"/>
    <w:uiPriority w:val="99"/>
    <w:semiHidden/>
    <w:unhideWhenUsed/>
    <w:rsid w:val="001D745E"/>
    <w:rPr>
      <w:color w:val="800080"/>
      <w:u w:val="single"/>
    </w:rPr>
  </w:style>
  <w:style w:type="paragraph" w:customStyle="1" w:styleId="msonormal0">
    <w:name w:val="msonormal"/>
    <w:basedOn w:val="Normal"/>
    <w:rsid w:val="001D745E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styleId="Revision">
    <w:name w:val="Revision"/>
    <w:uiPriority w:val="99"/>
    <w:semiHidden/>
    <w:rsid w:val="001D745E"/>
    <w:pPr>
      <w:spacing w:after="0" w:line="240" w:lineRule="auto"/>
    </w:pPr>
    <w:rPr>
      <w:rFonts w:ascii="Times New Roman" w:eastAsia="MS Mincho"/>
      <w:sz w:val="24"/>
      <w:szCs w:val="24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1D745E"/>
    <w:rPr>
      <w:sz w:val="16"/>
      <w:szCs w:val="16"/>
    </w:rPr>
  </w:style>
  <w:style w:type="table" w:styleId="TableGrid">
    <w:name w:val="Table Grid"/>
    <w:basedOn w:val="TableNormal"/>
    <w:uiPriority w:val="59"/>
    <w:rsid w:val="001D745E"/>
    <w:pPr>
      <w:spacing w:after="0" w:line="240" w:lineRule="auto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chtearcering1">
    <w:name w:val="Lichte arcering1"/>
    <w:basedOn w:val="TableNormal"/>
    <w:next w:val="LightShading"/>
    <w:uiPriority w:val="60"/>
    <w:semiHidden/>
    <w:unhideWhenUsed/>
    <w:rsid w:val="001D745E"/>
    <w:pPr>
      <w:spacing w:after="0" w:line="240" w:lineRule="auto"/>
    </w:pPr>
    <w:rPr>
      <w:rFonts w:ascii="Calibri" w:eastAsia="Calibri" w:hAnsi="Calibri"/>
      <w:color w:val="000000"/>
      <w:lang w:val="nl-NL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D745E"/>
    <w:rPr>
      <w:color w:val="954F72" w:themeColor="followedHyperlink"/>
      <w:u w:val="single"/>
    </w:rPr>
  </w:style>
  <w:style w:type="table" w:styleId="LightShading">
    <w:name w:val="Light Shading"/>
    <w:basedOn w:val="TableNormal"/>
    <w:uiPriority w:val="60"/>
    <w:semiHidden/>
    <w:unhideWhenUsed/>
    <w:rsid w:val="001D74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chtearcering2">
    <w:name w:val="Lichte arcering2"/>
    <w:basedOn w:val="TableNormal"/>
    <w:next w:val="LightShading"/>
    <w:uiPriority w:val="60"/>
    <w:semiHidden/>
    <w:unhideWhenUsed/>
    <w:rsid w:val="00A455EB"/>
    <w:pPr>
      <w:spacing w:after="0" w:line="240" w:lineRule="auto"/>
    </w:pPr>
    <w:rPr>
      <w:rFonts w:ascii="Calibri" w:eastAsia="Calibri" w:hAnsi="Calibri" w:cs="Arial"/>
      <w:color w:val="000000" w:themeColor="text1" w:themeShade="BF"/>
      <w:lang w:val="nl-NL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FFEA4-EBDE-4E99-AB37-EE28BF505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1580</Words>
  <Characters>7553</Characters>
  <Application>Microsoft Office Word</Application>
  <DocSecurity>0</DocSecurity>
  <Lines>839</Lines>
  <Paragraphs>913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Bart-Anja</dc:creator>
  <cp:keywords/>
  <dc:description/>
  <cp:lastModifiedBy>WDESALES</cp:lastModifiedBy>
  <cp:revision>4</cp:revision>
  <dcterms:created xsi:type="dcterms:W3CDTF">2017-06-14T11:04:00Z</dcterms:created>
  <dcterms:modified xsi:type="dcterms:W3CDTF">2017-07-24T18:32:00Z</dcterms:modified>
</cp:coreProperties>
</file>