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C" w:rsidRPr="00296E9C" w:rsidRDefault="007370EC" w:rsidP="007370EC">
      <w:pPr>
        <w:spacing w:after="0" w:line="480" w:lineRule="auto"/>
        <w:rPr>
          <w:rFonts w:ascii="Arial" w:hAnsi="Arial" w:cs="Arial"/>
          <w:b/>
        </w:rPr>
      </w:pPr>
      <w:r w:rsidRPr="00296E9C">
        <w:rPr>
          <w:rFonts w:ascii="Arial" w:hAnsi="Arial" w:cs="Arial"/>
          <w:b/>
        </w:rPr>
        <w:t>ONLINE-ONLY SUPPLEMENTAL MATERIALS</w:t>
      </w:r>
    </w:p>
    <w:p w:rsidR="007370EC" w:rsidRPr="00296E9C" w:rsidRDefault="007370EC" w:rsidP="007370EC">
      <w:pPr>
        <w:spacing w:after="0" w:line="480" w:lineRule="auto"/>
        <w:rPr>
          <w:rFonts w:ascii="Arial" w:hAnsi="Arial" w:cs="Arial"/>
          <w:b/>
        </w:rPr>
      </w:pPr>
      <w:r w:rsidRPr="004C54CC">
        <w:rPr>
          <w:rFonts w:ascii="Arial" w:hAnsi="Arial" w:cs="Arial"/>
          <w:b/>
        </w:rPr>
        <w:t>Table 1</w:t>
      </w:r>
      <w:r w:rsidRPr="004C54CC">
        <w:rPr>
          <w:rFonts w:ascii="Arial" w:hAnsi="Arial" w:cs="Arial"/>
        </w:rPr>
        <w:t xml:space="preserve">. </w:t>
      </w:r>
      <w:r w:rsidRPr="00904CEC">
        <w:rPr>
          <w:rFonts w:ascii="Arial" w:hAnsi="Arial" w:cs="Arial"/>
        </w:rPr>
        <w:t>Patient Enrollment in RECAP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4"/>
        <w:gridCol w:w="4614"/>
      </w:tblGrid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296E9C">
              <w:rPr>
                <w:rFonts w:ascii="Arial" w:hAnsi="Arial" w:cs="Arial"/>
                <w:b/>
              </w:rPr>
              <w:t>Study Location, n (%)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296E9C">
              <w:rPr>
                <w:rFonts w:ascii="Arial" w:hAnsi="Arial" w:cs="Arial"/>
                <w:b/>
              </w:rPr>
              <w:t>Total</w:t>
            </w:r>
          </w:p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296E9C">
              <w:rPr>
                <w:rFonts w:ascii="Arial" w:hAnsi="Arial" w:cs="Arial"/>
                <w:b/>
              </w:rPr>
              <w:t>(N = 1058)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CAPACITY 2 (PIPF-004)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335 (31.7)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ind w:left="157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United States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220 (20.8)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ind w:left="157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Rest of world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115 (10.9)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CAPACITY 1 (PIPF-006)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268 (25.3)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ind w:left="157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United States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229 (21.6)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ind w:left="157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Rest of world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39 (3.7)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ASCEND (PIPF-016)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455 (43.0)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ind w:left="157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United States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310 (29.3)</w:t>
            </w:r>
          </w:p>
        </w:tc>
      </w:tr>
      <w:tr w:rsidR="007370EC" w:rsidRPr="004C54CC" w:rsidTr="00D11CA4">
        <w:trPr>
          <w:trHeight w:val="432"/>
        </w:trPr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ind w:left="157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Rest of world</w:t>
            </w:r>
          </w:p>
        </w:tc>
        <w:tc>
          <w:tcPr>
            <w:tcW w:w="4614" w:type="dxa"/>
            <w:vAlign w:val="center"/>
          </w:tcPr>
          <w:p w:rsidR="007370EC" w:rsidRPr="00296E9C" w:rsidRDefault="007370EC" w:rsidP="00D11CA4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296E9C">
              <w:rPr>
                <w:rFonts w:ascii="Arial" w:hAnsi="Arial" w:cs="Arial"/>
              </w:rPr>
              <w:t>145 (13.7)</w:t>
            </w:r>
          </w:p>
        </w:tc>
      </w:tr>
    </w:tbl>
    <w:p w:rsidR="007370EC" w:rsidRPr="004C32B3" w:rsidRDefault="007370EC" w:rsidP="007370EC">
      <w:pPr>
        <w:spacing w:after="0" w:line="480" w:lineRule="auto"/>
        <w:rPr>
          <w:rFonts w:ascii="Arial" w:hAnsi="Arial" w:cs="Arial"/>
        </w:rPr>
      </w:pPr>
      <w:r w:rsidRPr="004C32B3">
        <w:rPr>
          <w:rFonts w:ascii="Arial" w:hAnsi="Arial" w:cs="Arial"/>
        </w:rPr>
        <w:t xml:space="preserve">ASCEND, Assessment of Pirfenidone to Confirm Efficacy and Safety in Idiopathic Pulmonary Fibrosis; CAPACITY, Clinical Studies Assessing Pirfenidone in Idiopathic Pulmonary Fibrosis: Research of Efficacy and Safety Outcomes. </w:t>
      </w:r>
    </w:p>
    <w:p w:rsidR="007370EC" w:rsidRPr="004C54CC" w:rsidRDefault="007370EC" w:rsidP="007370EC">
      <w:pPr>
        <w:spacing w:after="0" w:line="480" w:lineRule="auto"/>
        <w:rPr>
          <w:rFonts w:ascii="Arial" w:hAnsi="Arial" w:cs="Arial"/>
        </w:rPr>
      </w:pPr>
      <w:r w:rsidRPr="004C54CC">
        <w:rPr>
          <w:rFonts w:ascii="Arial" w:hAnsi="Arial" w:cs="Arial"/>
        </w:rPr>
        <w:br w:type="page"/>
      </w:r>
    </w:p>
    <w:p w:rsidR="007370EC" w:rsidRPr="00904CEC" w:rsidRDefault="007370EC" w:rsidP="007370EC">
      <w:pPr>
        <w:spacing w:after="0" w:line="480" w:lineRule="auto"/>
        <w:rPr>
          <w:rFonts w:ascii="Arial" w:hAnsi="Arial" w:cs="Arial"/>
        </w:rPr>
      </w:pPr>
      <w:r w:rsidRPr="004C54CC">
        <w:rPr>
          <w:rFonts w:ascii="Arial" w:hAnsi="Arial" w:cs="Arial"/>
          <w:b/>
        </w:rPr>
        <w:lastRenderedPageBreak/>
        <w:t>Table 2</w:t>
      </w:r>
      <w:r w:rsidRPr="004C54CC">
        <w:rPr>
          <w:rFonts w:ascii="Arial" w:hAnsi="Arial" w:cs="Arial"/>
        </w:rPr>
        <w:t xml:space="preserve">. </w:t>
      </w:r>
      <w:r w:rsidRPr="00904CEC">
        <w:rPr>
          <w:rFonts w:ascii="Arial" w:hAnsi="Arial" w:cs="Arial"/>
        </w:rPr>
        <w:t>Summary of ADRs With Incidence in ≥ 5% of Patients in RECAP Compared With Pirfenidone-Treated Patients in the CAPACITY 004/006 and ASCEND Trials</w:t>
      </w:r>
    </w:p>
    <w:tbl>
      <w:tblPr>
        <w:tblW w:w="1119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687"/>
        <w:gridCol w:w="1170"/>
        <w:gridCol w:w="1710"/>
        <w:gridCol w:w="1530"/>
        <w:gridCol w:w="1332"/>
        <w:gridCol w:w="1603"/>
      </w:tblGrid>
      <w:tr w:rsidR="007370EC" w:rsidRPr="004C54CC" w:rsidTr="00D11CA4">
        <w:trPr>
          <w:trHeight w:val="19"/>
        </w:trPr>
        <w:tc>
          <w:tcPr>
            <w:tcW w:w="2160" w:type="dxa"/>
            <w:vMerge w:val="restart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  <w:r w:rsidRPr="00296E9C">
              <w:rPr>
                <w:b/>
              </w:rPr>
              <w:t>ADR, n (%)</w:t>
            </w:r>
            <w:r>
              <w:rPr>
                <w:b/>
              </w:rPr>
              <w:t>*</w:t>
            </w:r>
          </w:p>
        </w:tc>
        <w:tc>
          <w:tcPr>
            <w:tcW w:w="4567" w:type="dxa"/>
            <w:gridSpan w:val="3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>RECAP</w:t>
            </w:r>
          </w:p>
        </w:tc>
        <w:tc>
          <w:tcPr>
            <w:tcW w:w="4465" w:type="dxa"/>
            <w:gridSpan w:val="3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>
              <w:rPr>
                <w:b/>
              </w:rPr>
              <w:t>CAPACITY 004/006</w:t>
            </w:r>
            <w:r w:rsidRPr="00296E9C">
              <w:rPr>
                <w:b/>
              </w:rPr>
              <w:t xml:space="preserve"> and ASCEND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Merge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>Total</w:t>
            </w:r>
          </w:p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>(N = 1058)</w:t>
            </w:r>
          </w:p>
        </w:tc>
        <w:tc>
          <w:tcPr>
            <w:tcW w:w="2880" w:type="dxa"/>
            <w:gridSpan w:val="2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>Adjusted rate</w:t>
            </w:r>
            <w:r>
              <w:rPr>
                <w:b/>
              </w:rPr>
              <w:t>*</w:t>
            </w:r>
          </w:p>
        </w:tc>
        <w:tc>
          <w:tcPr>
            <w:tcW w:w="1530" w:type="dxa"/>
            <w:vMerge w:val="restart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>Total</w:t>
            </w:r>
          </w:p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>(N = 623)</w:t>
            </w:r>
          </w:p>
        </w:tc>
        <w:tc>
          <w:tcPr>
            <w:tcW w:w="2935" w:type="dxa"/>
            <w:gridSpan w:val="2"/>
            <w:vAlign w:val="center"/>
          </w:tcPr>
          <w:p w:rsidR="007370EC" w:rsidRPr="001852B9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  <w:vertAlign w:val="superscript"/>
              </w:rPr>
            </w:pPr>
            <w:r w:rsidRPr="00296E9C">
              <w:rPr>
                <w:b/>
              </w:rPr>
              <w:t>Adjusted rate</w:t>
            </w:r>
            <w:r>
              <w:rPr>
                <w:b/>
                <w:vertAlign w:val="superscript"/>
              </w:rPr>
              <w:t>†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Merge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</w:p>
        </w:tc>
        <w:tc>
          <w:tcPr>
            <w:tcW w:w="1687" w:type="dxa"/>
            <w:vMerge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 xml:space="preserve">No. of </w:t>
            </w:r>
            <w:r w:rsidRPr="004C54CC">
              <w:rPr>
                <w:b/>
              </w:rPr>
              <w:t>E</w:t>
            </w:r>
            <w:r w:rsidRPr="00296E9C">
              <w:rPr>
                <w:b/>
              </w:rPr>
              <w:t>vents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 xml:space="preserve">Rate per </w:t>
            </w:r>
            <w:r>
              <w:rPr>
                <w:b/>
              </w:rPr>
              <w:t xml:space="preserve">100 </w:t>
            </w:r>
            <w:r w:rsidRPr="00296E9C">
              <w:rPr>
                <w:b/>
              </w:rPr>
              <w:t>PEY</w:t>
            </w:r>
          </w:p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>(2482 PEY)</w:t>
            </w:r>
          </w:p>
        </w:tc>
        <w:tc>
          <w:tcPr>
            <w:tcW w:w="1530" w:type="dxa"/>
            <w:vMerge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 xml:space="preserve">No. of </w:t>
            </w:r>
            <w:r w:rsidRPr="004C54CC">
              <w:rPr>
                <w:b/>
              </w:rPr>
              <w:t>E</w:t>
            </w:r>
            <w:r w:rsidRPr="00296E9C">
              <w:rPr>
                <w:b/>
              </w:rPr>
              <w:t>vents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296E9C">
              <w:rPr>
                <w:b/>
              </w:rPr>
              <w:t xml:space="preserve">Rate per </w:t>
            </w:r>
            <w:r>
              <w:rPr>
                <w:b/>
              </w:rPr>
              <w:t>100 PEY</w:t>
            </w:r>
            <w:r>
              <w:rPr>
                <w:b/>
              </w:rPr>
              <w:br/>
            </w:r>
            <w:r w:rsidRPr="00296E9C">
              <w:rPr>
                <w:b/>
              </w:rPr>
              <w:t>(735.7 PEY)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Total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786 (74.3)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3318</w:t>
            </w:r>
          </w:p>
        </w:tc>
        <w:tc>
          <w:tcPr>
            <w:tcW w:w="171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133.7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556 (89.2)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3081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418.8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Nausea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229 (21.6)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289</w:t>
            </w:r>
          </w:p>
        </w:tc>
        <w:tc>
          <w:tcPr>
            <w:tcW w:w="171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11.6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202 (32.4)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284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38.6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Diarrhea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130 (12.3)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171</w:t>
            </w:r>
          </w:p>
        </w:tc>
        <w:tc>
          <w:tcPr>
            <w:tcW w:w="171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6.9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117 (18.8)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 xml:space="preserve">191 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26.0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Rash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123 (11.6)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179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7.2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163 (26.2)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245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33.3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Dyspepsia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92 (8.7)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106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4.3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100 (16.1)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120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16.3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Fatigue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90 (8.5)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102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4.1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115 (18.5)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156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21.2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Anorexia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81 (7.7)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88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3.5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71 (11.4)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75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10.2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Default="007370EC" w:rsidP="00D11CA4">
            <w:pPr>
              <w:pStyle w:val="normal"/>
              <w:spacing w:before="0" w:after="0"/>
            </w:pPr>
            <w:r w:rsidRPr="00296E9C">
              <w:t>Photosensitivity reaction</w:t>
            </w:r>
          </w:p>
          <w:p w:rsidR="007370EC" w:rsidRPr="00296E9C" w:rsidRDefault="007370EC" w:rsidP="00D11CA4">
            <w:pPr>
              <w:pStyle w:val="normal"/>
              <w:spacing w:before="0" w:after="0"/>
            </w:pP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75 (7.1)</w:t>
            </w:r>
          </w:p>
        </w:tc>
        <w:tc>
          <w:tcPr>
            <w:tcW w:w="117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99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4.0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58 (9.3)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84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11.4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Dizziness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66 (6.2)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82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3.3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56 (9.0)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 xml:space="preserve">73 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9.9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Default="007370EC" w:rsidP="00D11CA4">
            <w:pPr>
              <w:pStyle w:val="normal"/>
              <w:spacing w:before="0" w:after="0"/>
            </w:pPr>
            <w:r w:rsidRPr="00296E9C">
              <w:t>Gastroesophageal reflux disease</w:t>
            </w:r>
          </w:p>
          <w:p w:rsidR="007370EC" w:rsidRPr="00296E9C" w:rsidRDefault="007370EC" w:rsidP="00D11CA4">
            <w:pPr>
              <w:pStyle w:val="normal"/>
              <w:spacing w:before="0" w:after="0"/>
            </w:pP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66 (6.2)</w:t>
            </w:r>
          </w:p>
        </w:tc>
        <w:tc>
          <w:tcPr>
            <w:tcW w:w="117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73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2.9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46 (7.4)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52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7.1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Decreased appetite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64 (6.0)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68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2.7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46 (7.4)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50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6.8</w:t>
            </w:r>
          </w:p>
        </w:tc>
      </w:tr>
      <w:tr w:rsidR="007370EC" w:rsidRPr="004C54CC" w:rsidTr="00D11CA4">
        <w:trPr>
          <w:trHeight w:val="19"/>
        </w:trPr>
        <w:tc>
          <w:tcPr>
            <w:tcW w:w="216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</w:pPr>
            <w:r w:rsidRPr="00296E9C">
              <w:t>Headache</w:t>
            </w:r>
          </w:p>
        </w:tc>
        <w:tc>
          <w:tcPr>
            <w:tcW w:w="1687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53 (5.0)</w:t>
            </w:r>
          </w:p>
        </w:tc>
        <w:tc>
          <w:tcPr>
            <w:tcW w:w="1170" w:type="dxa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70</w:t>
            </w:r>
          </w:p>
        </w:tc>
        <w:tc>
          <w:tcPr>
            <w:tcW w:w="171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2.8</w:t>
            </w:r>
          </w:p>
        </w:tc>
        <w:tc>
          <w:tcPr>
            <w:tcW w:w="1530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63 (10.1)</w:t>
            </w:r>
          </w:p>
        </w:tc>
        <w:tc>
          <w:tcPr>
            <w:tcW w:w="1332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 xml:space="preserve">84 </w:t>
            </w:r>
          </w:p>
        </w:tc>
        <w:tc>
          <w:tcPr>
            <w:tcW w:w="1603" w:type="dxa"/>
            <w:vAlign w:val="center"/>
          </w:tcPr>
          <w:p w:rsidR="007370EC" w:rsidRPr="00296E9C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296E9C">
              <w:t>11.4</w:t>
            </w:r>
          </w:p>
        </w:tc>
      </w:tr>
    </w:tbl>
    <w:p w:rsidR="007370EC" w:rsidRPr="004C32B3" w:rsidRDefault="007370EC" w:rsidP="007370EC">
      <w:pPr>
        <w:spacing w:after="0" w:line="480" w:lineRule="auto"/>
        <w:rPr>
          <w:rFonts w:ascii="Arial" w:hAnsi="Arial" w:cs="Arial"/>
        </w:rPr>
      </w:pPr>
      <w:r w:rsidRPr="004C32B3">
        <w:rPr>
          <w:rFonts w:ascii="Arial" w:hAnsi="Arial" w:cs="Arial"/>
        </w:rPr>
        <w:t>ASCEND, Assessment of Pirfenidone to Confirm Efficacy and Safety in Idiopathic Pulmonary Fibrosis; ADR, adverse drug reaction</w:t>
      </w:r>
      <w:r>
        <w:rPr>
          <w:rFonts w:ascii="Arial" w:hAnsi="Arial" w:cs="Arial"/>
        </w:rPr>
        <w:t xml:space="preserve">; </w:t>
      </w:r>
      <w:r w:rsidRPr="004C32B3">
        <w:rPr>
          <w:rFonts w:ascii="Arial" w:hAnsi="Arial" w:cs="Arial"/>
        </w:rPr>
        <w:t>CAPACITY, Clinical Studies Assessing Pirfenidone in Idiopathic Pulmonary Fibrosis: Research of Efficacy and Safety Outcomes; PEY, patient-exposure year.</w:t>
      </w:r>
    </w:p>
    <w:p w:rsidR="007370EC" w:rsidRDefault="007370EC" w:rsidP="007370EC">
      <w:pPr>
        <w:pStyle w:val="normal"/>
        <w:spacing w:before="0" w:after="0" w:line="480" w:lineRule="auto"/>
      </w:pPr>
      <w:r w:rsidRPr="001852B9">
        <w:t>*</w:t>
      </w:r>
      <w:r>
        <w:t xml:space="preserve"> AE considered possibly or probably related to pirfenidone by the investigator.</w:t>
      </w:r>
      <w:r w:rsidRPr="004C32B3">
        <w:t xml:space="preserve"> </w:t>
      </w:r>
    </w:p>
    <w:p w:rsidR="007370EC" w:rsidRPr="004C32B3" w:rsidRDefault="007370EC" w:rsidP="007370EC">
      <w:pPr>
        <w:pStyle w:val="normal"/>
        <w:spacing w:before="0" w:after="0" w:line="480" w:lineRule="auto"/>
      </w:pPr>
      <w:r>
        <w:rPr>
          <w:vertAlign w:val="superscript"/>
        </w:rPr>
        <w:lastRenderedPageBreak/>
        <w:t xml:space="preserve">† </w:t>
      </w:r>
      <w:r w:rsidRPr="004C32B3">
        <w:t>Adjusted rate per 100 PEY = (total number of events/total years of exposure) × 100.</w:t>
      </w:r>
    </w:p>
    <w:p w:rsidR="007370EC" w:rsidRPr="00E31BDD" w:rsidRDefault="007370EC" w:rsidP="007370EC">
      <w:pPr>
        <w:spacing w:after="0" w:line="480" w:lineRule="auto"/>
        <w:rPr>
          <w:rFonts w:ascii="Arial" w:hAnsi="Arial"/>
        </w:rPr>
      </w:pPr>
      <w:r w:rsidRPr="004C32B3">
        <w:br w:type="page"/>
      </w:r>
      <w:r w:rsidRPr="00E31BDD">
        <w:rPr>
          <w:rFonts w:ascii="Arial" w:hAnsi="Arial"/>
          <w:b/>
        </w:rPr>
        <w:lastRenderedPageBreak/>
        <w:t>Table 3</w:t>
      </w:r>
      <w:r w:rsidRPr="00E31BDD">
        <w:rPr>
          <w:rFonts w:ascii="Arial" w:hAnsi="Arial"/>
        </w:rPr>
        <w:t xml:space="preserve">. </w:t>
      </w:r>
      <w:r w:rsidRPr="00904CEC">
        <w:rPr>
          <w:rFonts w:ascii="Arial" w:hAnsi="Arial"/>
        </w:rPr>
        <w:t>Summary of ADRs That Led to Discontinuation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2404"/>
        <w:gridCol w:w="1494"/>
        <w:gridCol w:w="2455"/>
      </w:tblGrid>
      <w:tr w:rsidR="007370EC" w:rsidRPr="004C54CC" w:rsidTr="00D11CA4">
        <w:trPr>
          <w:trHeight w:val="24"/>
        </w:trPr>
        <w:tc>
          <w:tcPr>
            <w:tcW w:w="3598" w:type="dxa"/>
            <w:vMerge w:val="restart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  <w:r w:rsidRPr="00615434">
              <w:rPr>
                <w:b/>
              </w:rPr>
              <w:t>ADR, n (%)</w:t>
            </w:r>
            <w:r>
              <w:rPr>
                <w:b/>
              </w:rPr>
              <w:t>*</w:t>
            </w:r>
          </w:p>
        </w:tc>
        <w:tc>
          <w:tcPr>
            <w:tcW w:w="2404" w:type="dxa"/>
            <w:vMerge w:val="restart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615434">
              <w:rPr>
                <w:b/>
              </w:rPr>
              <w:t>Total</w:t>
            </w:r>
          </w:p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615434">
              <w:rPr>
                <w:b/>
              </w:rPr>
              <w:t>(N = 1058)</w:t>
            </w:r>
          </w:p>
        </w:tc>
        <w:tc>
          <w:tcPr>
            <w:tcW w:w="3949" w:type="dxa"/>
            <w:gridSpan w:val="2"/>
            <w:vAlign w:val="center"/>
          </w:tcPr>
          <w:p w:rsidR="007370EC" w:rsidRPr="001852B9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  <w:vertAlign w:val="superscript"/>
              </w:rPr>
            </w:pPr>
            <w:r w:rsidRPr="00615434">
              <w:rPr>
                <w:b/>
              </w:rPr>
              <w:t>Adjusted Rate</w:t>
            </w:r>
            <w:r>
              <w:rPr>
                <w:b/>
                <w:vertAlign w:val="superscript"/>
              </w:rPr>
              <w:t>†</w:t>
            </w:r>
          </w:p>
        </w:tc>
      </w:tr>
      <w:tr w:rsidR="007370EC" w:rsidRPr="004C54CC" w:rsidTr="00D11CA4">
        <w:trPr>
          <w:trHeight w:val="827"/>
        </w:trPr>
        <w:tc>
          <w:tcPr>
            <w:tcW w:w="3598" w:type="dxa"/>
            <w:vMerge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615434">
              <w:rPr>
                <w:b/>
              </w:rPr>
              <w:t>No. of Events</w:t>
            </w:r>
          </w:p>
        </w:tc>
        <w:tc>
          <w:tcPr>
            <w:tcW w:w="2455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615434">
              <w:rPr>
                <w:b/>
              </w:rPr>
              <w:t>Rate per 100 PEY</w:t>
            </w:r>
          </w:p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615434">
              <w:rPr>
                <w:b/>
              </w:rPr>
              <w:t>(2482 PEY)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Total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120 (11.3)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120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4.8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Rash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12 (1.1)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0.5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Nausea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11 (1.0)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0.4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IPF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5 (0.5)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5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0.2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Weight decrease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5 (0.5)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5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0.2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Decreased appetite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4 (0.4)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4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0.2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Ovarian cancer recurrent</w:t>
            </w:r>
            <w:r>
              <w:rPr>
                <w:vertAlign w:val="superscript"/>
              </w:rPr>
              <w:t>‡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(0.4)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Abdominal discomfort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Asthenia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Diarrhea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Dyspepsia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Fatigue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Electrocardiogram QT prolonged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Gastroesophageal reflux disease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Hepatic enzyme increase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Liver function test abnormal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 xml:space="preserve">Rash generalized 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 (0.3)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3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Abdominal pain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Acute respiratory failure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Anorexia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Erythema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lastRenderedPageBreak/>
              <w:t>Malaise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Photosensitivity reaction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Pneumonia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Rash erythematous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 (0.2)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2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Benign prostatic hyperplasia</w:t>
            </w:r>
            <w:r>
              <w:rPr>
                <w:vertAlign w:val="superscript"/>
              </w:rPr>
              <w:t>§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Abdominal distension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Abdominal pain upper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Blood creatine phosphokinase increase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Burning sensation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Cachexia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Cardiac failure congestive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Central nervous system lesion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Cerebrovascular accident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 xml:space="preserve"> 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Chronic inflammatory demyelinating polyradiculoneuropathy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Demyelinating polyneuropathy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Dermatitis allergic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Disease progression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Drug eruption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Dysgeusia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Dyspnea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Eczema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Exfoliative rash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lastRenderedPageBreak/>
              <w:t>γ-glutamyltransferase increase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Gastrointestinal disorder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Hepatic neoplasm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Hypoxia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Lobar pneumonia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Lung neoplasm malignant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Mononeuropathy multiplex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Myocardial infarction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 xml:space="preserve">Pneumocystis </w:t>
            </w:r>
            <w:proofErr w:type="spellStart"/>
            <w:r w:rsidRPr="00615434">
              <w:t>jiroveci</w:t>
            </w:r>
            <w:proofErr w:type="spellEnd"/>
            <w:r w:rsidRPr="00615434">
              <w:t xml:space="preserve"> pneumonia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Pneumonia aspiration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 xml:space="preserve">Pulmonary embolism 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Rash papular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Renal failure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Respiratory failure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Skin ulcer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Throat irritation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</w:pPr>
            <w:r w:rsidRPr="00615434">
              <w:t>Urticaria</w:t>
            </w:r>
          </w:p>
        </w:tc>
        <w:tc>
          <w:tcPr>
            <w:tcW w:w="2404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 (0.1)</w:t>
            </w:r>
          </w:p>
        </w:tc>
        <w:tc>
          <w:tcPr>
            <w:tcW w:w="1494" w:type="dxa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1</w:t>
            </w:r>
          </w:p>
        </w:tc>
        <w:tc>
          <w:tcPr>
            <w:tcW w:w="2455" w:type="dxa"/>
            <w:vAlign w:val="center"/>
          </w:tcPr>
          <w:p w:rsidR="007370EC" w:rsidRPr="00615434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615434">
              <w:t>&lt; 0.1</w:t>
            </w:r>
          </w:p>
        </w:tc>
      </w:tr>
    </w:tbl>
    <w:p w:rsidR="007370EC" w:rsidRPr="004C32B3" w:rsidRDefault="007370EC" w:rsidP="007370EC">
      <w:pPr>
        <w:spacing w:after="0" w:line="480" w:lineRule="auto"/>
        <w:rPr>
          <w:rFonts w:ascii="Arial" w:hAnsi="Arial" w:cs="Arial"/>
        </w:rPr>
      </w:pPr>
      <w:r w:rsidRPr="004C32B3">
        <w:rPr>
          <w:rFonts w:ascii="Arial" w:hAnsi="Arial" w:cs="Arial"/>
        </w:rPr>
        <w:t>ADR, adverse drug reaction; PEY, patient</w:t>
      </w:r>
      <w:r w:rsidRPr="004C54CC">
        <w:rPr>
          <w:rFonts w:ascii="Arial" w:hAnsi="Arial" w:cs="Arial"/>
        </w:rPr>
        <w:t>-</w:t>
      </w:r>
      <w:r w:rsidRPr="004C32B3">
        <w:rPr>
          <w:rFonts w:ascii="Arial" w:hAnsi="Arial" w:cs="Arial"/>
        </w:rPr>
        <w:t>exposure year.</w:t>
      </w:r>
    </w:p>
    <w:p w:rsidR="007370EC" w:rsidRDefault="007370EC" w:rsidP="007370EC">
      <w:pPr>
        <w:pStyle w:val="normal"/>
        <w:spacing w:before="0" w:after="0" w:line="480" w:lineRule="auto"/>
      </w:pPr>
      <w:r>
        <w:t>*</w:t>
      </w:r>
      <w:r w:rsidRPr="004C32B3">
        <w:t xml:space="preserve"> </w:t>
      </w:r>
      <w:r>
        <w:t>AE considered possibly or probably related to pirfenidone by the investigator.</w:t>
      </w:r>
    </w:p>
    <w:p w:rsidR="007370EC" w:rsidRPr="004C32B3" w:rsidRDefault="007370EC" w:rsidP="007370EC">
      <w:pPr>
        <w:pStyle w:val="normal"/>
        <w:spacing w:before="0" w:after="0" w:line="480" w:lineRule="auto"/>
      </w:pPr>
      <w:r>
        <w:rPr>
          <w:vertAlign w:val="superscript"/>
        </w:rPr>
        <w:t xml:space="preserve">† </w:t>
      </w:r>
      <w:r w:rsidRPr="004C32B3">
        <w:t xml:space="preserve">Adjusted rate per 100 </w:t>
      </w:r>
      <w:r w:rsidRPr="004C54CC">
        <w:t>PEY</w:t>
      </w:r>
      <w:r w:rsidRPr="004C32B3">
        <w:t xml:space="preserve"> = (total number of events/total years of exposure) </w:t>
      </w:r>
      <w:r w:rsidRPr="004C54CC">
        <w:t>×</w:t>
      </w:r>
      <w:r w:rsidRPr="004C32B3">
        <w:t xml:space="preserve"> 100.</w:t>
      </w:r>
    </w:p>
    <w:p w:rsidR="007370EC" w:rsidRPr="004C32B3" w:rsidRDefault="007370EC" w:rsidP="007370EC">
      <w:pPr>
        <w:pStyle w:val="normal"/>
        <w:spacing w:before="0" w:after="0" w:line="480" w:lineRule="auto"/>
      </w:pPr>
      <w:r>
        <w:rPr>
          <w:vertAlign w:val="superscript"/>
        </w:rPr>
        <w:t>‡</w:t>
      </w:r>
      <w:r w:rsidRPr="004C32B3">
        <w:t xml:space="preserve"> Percentage based on the number of </w:t>
      </w:r>
      <w:r w:rsidRPr="004C54CC">
        <w:t>women</w:t>
      </w:r>
      <w:r w:rsidRPr="004C32B3">
        <w:t xml:space="preserve"> within each dose group.</w:t>
      </w:r>
    </w:p>
    <w:p w:rsidR="007370EC" w:rsidRPr="004C32B3" w:rsidRDefault="007370EC" w:rsidP="007370EC">
      <w:pPr>
        <w:pStyle w:val="normal"/>
        <w:spacing w:before="0" w:after="0" w:line="480" w:lineRule="auto"/>
      </w:pPr>
      <w:r>
        <w:rPr>
          <w:vertAlign w:val="superscript"/>
        </w:rPr>
        <w:t xml:space="preserve">§ </w:t>
      </w:r>
      <w:r w:rsidRPr="004C32B3">
        <w:t xml:space="preserve">Percentage based on the number of </w:t>
      </w:r>
      <w:r w:rsidRPr="004C54CC">
        <w:t>men</w:t>
      </w:r>
      <w:r w:rsidRPr="004C32B3">
        <w:t xml:space="preserve"> within each dose group.</w:t>
      </w:r>
    </w:p>
    <w:p w:rsidR="007370EC" w:rsidRPr="004C32B3" w:rsidRDefault="007370EC" w:rsidP="007370EC">
      <w:pPr>
        <w:spacing w:after="0" w:line="480" w:lineRule="auto"/>
        <w:rPr>
          <w:rFonts w:ascii="Arial" w:hAnsi="Arial" w:cs="Arial"/>
        </w:rPr>
      </w:pPr>
      <w:r w:rsidRPr="004C32B3">
        <w:br w:type="page"/>
      </w:r>
    </w:p>
    <w:p w:rsidR="007370EC" w:rsidRPr="00904CEC" w:rsidRDefault="007370EC" w:rsidP="007370EC">
      <w:pPr>
        <w:spacing w:after="0" w:line="480" w:lineRule="auto"/>
        <w:rPr>
          <w:rFonts w:ascii="Arial" w:hAnsi="Arial" w:cs="Arial"/>
        </w:rPr>
      </w:pPr>
      <w:r w:rsidRPr="004C54CC">
        <w:rPr>
          <w:rFonts w:ascii="Arial" w:hAnsi="Arial" w:cs="Arial"/>
          <w:b/>
        </w:rPr>
        <w:lastRenderedPageBreak/>
        <w:t>Table 4</w:t>
      </w:r>
      <w:r w:rsidRPr="004C54CC">
        <w:rPr>
          <w:rFonts w:ascii="Arial" w:hAnsi="Arial" w:cs="Arial"/>
        </w:rPr>
        <w:t xml:space="preserve">. </w:t>
      </w:r>
      <w:r w:rsidRPr="00904CEC">
        <w:rPr>
          <w:rFonts w:ascii="Arial" w:hAnsi="Arial" w:cs="Arial"/>
        </w:rPr>
        <w:t>Summary of TEAEs With the Outcome of Death With Incidence in ≥ 1% of Patients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2404"/>
        <w:gridCol w:w="1494"/>
        <w:gridCol w:w="2455"/>
      </w:tblGrid>
      <w:tr w:rsidR="007370EC" w:rsidRPr="004C54CC" w:rsidTr="00D11CA4">
        <w:trPr>
          <w:trHeight w:val="24"/>
        </w:trPr>
        <w:tc>
          <w:tcPr>
            <w:tcW w:w="3598" w:type="dxa"/>
            <w:vMerge w:val="restart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  <w:r>
              <w:rPr>
                <w:b/>
              </w:rPr>
              <w:t>TE</w:t>
            </w:r>
            <w:r w:rsidRPr="004C32B3">
              <w:rPr>
                <w:b/>
              </w:rPr>
              <w:t>AE, n (%)</w:t>
            </w:r>
          </w:p>
        </w:tc>
        <w:tc>
          <w:tcPr>
            <w:tcW w:w="2404" w:type="dxa"/>
            <w:vMerge w:val="restart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Total</w:t>
            </w:r>
          </w:p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(N = 1058)</w:t>
            </w:r>
          </w:p>
        </w:tc>
        <w:tc>
          <w:tcPr>
            <w:tcW w:w="3949" w:type="dxa"/>
            <w:gridSpan w:val="2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  <w:vertAlign w:val="superscript"/>
              </w:rPr>
            </w:pPr>
            <w:r w:rsidRPr="004C32B3">
              <w:rPr>
                <w:b/>
              </w:rPr>
              <w:t xml:space="preserve">Adjusted </w:t>
            </w:r>
            <w:r w:rsidRPr="004C54CC">
              <w:rPr>
                <w:b/>
              </w:rPr>
              <w:t>R</w:t>
            </w:r>
            <w:r w:rsidRPr="004C32B3">
              <w:rPr>
                <w:b/>
              </w:rPr>
              <w:t>ate</w:t>
            </w:r>
            <w:r>
              <w:rPr>
                <w:b/>
              </w:rPr>
              <w:t>*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Merge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 xml:space="preserve">No. of </w:t>
            </w:r>
            <w:r w:rsidRPr="004C54CC">
              <w:rPr>
                <w:b/>
              </w:rPr>
              <w:t>E</w:t>
            </w:r>
            <w:r w:rsidRPr="004C32B3">
              <w:rPr>
                <w:b/>
              </w:rPr>
              <w:t>vents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Rate per 100 PEY</w:t>
            </w:r>
          </w:p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(2482 PEY)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Total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231 (21.8)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231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9.3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IPF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133 (12.6)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133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5.4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Respiratory failure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18 (1.7)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18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0.7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Acute respiratory failure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11 (1.0)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11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0.4</w:t>
            </w:r>
          </w:p>
        </w:tc>
      </w:tr>
    </w:tbl>
    <w:p w:rsidR="007370EC" w:rsidRPr="004C32B3" w:rsidRDefault="007370EC" w:rsidP="007370EC">
      <w:pPr>
        <w:spacing w:after="0" w:line="480" w:lineRule="auto"/>
        <w:rPr>
          <w:rFonts w:ascii="Arial" w:hAnsi="Arial" w:cs="Arial"/>
        </w:rPr>
      </w:pPr>
      <w:r w:rsidRPr="004C32B3">
        <w:rPr>
          <w:rFonts w:ascii="Arial" w:hAnsi="Arial" w:cs="Arial"/>
        </w:rPr>
        <w:t>AE, adverse event; IPF, idiopathic pulmonary fibrosis; PEY, patient</w:t>
      </w:r>
      <w:r w:rsidRPr="004C54CC">
        <w:rPr>
          <w:rFonts w:ascii="Arial" w:hAnsi="Arial" w:cs="Arial"/>
        </w:rPr>
        <w:t>-</w:t>
      </w:r>
      <w:r w:rsidRPr="004C32B3">
        <w:rPr>
          <w:rFonts w:ascii="Arial" w:hAnsi="Arial" w:cs="Arial"/>
        </w:rPr>
        <w:t>exposure year</w:t>
      </w:r>
      <w:r>
        <w:rPr>
          <w:rFonts w:ascii="Arial" w:hAnsi="Arial" w:cs="Arial"/>
        </w:rPr>
        <w:t>; TEAE, treatment-emergent adverse event</w:t>
      </w:r>
      <w:r w:rsidRPr="004C32B3">
        <w:rPr>
          <w:rFonts w:ascii="Arial" w:hAnsi="Arial" w:cs="Arial"/>
        </w:rPr>
        <w:t>.</w:t>
      </w:r>
    </w:p>
    <w:p w:rsidR="007370EC" w:rsidRPr="004C32B3" w:rsidRDefault="007370EC" w:rsidP="007370EC">
      <w:pPr>
        <w:pStyle w:val="normal"/>
        <w:spacing w:before="0" w:after="0" w:line="480" w:lineRule="auto"/>
      </w:pPr>
      <w:r>
        <w:t>*</w:t>
      </w:r>
      <w:r w:rsidRPr="004C32B3">
        <w:t xml:space="preserve"> Adjusted rate per 100 </w:t>
      </w:r>
      <w:r w:rsidRPr="004C54CC">
        <w:t>PEY</w:t>
      </w:r>
      <w:r w:rsidRPr="004C32B3">
        <w:t xml:space="preserve"> = (total number of events/total years of exposure) </w:t>
      </w:r>
      <w:r w:rsidRPr="004C54CC">
        <w:t>×</w:t>
      </w:r>
      <w:r w:rsidRPr="004C32B3">
        <w:t xml:space="preserve"> 100.</w:t>
      </w:r>
    </w:p>
    <w:p w:rsidR="007370EC" w:rsidRPr="004C32B3" w:rsidRDefault="007370EC" w:rsidP="007370EC">
      <w:pPr>
        <w:pStyle w:val="normal"/>
        <w:spacing w:before="0" w:after="0" w:line="480" w:lineRule="auto"/>
      </w:pPr>
    </w:p>
    <w:p w:rsidR="007370EC" w:rsidRPr="004C54CC" w:rsidRDefault="007370EC" w:rsidP="007370EC">
      <w:pPr>
        <w:spacing w:after="0" w:line="480" w:lineRule="auto"/>
        <w:rPr>
          <w:rFonts w:ascii="Arial" w:hAnsi="Arial" w:cs="Arial"/>
        </w:rPr>
      </w:pPr>
      <w:r w:rsidRPr="004C54CC">
        <w:br w:type="page"/>
      </w:r>
    </w:p>
    <w:p w:rsidR="007370EC" w:rsidRPr="00904CEC" w:rsidRDefault="007370EC" w:rsidP="007370EC">
      <w:pPr>
        <w:pStyle w:val="normal"/>
        <w:spacing w:before="0" w:after="0" w:line="480" w:lineRule="auto"/>
      </w:pPr>
      <w:r w:rsidRPr="004C54CC">
        <w:rPr>
          <w:b/>
        </w:rPr>
        <w:lastRenderedPageBreak/>
        <w:t>Table 5</w:t>
      </w:r>
      <w:r w:rsidRPr="004C54CC">
        <w:t xml:space="preserve">. </w:t>
      </w:r>
      <w:r w:rsidRPr="00904CEC">
        <w:t>Summary of ADRs With the Outcome of Death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2404"/>
        <w:gridCol w:w="1494"/>
        <w:gridCol w:w="2455"/>
      </w:tblGrid>
      <w:tr w:rsidR="007370EC" w:rsidRPr="004C54CC" w:rsidTr="00D11CA4">
        <w:trPr>
          <w:trHeight w:val="24"/>
        </w:trPr>
        <w:tc>
          <w:tcPr>
            <w:tcW w:w="3598" w:type="dxa"/>
            <w:vMerge w:val="restart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  <w:r w:rsidRPr="004C32B3">
              <w:rPr>
                <w:b/>
              </w:rPr>
              <w:t>ADR, n (%)</w:t>
            </w:r>
            <w:r>
              <w:rPr>
                <w:b/>
              </w:rPr>
              <w:t>*</w:t>
            </w:r>
          </w:p>
        </w:tc>
        <w:tc>
          <w:tcPr>
            <w:tcW w:w="2404" w:type="dxa"/>
            <w:vMerge w:val="restart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Total</w:t>
            </w:r>
          </w:p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(N = 1058)</w:t>
            </w:r>
          </w:p>
        </w:tc>
        <w:tc>
          <w:tcPr>
            <w:tcW w:w="3949" w:type="dxa"/>
            <w:gridSpan w:val="2"/>
            <w:vAlign w:val="center"/>
          </w:tcPr>
          <w:p w:rsidR="007370EC" w:rsidRPr="001852B9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  <w:vertAlign w:val="superscript"/>
              </w:rPr>
            </w:pPr>
            <w:r w:rsidRPr="004C32B3">
              <w:rPr>
                <w:b/>
              </w:rPr>
              <w:t xml:space="preserve">Adjusted </w:t>
            </w:r>
            <w:r w:rsidRPr="004C54CC">
              <w:rPr>
                <w:b/>
              </w:rPr>
              <w:t>R</w:t>
            </w:r>
            <w:r w:rsidRPr="004C32B3">
              <w:rPr>
                <w:b/>
              </w:rPr>
              <w:t>ate</w:t>
            </w:r>
            <w:r>
              <w:rPr>
                <w:b/>
                <w:vertAlign w:val="superscript"/>
              </w:rPr>
              <w:t>†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Merge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rPr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 xml:space="preserve">No. of </w:t>
            </w:r>
            <w:r w:rsidRPr="004C54CC">
              <w:rPr>
                <w:b/>
              </w:rPr>
              <w:t>E</w:t>
            </w:r>
            <w:r w:rsidRPr="004C32B3">
              <w:rPr>
                <w:b/>
              </w:rPr>
              <w:t>vents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Rate per 100 PEY</w:t>
            </w:r>
          </w:p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  <w:rPr>
                <w:b/>
              </w:rPr>
            </w:pPr>
            <w:r w:rsidRPr="004C32B3">
              <w:rPr>
                <w:b/>
              </w:rPr>
              <w:t>(2482 PEY)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Total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13 (1.2)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13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0.5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Acute respiratory failure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2 (0.2)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 xml:space="preserve">2 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IPF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2 (0.2)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2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Cardiac failure congestive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 (0.1)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</w:t>
            </w:r>
          </w:p>
        </w:tc>
        <w:tc>
          <w:tcPr>
            <w:tcW w:w="2455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&lt;</w:t>
            </w:r>
            <w:r w:rsidRPr="004C54CC">
              <w:t xml:space="preserve"> </w:t>
            </w:r>
            <w:r w:rsidRPr="004C32B3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</w:pPr>
            <w:r w:rsidRPr="004C32B3">
              <w:t>Cerebrovascular accident</w:t>
            </w:r>
          </w:p>
        </w:tc>
        <w:tc>
          <w:tcPr>
            <w:tcW w:w="2404" w:type="dxa"/>
            <w:vAlign w:val="center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 (0.1)</w:t>
            </w:r>
          </w:p>
        </w:tc>
        <w:tc>
          <w:tcPr>
            <w:tcW w:w="1494" w:type="dxa"/>
          </w:tcPr>
          <w:p w:rsidR="007370EC" w:rsidRPr="004C32B3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4C32B3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</w:pPr>
            <w:r w:rsidRPr="00EC486D">
              <w:t>Hypoxia</w:t>
            </w:r>
          </w:p>
        </w:tc>
        <w:tc>
          <w:tcPr>
            <w:tcW w:w="2404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 (0.1)</w:t>
            </w:r>
          </w:p>
        </w:tc>
        <w:tc>
          <w:tcPr>
            <w:tcW w:w="1494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</w:pPr>
            <w:r w:rsidRPr="00EC486D">
              <w:t>Lobar pneumonia</w:t>
            </w:r>
          </w:p>
        </w:tc>
        <w:tc>
          <w:tcPr>
            <w:tcW w:w="2404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 (0.1)</w:t>
            </w:r>
          </w:p>
        </w:tc>
        <w:tc>
          <w:tcPr>
            <w:tcW w:w="1494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</w:pPr>
            <w:r w:rsidRPr="00EC486D">
              <w:t>Lung neoplasm malignant</w:t>
            </w:r>
          </w:p>
        </w:tc>
        <w:tc>
          <w:tcPr>
            <w:tcW w:w="2404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 (0.1)</w:t>
            </w:r>
          </w:p>
        </w:tc>
        <w:tc>
          <w:tcPr>
            <w:tcW w:w="1494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</w:pPr>
            <w:r w:rsidRPr="00EC486D">
              <w:t>Myocardial infarction</w:t>
            </w:r>
          </w:p>
        </w:tc>
        <w:tc>
          <w:tcPr>
            <w:tcW w:w="2404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 (0.1)</w:t>
            </w:r>
          </w:p>
        </w:tc>
        <w:tc>
          <w:tcPr>
            <w:tcW w:w="1494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</w:pPr>
            <w:r w:rsidRPr="00EC486D">
              <w:t xml:space="preserve">Pneumocystis </w:t>
            </w:r>
            <w:proofErr w:type="spellStart"/>
            <w:r w:rsidRPr="00EC486D">
              <w:t>jiroveci</w:t>
            </w:r>
            <w:proofErr w:type="spellEnd"/>
            <w:r w:rsidRPr="00EC486D">
              <w:t xml:space="preserve"> pneumonia</w:t>
            </w:r>
          </w:p>
        </w:tc>
        <w:tc>
          <w:tcPr>
            <w:tcW w:w="2404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 (0.1)</w:t>
            </w:r>
          </w:p>
        </w:tc>
        <w:tc>
          <w:tcPr>
            <w:tcW w:w="1494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</w:pPr>
            <w:r w:rsidRPr="00EC486D">
              <w:t>Pneumonia</w:t>
            </w:r>
          </w:p>
        </w:tc>
        <w:tc>
          <w:tcPr>
            <w:tcW w:w="2404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 (0.1)</w:t>
            </w:r>
          </w:p>
        </w:tc>
        <w:tc>
          <w:tcPr>
            <w:tcW w:w="1494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  <w:tr w:rsidR="007370EC" w:rsidRPr="004C54CC" w:rsidTr="00D11CA4">
        <w:trPr>
          <w:trHeight w:val="24"/>
        </w:trPr>
        <w:tc>
          <w:tcPr>
            <w:tcW w:w="3598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</w:pPr>
            <w:r w:rsidRPr="00EC486D">
              <w:t>Respiratory failure</w:t>
            </w:r>
          </w:p>
        </w:tc>
        <w:tc>
          <w:tcPr>
            <w:tcW w:w="2404" w:type="dxa"/>
            <w:vAlign w:val="center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 (0.1)</w:t>
            </w:r>
          </w:p>
        </w:tc>
        <w:tc>
          <w:tcPr>
            <w:tcW w:w="1494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1</w:t>
            </w:r>
          </w:p>
        </w:tc>
        <w:tc>
          <w:tcPr>
            <w:tcW w:w="2455" w:type="dxa"/>
          </w:tcPr>
          <w:p w:rsidR="007370EC" w:rsidRPr="00EC486D" w:rsidRDefault="007370EC" w:rsidP="00D11CA4">
            <w:pPr>
              <w:pStyle w:val="normal"/>
              <w:spacing w:before="0" w:after="0" w:line="480" w:lineRule="auto"/>
              <w:jc w:val="center"/>
            </w:pPr>
            <w:r w:rsidRPr="00EC486D">
              <w:t>&lt;</w:t>
            </w:r>
            <w:r w:rsidRPr="004C54CC">
              <w:t xml:space="preserve"> </w:t>
            </w:r>
            <w:r w:rsidRPr="00EC486D">
              <w:t>0.1</w:t>
            </w:r>
          </w:p>
        </w:tc>
      </w:tr>
    </w:tbl>
    <w:p w:rsidR="007370EC" w:rsidRPr="00EC486D" w:rsidRDefault="007370EC" w:rsidP="007370EC">
      <w:pPr>
        <w:spacing w:after="0" w:line="480" w:lineRule="auto"/>
        <w:rPr>
          <w:rFonts w:ascii="Arial" w:hAnsi="Arial" w:cs="Arial"/>
        </w:rPr>
      </w:pPr>
      <w:r w:rsidRPr="00EC486D">
        <w:rPr>
          <w:rFonts w:ascii="Arial" w:hAnsi="Arial" w:cs="Arial"/>
        </w:rPr>
        <w:t>ADR, adverse drug reaction; IPF, idiopathic pulmonary fibrosis; PEY, patient</w:t>
      </w:r>
      <w:r w:rsidRPr="004C54CC">
        <w:rPr>
          <w:rFonts w:ascii="Arial" w:hAnsi="Arial" w:cs="Arial"/>
        </w:rPr>
        <w:t>-</w:t>
      </w:r>
      <w:r w:rsidRPr="00EC486D">
        <w:rPr>
          <w:rFonts w:ascii="Arial" w:hAnsi="Arial" w:cs="Arial"/>
        </w:rPr>
        <w:t>exposure year.</w:t>
      </w:r>
    </w:p>
    <w:p w:rsidR="007370EC" w:rsidRDefault="007370EC" w:rsidP="007370EC">
      <w:pPr>
        <w:pStyle w:val="normal"/>
        <w:spacing w:before="0" w:after="0" w:line="480" w:lineRule="auto"/>
      </w:pPr>
      <w:r>
        <w:t>*</w:t>
      </w:r>
      <w:r w:rsidRPr="00EC486D">
        <w:t xml:space="preserve"> </w:t>
      </w:r>
      <w:r>
        <w:t>AE considered possibly or probably related to pirfenidone by the investigator.</w:t>
      </w:r>
    </w:p>
    <w:p w:rsidR="007370EC" w:rsidRPr="00EC486D" w:rsidRDefault="007370EC" w:rsidP="007370EC">
      <w:pPr>
        <w:pStyle w:val="normal"/>
        <w:spacing w:before="0" w:after="0" w:line="480" w:lineRule="auto"/>
      </w:pPr>
      <w:r>
        <w:rPr>
          <w:vertAlign w:val="superscript"/>
        </w:rPr>
        <w:t xml:space="preserve">† </w:t>
      </w:r>
      <w:r w:rsidRPr="00EC486D">
        <w:t xml:space="preserve">Adjusted rate per 100 </w:t>
      </w:r>
      <w:r w:rsidRPr="004C54CC">
        <w:t>PEY</w:t>
      </w:r>
      <w:r w:rsidRPr="00EC486D">
        <w:t xml:space="preserve"> = (total number of events/total of years of exposure) </w:t>
      </w:r>
      <w:r w:rsidRPr="004C54CC">
        <w:t>×</w:t>
      </w:r>
      <w:r w:rsidRPr="00EC486D">
        <w:t xml:space="preserve"> 100.</w:t>
      </w:r>
    </w:p>
    <w:p w:rsidR="007370EC" w:rsidRPr="00EC486D" w:rsidRDefault="007370EC" w:rsidP="007370EC">
      <w:pPr>
        <w:pStyle w:val="normal"/>
        <w:spacing w:before="0" w:after="0" w:line="480" w:lineRule="auto"/>
      </w:pPr>
      <w:bookmarkStart w:id="0" w:name="_GoBack"/>
      <w:bookmarkEnd w:id="0"/>
      <w:r w:rsidRPr="00EC486D">
        <w:br w:type="page"/>
      </w:r>
    </w:p>
    <w:p w:rsidR="007370EC" w:rsidRPr="00904CEC" w:rsidRDefault="007370EC" w:rsidP="007370EC">
      <w:pPr>
        <w:spacing w:after="0" w:line="480" w:lineRule="auto"/>
        <w:rPr>
          <w:rFonts w:ascii="Arial" w:hAnsi="Arial" w:cs="Arial"/>
        </w:rPr>
      </w:pPr>
      <w:r w:rsidRPr="004C54CC">
        <w:rPr>
          <w:rFonts w:ascii="Arial" w:hAnsi="Arial" w:cs="Arial"/>
          <w:b/>
        </w:rPr>
        <w:lastRenderedPageBreak/>
        <w:t>Figure 1</w:t>
      </w:r>
      <w:r w:rsidRPr="004C54CC">
        <w:rPr>
          <w:rFonts w:ascii="Arial" w:hAnsi="Arial" w:cs="Arial"/>
        </w:rPr>
        <w:t xml:space="preserve">. </w:t>
      </w:r>
      <w:r w:rsidRPr="00904CEC">
        <w:rPr>
          <w:rFonts w:ascii="Arial" w:hAnsi="Arial" w:cs="Arial"/>
        </w:rPr>
        <w:t>Characterization of Discontinuation in RECAP</w:t>
      </w:r>
    </w:p>
    <w:p w:rsidR="007370EC" w:rsidRPr="00A04F3E" w:rsidRDefault="00507629" w:rsidP="007370EC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E31BDD">
        <w:rPr>
          <w:rFonts w:ascii="Arial" w:hAnsi="Arial"/>
        </w:rPr>
        <w:t xml:space="preserve">Time </w:t>
      </w:r>
      <w:r w:rsidR="007370EC" w:rsidRPr="00E31BDD">
        <w:rPr>
          <w:rFonts w:ascii="Arial" w:hAnsi="Arial"/>
        </w:rPr>
        <w:t>to discontinuation from pirfenidone in RECAP</w:t>
      </w:r>
      <w:r w:rsidR="007370EC">
        <w:rPr>
          <w:rFonts w:ascii="Arial" w:hAnsi="Arial"/>
        </w:rPr>
        <w:t>*</w:t>
      </w:r>
    </w:p>
    <w:p w:rsidR="007370EC" w:rsidRPr="00CB0F34" w:rsidRDefault="007370EC" w:rsidP="007370EC">
      <w:pPr>
        <w:spacing w:after="0" w:line="480" w:lineRule="auto"/>
        <w:rPr>
          <w:rFonts w:ascii="Arial" w:hAnsi="Arial" w:cs="Arial"/>
          <w:vertAlign w:val="superscript"/>
        </w:rPr>
      </w:pPr>
    </w:p>
    <w:p w:rsidR="007370EC" w:rsidRPr="00EC486D" w:rsidRDefault="007370EC" w:rsidP="007370EC">
      <w:pPr>
        <w:spacing w:after="0" w:line="48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val="de-CH" w:eastAsia="ko-KR"/>
        </w:rPr>
        <w:drawing>
          <wp:inline distT="0" distB="0" distL="0" distR="0" wp14:anchorId="3DF8ADEE" wp14:editId="083553B6">
            <wp:extent cx="5029200" cy="3409950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EC" w:rsidRPr="00EC486D" w:rsidRDefault="007370EC" w:rsidP="007370EC">
      <w:pPr>
        <w:spacing w:after="0" w:line="480" w:lineRule="auto"/>
        <w:rPr>
          <w:rFonts w:ascii="Arial" w:hAnsi="Arial" w:cs="Arial"/>
        </w:rPr>
      </w:pPr>
      <w:r w:rsidRPr="00EC486D">
        <w:rPr>
          <w:rFonts w:ascii="Arial" w:hAnsi="Arial" w:cs="Arial"/>
        </w:rPr>
        <w:t>PBO, placebo; PFD, pirfenidone.</w:t>
      </w:r>
    </w:p>
    <w:p w:rsidR="007370EC" w:rsidRPr="003765C0" w:rsidRDefault="007370EC" w:rsidP="007370EC">
      <w:pPr>
        <w:spacing w:after="0" w:line="480" w:lineRule="auto"/>
        <w:rPr>
          <w:rFonts w:ascii="Arial" w:hAnsi="Arial"/>
          <w:b/>
        </w:rPr>
      </w:pPr>
      <w:r>
        <w:rPr>
          <w:rFonts w:ascii="Arial" w:hAnsi="Arial" w:cs="Arial"/>
        </w:rPr>
        <w:t>*</w:t>
      </w:r>
      <w:r w:rsidRPr="00EC486D">
        <w:rPr>
          <w:rFonts w:ascii="Arial" w:hAnsi="Arial" w:cs="Arial"/>
        </w:rPr>
        <w:t xml:space="preserve"> Data as of June 30, 2015, clinical data cut date. All patients who rolled over from the CAPACITY and ASCEND trials received pirfenidone. </w:t>
      </w:r>
      <w:r>
        <w:rPr>
          <w:rFonts w:ascii="Arial" w:hAnsi="Arial" w:cs="Arial"/>
        </w:rPr>
        <w:t xml:space="preserve">The three groups represent prior treatment in the phase 3 trials before entering RECAP. </w:t>
      </w:r>
      <w:r w:rsidRPr="00EC486D">
        <w:rPr>
          <w:rFonts w:ascii="Arial" w:hAnsi="Arial" w:cs="Arial"/>
        </w:rPr>
        <w:t>Time to event is defined as event date or censoring date minus first dose date, plus one. Patients ongoing at time of clinical data cut date are censored.</w:t>
      </w:r>
    </w:p>
    <w:p w:rsidR="007370EC" w:rsidRPr="007F1E5C" w:rsidRDefault="007370EC" w:rsidP="007370EC">
      <w:pPr>
        <w:spacing w:after="0" w:line="240" w:lineRule="auto"/>
        <w:rPr>
          <w:rFonts w:ascii="Arial" w:hAnsi="Arial"/>
        </w:rPr>
      </w:pPr>
      <w:r w:rsidRPr="00A04F3E">
        <w:rPr>
          <w:rFonts w:ascii="Arial" w:hAnsi="Arial" w:cs="Arial"/>
          <w:b/>
        </w:rPr>
        <w:br w:type="page"/>
      </w:r>
      <w:r w:rsidRPr="00A04F3E">
        <w:rPr>
          <w:rFonts w:ascii="Arial" w:hAnsi="Arial" w:cs="Arial"/>
        </w:rPr>
        <w:lastRenderedPageBreak/>
        <w:t>B</w:t>
      </w:r>
      <w:r w:rsidRPr="00583B35">
        <w:rPr>
          <w:rFonts w:ascii="Arial" w:hAnsi="Arial" w:cs="Arial"/>
        </w:rPr>
        <w:t>. Discontinuations by reason and time period in RECAP (N = 1058)</w:t>
      </w:r>
    </w:p>
    <w:p w:rsidR="007370EC" w:rsidRPr="00A04F3E" w:rsidRDefault="007370EC" w:rsidP="007370EC">
      <w:pPr>
        <w:spacing w:after="0" w:line="240" w:lineRule="auto"/>
        <w:rPr>
          <w:rFonts w:ascii="Arial" w:hAnsi="Arial" w:cs="Arial"/>
          <w:b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1609"/>
        <w:gridCol w:w="1609"/>
        <w:gridCol w:w="1606"/>
        <w:gridCol w:w="1651"/>
        <w:gridCol w:w="1609"/>
      </w:tblGrid>
      <w:tr w:rsidR="007370EC" w:rsidTr="00D11CA4">
        <w:trPr>
          <w:trHeight w:val="711"/>
        </w:trPr>
        <w:tc>
          <w:tcPr>
            <w:tcW w:w="2346" w:type="dxa"/>
            <w:vMerge w:val="restart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Time to Treatment Discontinuation, n (%)*</w:t>
            </w:r>
          </w:p>
        </w:tc>
        <w:tc>
          <w:tcPr>
            <w:tcW w:w="8084" w:type="dxa"/>
            <w:gridSpan w:val="5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Reason for Discontinuation</w:t>
            </w:r>
          </w:p>
        </w:tc>
      </w:tr>
      <w:tr w:rsidR="007370EC" w:rsidTr="00D11CA4">
        <w:trPr>
          <w:trHeight w:val="569"/>
        </w:trPr>
        <w:tc>
          <w:tcPr>
            <w:tcW w:w="2346" w:type="dxa"/>
            <w:vMerge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  <w:vertAlign w:val="superscript"/>
              </w:rPr>
            </w:pPr>
            <w:r w:rsidRPr="000171FF">
              <w:rPr>
                <w:rFonts w:ascii="Arial" w:hAnsi="Arial"/>
                <w:b/>
              </w:rPr>
              <w:t>AE: IPF</w:t>
            </w:r>
            <w:r w:rsidRPr="000171FF">
              <w:rPr>
                <w:rFonts w:ascii="Arial" w:hAnsi="Arial" w:cs="Arial"/>
                <w:b/>
                <w:vertAlign w:val="superscript"/>
              </w:rPr>
              <w:t>†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AE: Other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Death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Lung Transplant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Other</w:t>
            </w:r>
          </w:p>
        </w:tc>
      </w:tr>
      <w:tr w:rsidR="007370EC" w:rsidTr="00D11CA4">
        <w:trPr>
          <w:trHeight w:val="468"/>
        </w:trPr>
        <w:tc>
          <w:tcPr>
            <w:tcW w:w="234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Total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115 (10.9)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243 (23.0)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95 (9.0)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44 (4.2)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129 (12.2)</w:t>
            </w:r>
          </w:p>
        </w:tc>
      </w:tr>
      <w:tr w:rsidR="007370EC" w:rsidTr="00D11CA4">
        <w:trPr>
          <w:trHeight w:val="468"/>
        </w:trPr>
        <w:tc>
          <w:tcPr>
            <w:tcW w:w="234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&lt; 1 y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34 (29.6)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107 (44.0)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32 (33.7)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18 (40.9)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55 (42.6)</w:t>
            </w:r>
          </w:p>
        </w:tc>
      </w:tr>
      <w:tr w:rsidR="007370EC" w:rsidTr="00D11CA4">
        <w:trPr>
          <w:trHeight w:val="468"/>
        </w:trPr>
        <w:tc>
          <w:tcPr>
            <w:tcW w:w="234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1 to &lt; 2 y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21 (18.3)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60 (24.7)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21 (22.1)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13 (29.5)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35 (27.1)</w:t>
            </w:r>
          </w:p>
        </w:tc>
      </w:tr>
      <w:tr w:rsidR="007370EC" w:rsidTr="00D11CA4">
        <w:trPr>
          <w:trHeight w:val="468"/>
        </w:trPr>
        <w:tc>
          <w:tcPr>
            <w:tcW w:w="234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2 to &lt; 3 y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17 (14.8)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30 (12.3)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10 (10.5)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5 (11.4)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11 (8.5)</w:t>
            </w:r>
          </w:p>
        </w:tc>
      </w:tr>
      <w:tr w:rsidR="007370EC" w:rsidTr="00D11CA4">
        <w:trPr>
          <w:trHeight w:val="468"/>
        </w:trPr>
        <w:tc>
          <w:tcPr>
            <w:tcW w:w="234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3 to &lt; 4 y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14 (12.2)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19 (7.8)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11 (11.6)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4 (9.1)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13 (10.1)</w:t>
            </w:r>
          </w:p>
        </w:tc>
      </w:tr>
      <w:tr w:rsidR="007370EC" w:rsidTr="00D11CA4">
        <w:trPr>
          <w:trHeight w:val="468"/>
        </w:trPr>
        <w:tc>
          <w:tcPr>
            <w:tcW w:w="234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4 to &lt; 5 y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11 (9.6)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13 (5.3)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10 (10.5)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3 (6.8)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10 (7.8)</w:t>
            </w:r>
          </w:p>
        </w:tc>
      </w:tr>
      <w:tr w:rsidR="007370EC" w:rsidTr="00D11CA4">
        <w:trPr>
          <w:trHeight w:val="468"/>
        </w:trPr>
        <w:tc>
          <w:tcPr>
            <w:tcW w:w="234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rPr>
                <w:rFonts w:ascii="Arial" w:hAnsi="Arial"/>
                <w:b/>
              </w:rPr>
            </w:pPr>
            <w:r w:rsidRPr="000171FF">
              <w:rPr>
                <w:rFonts w:ascii="Arial" w:hAnsi="Arial"/>
                <w:b/>
              </w:rPr>
              <w:t>≥ 5 y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18 (15.7)</w:t>
            </w:r>
          </w:p>
        </w:tc>
        <w:tc>
          <w:tcPr>
            <w:tcW w:w="1609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14 (5.8)</w:t>
            </w:r>
          </w:p>
        </w:tc>
        <w:tc>
          <w:tcPr>
            <w:tcW w:w="1606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11 (11.6)</w:t>
            </w:r>
          </w:p>
        </w:tc>
        <w:tc>
          <w:tcPr>
            <w:tcW w:w="1651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1 (2.3)</w:t>
            </w:r>
          </w:p>
        </w:tc>
        <w:tc>
          <w:tcPr>
            <w:tcW w:w="1607" w:type="dxa"/>
            <w:vAlign w:val="center"/>
          </w:tcPr>
          <w:p w:rsidR="007370EC" w:rsidRPr="000171FF" w:rsidRDefault="007370EC" w:rsidP="00D11CA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171FF">
              <w:rPr>
                <w:rFonts w:ascii="Arial" w:hAnsi="Arial"/>
              </w:rPr>
              <w:t>5 (3.9)</w:t>
            </w:r>
          </w:p>
        </w:tc>
      </w:tr>
    </w:tbl>
    <w:p w:rsidR="007370EC" w:rsidRPr="000C26D8" w:rsidRDefault="007370EC" w:rsidP="007370EC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AE, adverse event; IPF, idiopathic pulmonary fibrosis.</w:t>
      </w:r>
    </w:p>
    <w:p w:rsidR="007370EC" w:rsidRDefault="007370EC" w:rsidP="007370EC">
      <w:pPr>
        <w:spacing w:after="0" w:line="480" w:lineRule="auto"/>
        <w:rPr>
          <w:rFonts w:ascii="Arial" w:hAnsi="Arial" w:cs="Arial"/>
          <w:sz w:val="20"/>
        </w:rPr>
      </w:pPr>
      <w:r w:rsidRPr="00536761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Percentages were calculated within reason for individual time periods.</w:t>
      </w:r>
    </w:p>
    <w:p w:rsidR="007370EC" w:rsidRPr="00536761" w:rsidRDefault="007370EC" w:rsidP="007370EC">
      <w:pPr>
        <w:spacing w:after="0" w:line="480" w:lineRule="auto"/>
        <w:rPr>
          <w:rFonts w:ascii="Arial" w:hAnsi="Arial" w:cs="Arial"/>
          <w:sz w:val="20"/>
        </w:rPr>
      </w:pPr>
      <w:r w:rsidRPr="00536761">
        <w:rPr>
          <w:rFonts w:ascii="Arial" w:hAnsi="Arial" w:cs="Arial"/>
          <w:sz w:val="20"/>
          <w:vertAlign w:val="superscript"/>
        </w:rPr>
        <w:t>†</w:t>
      </w:r>
      <w:r>
        <w:rPr>
          <w:rFonts w:ascii="Arial" w:hAnsi="Arial" w:cs="Arial"/>
          <w:sz w:val="20"/>
        </w:rPr>
        <w:t xml:space="preserve"> AE:IPF discontinuations include preferred terms of disease progression, idiopathic pulmonary fibrosis and interstitial lung disease. AEs resulted in study withdrawal.</w:t>
      </w:r>
    </w:p>
    <w:p w:rsidR="007370EC" w:rsidRPr="00536761" w:rsidRDefault="007370EC" w:rsidP="007370EC">
      <w:pPr>
        <w:spacing w:after="0" w:line="240" w:lineRule="auto"/>
        <w:rPr>
          <w:rFonts w:ascii="Arial" w:hAnsi="Arial" w:cs="Arial"/>
          <w:b/>
        </w:rPr>
      </w:pPr>
      <w:r w:rsidRPr="00536761">
        <w:rPr>
          <w:rFonts w:ascii="Arial" w:hAnsi="Arial" w:cs="Arial"/>
          <w:b/>
        </w:rPr>
        <w:br w:type="page"/>
      </w:r>
    </w:p>
    <w:p w:rsidR="007370EC" w:rsidRPr="00904CEC" w:rsidRDefault="007370EC" w:rsidP="007370EC">
      <w:pPr>
        <w:spacing w:after="0" w:line="480" w:lineRule="auto"/>
        <w:rPr>
          <w:rFonts w:ascii="Arial" w:hAnsi="Arial" w:cs="Arial"/>
          <w:vertAlign w:val="superscript"/>
        </w:rPr>
      </w:pPr>
      <w:r w:rsidRPr="004C54CC">
        <w:rPr>
          <w:rFonts w:ascii="Arial" w:hAnsi="Arial" w:cs="Arial"/>
          <w:b/>
        </w:rPr>
        <w:lastRenderedPageBreak/>
        <w:t>Figure 2</w:t>
      </w:r>
      <w:r w:rsidRPr="004C54CC">
        <w:rPr>
          <w:rFonts w:ascii="Arial" w:hAnsi="Arial" w:cs="Arial"/>
        </w:rPr>
        <w:t xml:space="preserve">. </w:t>
      </w:r>
      <w:r w:rsidRPr="00904CEC">
        <w:rPr>
          <w:rFonts w:ascii="Arial" w:hAnsi="Arial" w:cs="Arial"/>
        </w:rPr>
        <w:t>Mean (95% CI) for Observed and Model-Predicted FVC (mL) Over Time in RECAP*</w:t>
      </w:r>
    </w:p>
    <w:p w:rsidR="007370EC" w:rsidRPr="00EC486D" w:rsidRDefault="007370EC" w:rsidP="007370E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ko-KR"/>
        </w:rPr>
        <w:drawing>
          <wp:inline distT="0" distB="0" distL="0" distR="0" wp14:anchorId="00D93534" wp14:editId="27DAB554">
            <wp:extent cx="6143625" cy="3429000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EC" w:rsidRPr="00EC486D" w:rsidRDefault="007370EC" w:rsidP="007370EC">
      <w:pPr>
        <w:spacing w:after="0" w:line="480" w:lineRule="auto"/>
        <w:rPr>
          <w:rFonts w:ascii="Arial" w:hAnsi="Arial" w:cs="Arial"/>
        </w:rPr>
      </w:pPr>
    </w:p>
    <w:p w:rsidR="007370EC" w:rsidRPr="004C54CC" w:rsidRDefault="007370EC" w:rsidP="007370EC">
      <w:pPr>
        <w:spacing w:after="0" w:line="480" w:lineRule="auto"/>
        <w:rPr>
          <w:rFonts w:ascii="Arial" w:hAnsi="Arial" w:cs="Arial"/>
        </w:rPr>
      </w:pPr>
      <w:r w:rsidRPr="004C54CC">
        <w:rPr>
          <w:rFonts w:ascii="Arial" w:hAnsi="Arial" w:cs="Arial"/>
        </w:rPr>
        <w:t>FVC, forced vital capacity.</w:t>
      </w:r>
    </w:p>
    <w:p w:rsidR="007370EC" w:rsidRPr="007F1E5C" w:rsidRDefault="007370EC" w:rsidP="007370EC">
      <w:pPr>
        <w:spacing w:after="0" w:line="480" w:lineRule="auto"/>
        <w:rPr>
          <w:rFonts w:ascii="Arial" w:hAnsi="Arial" w:cs="Arial"/>
        </w:rPr>
      </w:pPr>
      <w:r w:rsidRPr="007F1E5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7F1E5C">
        <w:rPr>
          <w:rFonts w:ascii="Arial" w:hAnsi="Arial" w:cs="Arial"/>
        </w:rPr>
        <w:t>Patients rolled over from CAPACITY (n = 603) who were treated with pirfenidone in RECAP with complete FVC data.</w:t>
      </w:r>
    </w:p>
    <w:p w:rsidR="00D86227" w:rsidRDefault="00D86227"/>
    <w:sectPr w:rsidR="00D862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EB" w:rsidRDefault="00B97CEB" w:rsidP="00B97CEB">
      <w:pPr>
        <w:spacing w:after="0" w:line="240" w:lineRule="auto"/>
      </w:pPr>
      <w:r>
        <w:separator/>
      </w:r>
    </w:p>
  </w:endnote>
  <w:endnote w:type="continuationSeparator" w:id="0">
    <w:p w:rsidR="00B97CEB" w:rsidRDefault="00B97CEB" w:rsidP="00B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7563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97CEB" w:rsidRPr="00B97CEB" w:rsidRDefault="00B97CEB">
        <w:pPr>
          <w:pStyle w:val="Fuzeile"/>
          <w:jc w:val="right"/>
          <w:rPr>
            <w:rFonts w:ascii="Arial" w:hAnsi="Arial" w:cs="Arial"/>
          </w:rPr>
        </w:pPr>
        <w:r w:rsidRPr="00B97CEB">
          <w:rPr>
            <w:rFonts w:ascii="Arial" w:hAnsi="Arial" w:cs="Arial"/>
          </w:rPr>
          <w:fldChar w:fldCharType="begin"/>
        </w:r>
        <w:r w:rsidRPr="00B97CEB">
          <w:rPr>
            <w:rFonts w:ascii="Arial" w:hAnsi="Arial" w:cs="Arial"/>
          </w:rPr>
          <w:instrText xml:space="preserve"> PAGE   \* MERGEFORMAT </w:instrText>
        </w:r>
        <w:r w:rsidRPr="00B97CEB">
          <w:rPr>
            <w:rFonts w:ascii="Arial" w:hAnsi="Arial" w:cs="Arial"/>
          </w:rPr>
          <w:fldChar w:fldCharType="separate"/>
        </w:r>
        <w:r w:rsidR="00507629">
          <w:rPr>
            <w:rFonts w:ascii="Arial" w:hAnsi="Arial" w:cs="Arial"/>
            <w:noProof/>
          </w:rPr>
          <w:t>9</w:t>
        </w:r>
        <w:r w:rsidRPr="00B97CEB">
          <w:rPr>
            <w:rFonts w:ascii="Arial" w:hAnsi="Arial" w:cs="Arial"/>
            <w:noProof/>
          </w:rPr>
          <w:fldChar w:fldCharType="end"/>
        </w:r>
      </w:p>
    </w:sdtContent>
  </w:sdt>
  <w:p w:rsidR="00B97CEB" w:rsidRDefault="00B97C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EB" w:rsidRDefault="00B97CEB" w:rsidP="00B97CEB">
      <w:pPr>
        <w:spacing w:after="0" w:line="240" w:lineRule="auto"/>
      </w:pPr>
      <w:r>
        <w:separator/>
      </w:r>
    </w:p>
  </w:footnote>
  <w:footnote w:type="continuationSeparator" w:id="0">
    <w:p w:rsidR="00B97CEB" w:rsidRDefault="00B97CEB" w:rsidP="00B9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2127"/>
    <w:multiLevelType w:val="hybridMultilevel"/>
    <w:tmpl w:val="F822F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EC"/>
    <w:rsid w:val="00032417"/>
    <w:rsid w:val="00044F61"/>
    <w:rsid w:val="000632C8"/>
    <w:rsid w:val="00063E70"/>
    <w:rsid w:val="00150DFF"/>
    <w:rsid w:val="00152BBF"/>
    <w:rsid w:val="0015587D"/>
    <w:rsid w:val="00156221"/>
    <w:rsid w:val="00191D3B"/>
    <w:rsid w:val="001A6D54"/>
    <w:rsid w:val="00231E9E"/>
    <w:rsid w:val="0028414A"/>
    <w:rsid w:val="002853E1"/>
    <w:rsid w:val="002A60C9"/>
    <w:rsid w:val="002B5D77"/>
    <w:rsid w:val="002D36C9"/>
    <w:rsid w:val="002D78FD"/>
    <w:rsid w:val="002E75DB"/>
    <w:rsid w:val="00315D03"/>
    <w:rsid w:val="00357E59"/>
    <w:rsid w:val="003A5ED2"/>
    <w:rsid w:val="003A7C47"/>
    <w:rsid w:val="00420521"/>
    <w:rsid w:val="0044353D"/>
    <w:rsid w:val="004B2A04"/>
    <w:rsid w:val="004B5297"/>
    <w:rsid w:val="004B6F4B"/>
    <w:rsid w:val="004C3BD2"/>
    <w:rsid w:val="004D273E"/>
    <w:rsid w:val="004D616C"/>
    <w:rsid w:val="004F7DFB"/>
    <w:rsid w:val="00507629"/>
    <w:rsid w:val="00543EFA"/>
    <w:rsid w:val="00580C02"/>
    <w:rsid w:val="00582534"/>
    <w:rsid w:val="005A39A9"/>
    <w:rsid w:val="005C604C"/>
    <w:rsid w:val="005F418B"/>
    <w:rsid w:val="00642BC8"/>
    <w:rsid w:val="006468CA"/>
    <w:rsid w:val="00676805"/>
    <w:rsid w:val="00684C12"/>
    <w:rsid w:val="006E6B54"/>
    <w:rsid w:val="006F2F6A"/>
    <w:rsid w:val="006F546D"/>
    <w:rsid w:val="007370EC"/>
    <w:rsid w:val="007851EE"/>
    <w:rsid w:val="00797598"/>
    <w:rsid w:val="007A5090"/>
    <w:rsid w:val="00831EB3"/>
    <w:rsid w:val="00851407"/>
    <w:rsid w:val="00855190"/>
    <w:rsid w:val="00877BFB"/>
    <w:rsid w:val="008802FB"/>
    <w:rsid w:val="0089528D"/>
    <w:rsid w:val="00902856"/>
    <w:rsid w:val="00907849"/>
    <w:rsid w:val="00907DC8"/>
    <w:rsid w:val="0096448D"/>
    <w:rsid w:val="009859FF"/>
    <w:rsid w:val="009D2A80"/>
    <w:rsid w:val="009D5C17"/>
    <w:rsid w:val="009E2A06"/>
    <w:rsid w:val="009F3E15"/>
    <w:rsid w:val="00A03F0D"/>
    <w:rsid w:val="00A27284"/>
    <w:rsid w:val="00B15B9B"/>
    <w:rsid w:val="00B17766"/>
    <w:rsid w:val="00B329BB"/>
    <w:rsid w:val="00B40999"/>
    <w:rsid w:val="00B40D58"/>
    <w:rsid w:val="00B457E9"/>
    <w:rsid w:val="00B97CEB"/>
    <w:rsid w:val="00BA5274"/>
    <w:rsid w:val="00BE2B80"/>
    <w:rsid w:val="00BF4379"/>
    <w:rsid w:val="00BF6A03"/>
    <w:rsid w:val="00C377C2"/>
    <w:rsid w:val="00C41FEE"/>
    <w:rsid w:val="00C62DE0"/>
    <w:rsid w:val="00C649A2"/>
    <w:rsid w:val="00CA26EF"/>
    <w:rsid w:val="00CD13AE"/>
    <w:rsid w:val="00D01C71"/>
    <w:rsid w:val="00D1326A"/>
    <w:rsid w:val="00D1586B"/>
    <w:rsid w:val="00D5543A"/>
    <w:rsid w:val="00D86227"/>
    <w:rsid w:val="00DB0957"/>
    <w:rsid w:val="00DB1DD2"/>
    <w:rsid w:val="00E2677D"/>
    <w:rsid w:val="00E77A91"/>
    <w:rsid w:val="00EB64C6"/>
    <w:rsid w:val="00ED7CA8"/>
    <w:rsid w:val="00EE0152"/>
    <w:rsid w:val="00EE061A"/>
    <w:rsid w:val="00EF3C89"/>
    <w:rsid w:val="00F01DDB"/>
    <w:rsid w:val="00F04408"/>
    <w:rsid w:val="00F802C7"/>
    <w:rsid w:val="00F90B68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0E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370EC"/>
    <w:pPr>
      <w:ind w:left="720"/>
      <w:contextualSpacing/>
    </w:pPr>
  </w:style>
  <w:style w:type="paragraph" w:customStyle="1" w:styleId="normal">
    <w:name w:val="_normal"/>
    <w:basedOn w:val="Standard"/>
    <w:uiPriority w:val="99"/>
    <w:rsid w:val="007370EC"/>
    <w:pPr>
      <w:spacing w:before="120" w:after="200" w:line="240" w:lineRule="auto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B9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CE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9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C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0E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370EC"/>
    <w:pPr>
      <w:ind w:left="720"/>
      <w:contextualSpacing/>
    </w:pPr>
  </w:style>
  <w:style w:type="paragraph" w:customStyle="1" w:styleId="normal">
    <w:name w:val="_normal"/>
    <w:basedOn w:val="Standard"/>
    <w:uiPriority w:val="99"/>
    <w:rsid w:val="007370EC"/>
    <w:pPr>
      <w:spacing w:before="120" w:after="200" w:line="240" w:lineRule="auto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B9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CE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9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Gould, PhD, CMPP (HI)</dc:creator>
  <cp:keywords/>
  <dc:description/>
  <cp:lastModifiedBy>SCHUETZK</cp:lastModifiedBy>
  <cp:revision>6</cp:revision>
  <dcterms:created xsi:type="dcterms:W3CDTF">2017-05-01T20:54:00Z</dcterms:created>
  <dcterms:modified xsi:type="dcterms:W3CDTF">2017-09-01T05:34:00Z</dcterms:modified>
</cp:coreProperties>
</file>