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33" w:rsidRPr="00C77B12" w:rsidRDefault="00D34233" w:rsidP="00D34233">
      <w:pPr>
        <w:pStyle w:val="Didascalia"/>
        <w:keepNext/>
        <w:rPr>
          <w:rFonts w:cstheme="minorHAnsi"/>
          <w:color w:val="auto"/>
          <w:lang w:val="en-US"/>
        </w:rPr>
      </w:pPr>
      <w:r w:rsidRPr="00C77B12">
        <w:rPr>
          <w:rFonts w:cstheme="minorHAnsi"/>
          <w:color w:val="auto"/>
          <w:sz w:val="20"/>
          <w:szCs w:val="20"/>
          <w:lang w:val="en-US"/>
        </w:rPr>
        <w:t>Supplementary table 2</w:t>
      </w:r>
      <w:r w:rsidRPr="00C77B12">
        <w:rPr>
          <w:rFonts w:cstheme="minorHAnsi"/>
          <w:color w:val="auto"/>
          <w:lang w:val="en-US"/>
        </w:rPr>
        <w:t xml:space="preserve">. </w:t>
      </w:r>
      <w:r w:rsidRPr="00C77B12">
        <w:rPr>
          <w:rFonts w:cstheme="minorHAnsi"/>
          <w:color w:val="auto"/>
          <w:sz w:val="20"/>
          <w:szCs w:val="20"/>
          <w:lang w:val="en-US"/>
        </w:rPr>
        <w:t>Association between</w:t>
      </w:r>
      <w:r w:rsidR="00683E3D">
        <w:rPr>
          <w:rFonts w:cstheme="minorHAnsi"/>
          <w:color w:val="auto"/>
          <w:sz w:val="20"/>
          <w:szCs w:val="20"/>
          <w:lang w:val="en-US"/>
        </w:rPr>
        <w:t xml:space="preserve"> colon/rectal</w:t>
      </w:r>
      <w:r w:rsidRPr="00C77B12">
        <w:rPr>
          <w:rFonts w:cstheme="minorHAnsi"/>
          <w:color w:val="auto"/>
          <w:sz w:val="20"/>
          <w:szCs w:val="20"/>
          <w:lang w:val="en-US"/>
        </w:rPr>
        <w:t xml:space="preserve"> cancer risk and SNPs in the </w:t>
      </w:r>
      <w:r w:rsidRPr="00C77B12">
        <w:rPr>
          <w:rFonts w:cstheme="minorHAnsi"/>
          <w:i/>
          <w:color w:val="auto"/>
          <w:sz w:val="20"/>
          <w:szCs w:val="20"/>
          <w:lang w:val="en-US"/>
        </w:rPr>
        <w:t>TAS2R16</w:t>
      </w:r>
      <w:r w:rsidRPr="00C77B12">
        <w:rPr>
          <w:rFonts w:cstheme="minorHAnsi"/>
          <w:color w:val="auto"/>
          <w:sz w:val="20"/>
          <w:szCs w:val="20"/>
          <w:lang w:val="en-US"/>
        </w:rPr>
        <w:t xml:space="preserve"> region considering only the Czech Republic </w:t>
      </w:r>
    </w:p>
    <w:tbl>
      <w:tblPr>
        <w:tblW w:w="0" w:type="auto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541"/>
        <w:gridCol w:w="640"/>
        <w:gridCol w:w="689"/>
        <w:gridCol w:w="689"/>
        <w:gridCol w:w="608"/>
        <w:gridCol w:w="1138"/>
        <w:gridCol w:w="609"/>
        <w:gridCol w:w="1138"/>
        <w:gridCol w:w="609"/>
        <w:gridCol w:w="1276"/>
        <w:gridCol w:w="609"/>
        <w:gridCol w:w="1276"/>
        <w:gridCol w:w="609"/>
        <w:gridCol w:w="616"/>
      </w:tblGrid>
      <w:tr w:rsidR="004E5C0C" w:rsidRPr="004E5C0C" w:rsidTr="004E5C0C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SNP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Alleles</w:t>
            </w:r>
            <w:proofErr w:type="spellEnd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(Major/minor)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Site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Case/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Control</w:t>
            </w: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MM vs 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 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value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MM vs 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 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value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MM vs 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Mm+mm</w:t>
            </w: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 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value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MM+Mm</w:t>
            </w:r>
            <w:proofErr w:type="spellEnd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vs 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 </w:t>
            </w: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value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 trend</w:t>
            </w: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rs860170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A/G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383/277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432/312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158/98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1.06(0.85-1.32)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1.15(0.84-1.58)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1.08(0.88-1.33)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1.12(0.84-1.5)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0.40</w:t>
            </w: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231/277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261/312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96/98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1.03(0.8-1.32)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1.21(0.85-1.7)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1.07(0.85-1.36)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1.19(0.86-1.63)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0.43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Rectum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106/277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128/312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41/98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1.15(0.83-1.58)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1.12(0.72-1.76)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1.14(0.84-1.54)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1.04(0.69-1.58)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0.62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rs978739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A/G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426/311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371/306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83/70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0.93(0.75-1.17)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0.89(0.62-1.29)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0.93(0.75-1.14)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0.92(0.65-1.31)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0.24</w:t>
            </w: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264/311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209/306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47/70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0.83(0.65-1.06)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0.81(0.53-1.23)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0.82(0.65-1.04)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0.88(0.59-1.32)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0.08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Rectum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111/311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105/306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1.06(0.77-1.47)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1.25(0.76-2.06)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1.1(0.81-1.49)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1.21(0.75-1.95)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0.59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rs1357949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T/C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516/350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375/280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85/58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0.89(0.72-1.11)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0.89(0.61-1.3)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0.89(0.73-1.1)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0.93(0.65-1.34)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0.59</w:t>
            </w: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298/350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235/280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54/58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0.97(0.76-1.24)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1.01(0.67-1.53)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0.98(0.78-1.23)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1.03(0.69-1.53)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0.81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Rectum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158/350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96/280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0.74(0.54-1.01)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0.69(0.39-1.2)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0.73(0.54-0.98)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0.78(0.45-1.34)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0.11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rs1525489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T/C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893/173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0/0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0.86(0.49-1.5)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0.86(0.49-1.5)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0.61</w:t>
            </w: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545/173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0/0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0.7(0.39-1.29)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0.7(0.39-1.29)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0.26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Rectum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245/173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28/17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0/0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1.16(0.61-2.2)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1.16(0.61-2.2)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it-IT"/>
              </w:rPr>
              <w:t>0.64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rs6466849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668/456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269/213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0.91(0.73-1.15)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1.13(0.62-2.05)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0.93(0.75-1.16)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1.16(0.64-2.1)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0.63</w:t>
            </w: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416/456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153/213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0.81(0.63-1.05)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1.05(0.54-2.06)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0.83(0.65-1.07)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1.12(0.58-2.18)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0.18</w:t>
            </w:r>
          </w:p>
        </w:tc>
      </w:tr>
      <w:tr w:rsidR="004E5C0C" w:rsidRPr="004E5C0C" w:rsidTr="004E5C0C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Rectum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181/456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83/213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1.07(0.77-1.48)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1.48(0.67-3.28)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1.11(0.81-1.51)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1.45(0.66-3.19)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0.66</w:t>
            </w:r>
          </w:p>
        </w:tc>
        <w:bookmarkStart w:id="0" w:name="_GoBack"/>
        <w:bookmarkEnd w:id="0"/>
      </w:tr>
      <w:tr w:rsidR="004E5C0C" w:rsidRPr="004E5C0C" w:rsidTr="004E5C0C">
        <w:trPr>
          <w:trHeight w:val="300"/>
        </w:trPr>
        <w:tc>
          <w:tcPr>
            <w:tcW w:w="0" w:type="auto"/>
            <w:vMerge w:val="restar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rs10268496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E5C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T/G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650/435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286/225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51/30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0.83(0.66-1.04)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0.97(0.59-1.58)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0.85(0.68-1.05)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1.03(0.63-1.67)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0.49</w:t>
            </w: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386/435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177/225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32/30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0.88(0.69-1.14)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1.06(0.62-1.8)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0.91(0.71-1.15)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1.1(0.65-1.86)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0.81</w:t>
            </w:r>
          </w:p>
        </w:tc>
      </w:tr>
      <w:tr w:rsidR="004E5C0C" w:rsidRPr="004E5C0C" w:rsidTr="004E5C0C">
        <w:trPr>
          <w:trHeight w:val="28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C0C" w:rsidRPr="004E5C0C" w:rsidRDefault="004E5C0C" w:rsidP="004E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Rectum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190/435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76/225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0.73(0.53-1.02)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0.71(0.35-1.46)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0.73(0.54-1)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0.79(0.39-1.6)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C0C" w:rsidRPr="00941AF7" w:rsidRDefault="004E5C0C" w:rsidP="004E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41A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0.19</w:t>
            </w:r>
          </w:p>
        </w:tc>
      </w:tr>
    </w:tbl>
    <w:p w:rsidR="00D34233" w:rsidRPr="002C28FE" w:rsidRDefault="00D34233" w:rsidP="00D34233">
      <w:pPr>
        <w:rPr>
          <w:rFonts w:ascii="Times New Roman" w:hAnsi="Times New Roman" w:cs="Times New Roman"/>
        </w:rPr>
      </w:pPr>
    </w:p>
    <w:p w:rsidR="00D34233" w:rsidRPr="00C50960" w:rsidRDefault="00D34233" w:rsidP="00D34233">
      <w:pPr>
        <w:spacing w:after="0"/>
        <w:rPr>
          <w:rFonts w:cstheme="minorHAnsi"/>
          <w:lang w:val="en-US"/>
        </w:rPr>
      </w:pPr>
      <w:r>
        <w:rPr>
          <w:rFonts w:cstheme="minorHAnsi"/>
          <w:vertAlign w:val="superscript"/>
          <w:lang w:val="en-US"/>
        </w:rPr>
        <w:t>B</w:t>
      </w:r>
      <w:r w:rsidRPr="00C50960">
        <w:rPr>
          <w:rFonts w:cstheme="minorHAnsi"/>
          <w:vertAlign w:val="superscript"/>
          <w:lang w:val="en-US"/>
        </w:rPr>
        <w:t xml:space="preserve"> </w:t>
      </w:r>
      <w:r w:rsidRPr="00C50960">
        <w:rPr>
          <w:rFonts w:cstheme="minorHAnsi"/>
          <w:lang w:val="en-US"/>
        </w:rPr>
        <w:t>Numbers may not add up 100% to genotyping failure, covariate missing values or DNA depletion.</w:t>
      </w:r>
    </w:p>
    <w:p w:rsidR="00D34233" w:rsidRPr="00C50960" w:rsidRDefault="00D34233" w:rsidP="00D34233">
      <w:pPr>
        <w:spacing w:after="0"/>
        <w:rPr>
          <w:rFonts w:cstheme="minorHAnsi"/>
          <w:lang w:val="en-US"/>
        </w:rPr>
      </w:pPr>
      <w:r>
        <w:rPr>
          <w:rFonts w:cstheme="minorHAnsi"/>
          <w:vertAlign w:val="superscript"/>
          <w:lang w:val="en-US"/>
        </w:rPr>
        <w:t>A</w:t>
      </w:r>
      <w:r w:rsidRPr="00C50960">
        <w:rPr>
          <w:rFonts w:cstheme="minorHAnsi"/>
          <w:lang w:val="en-US"/>
        </w:rPr>
        <w:t xml:space="preserve"> MM vs Mm= Common homozygous </w:t>
      </w:r>
      <w:proofErr w:type="gramStart"/>
      <w:r w:rsidRPr="00C50960">
        <w:rPr>
          <w:rFonts w:cstheme="minorHAnsi"/>
          <w:lang w:val="en-US"/>
        </w:rPr>
        <w:t>carriers</w:t>
      </w:r>
      <w:proofErr w:type="gramEnd"/>
      <w:r w:rsidRPr="00C50960">
        <w:rPr>
          <w:rFonts w:cstheme="minorHAnsi"/>
          <w:lang w:val="en-US"/>
        </w:rPr>
        <w:t xml:space="preserve"> vs heterozygous; MM vs mm= Common homozygous vs rare homozygous; MM vs </w:t>
      </w:r>
      <w:proofErr w:type="spellStart"/>
      <w:r w:rsidRPr="00C50960">
        <w:rPr>
          <w:rFonts w:cstheme="minorHAnsi"/>
          <w:lang w:val="en-US"/>
        </w:rPr>
        <w:t>Mm+mm</w:t>
      </w:r>
      <w:proofErr w:type="spellEnd"/>
      <w:r w:rsidRPr="00C50960">
        <w:rPr>
          <w:rFonts w:cstheme="minorHAnsi"/>
          <w:lang w:val="en-US"/>
        </w:rPr>
        <w:t xml:space="preserve">= Common homozygous vs heterozygous + rare homozygous (Dominant Model); </w:t>
      </w:r>
      <w:proofErr w:type="spellStart"/>
      <w:r w:rsidRPr="00C50960">
        <w:rPr>
          <w:rFonts w:cstheme="minorHAnsi"/>
          <w:lang w:val="en-US"/>
        </w:rPr>
        <w:t>MM+Mm</w:t>
      </w:r>
      <w:proofErr w:type="spellEnd"/>
      <w:r w:rsidRPr="00C50960">
        <w:rPr>
          <w:rFonts w:cstheme="minorHAnsi"/>
          <w:lang w:val="en-US"/>
        </w:rPr>
        <w:t xml:space="preserve"> vs mm= Common homozygous + heterozygous vs rare homozygous.</w:t>
      </w:r>
      <w:r>
        <w:rPr>
          <w:rFonts w:cstheme="minorHAnsi"/>
          <w:lang w:val="en-US"/>
        </w:rPr>
        <w:t xml:space="preserve"> </w:t>
      </w:r>
      <w:r w:rsidRPr="00C50960">
        <w:rPr>
          <w:rFonts w:cstheme="minorHAnsi"/>
          <w:lang w:val="en-US"/>
        </w:rPr>
        <w:t>Odds Ratio (95% confidence interval</w:t>
      </w:r>
      <w:proofErr w:type="gramStart"/>
      <w:r w:rsidRPr="00C50960">
        <w:rPr>
          <w:rFonts w:cstheme="minorHAnsi"/>
          <w:lang w:val="en-US"/>
        </w:rPr>
        <w:t>).All</w:t>
      </w:r>
      <w:proofErr w:type="gramEnd"/>
      <w:r w:rsidRPr="00C50960">
        <w:rPr>
          <w:rFonts w:cstheme="minorHAnsi"/>
          <w:lang w:val="en-US"/>
        </w:rPr>
        <w:t xml:space="preserve"> analysis are adjusted for age, gender and country of origin.</w:t>
      </w:r>
    </w:p>
    <w:p w:rsidR="00D34233" w:rsidRPr="00C50960" w:rsidRDefault="00D34233" w:rsidP="00D34233">
      <w:pPr>
        <w:spacing w:after="0"/>
        <w:rPr>
          <w:rFonts w:cstheme="minorHAnsi"/>
          <w:lang w:val="en-US"/>
        </w:rPr>
      </w:pPr>
    </w:p>
    <w:p w:rsidR="00A76C1C" w:rsidRPr="00D34233" w:rsidRDefault="00941AF7">
      <w:pPr>
        <w:rPr>
          <w:lang w:val="en-US"/>
        </w:rPr>
      </w:pPr>
    </w:p>
    <w:sectPr w:rsidR="00A76C1C" w:rsidRPr="00D34233" w:rsidSect="0099253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233"/>
    <w:rsid w:val="0024273A"/>
    <w:rsid w:val="002C5648"/>
    <w:rsid w:val="004E5C0C"/>
    <w:rsid w:val="00683E3D"/>
    <w:rsid w:val="006E25EE"/>
    <w:rsid w:val="006E50BD"/>
    <w:rsid w:val="007E177E"/>
    <w:rsid w:val="00934390"/>
    <w:rsid w:val="00941AF7"/>
    <w:rsid w:val="00C052FA"/>
    <w:rsid w:val="00D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5DF57-6A46-4D88-A557-75133B0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4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D342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341">
    <w:name w:val="font341"/>
    <w:basedOn w:val="Carpredefinitoparagrafo"/>
    <w:rsid w:val="004E5C0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JONATHAN BARONTINI</cp:lastModifiedBy>
  <cp:revision>7</cp:revision>
  <dcterms:created xsi:type="dcterms:W3CDTF">2017-04-21T09:46:00Z</dcterms:created>
  <dcterms:modified xsi:type="dcterms:W3CDTF">2017-08-23T15:50:00Z</dcterms:modified>
</cp:coreProperties>
</file>