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1BF2" w14:textId="7E84B5DA" w:rsidR="00884855" w:rsidRDefault="00884855" w:rsidP="006D2F3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ANZSIL – International Peace &amp; Security Interest Group Workshop 2016</w:t>
      </w:r>
      <w:r>
        <w:rPr>
          <w:rFonts w:ascii="Times New Roman" w:hAnsi="Times New Roman" w:cs="Times New Roman"/>
          <w:sz w:val="24"/>
          <w:szCs w:val="24"/>
        </w:rPr>
        <w:br/>
        <w:t>Stacey Henderson, The University of Adelaide</w:t>
      </w:r>
      <w:r>
        <w:rPr>
          <w:rFonts w:ascii="Times New Roman" w:hAnsi="Times New Roman" w:cs="Times New Roman"/>
          <w:sz w:val="24"/>
          <w:szCs w:val="24"/>
        </w:rPr>
        <w:br/>
      </w:r>
      <w:r w:rsidR="006C7608">
        <w:rPr>
          <w:rFonts w:ascii="Times New Roman" w:hAnsi="Times New Roman" w:cs="Times New Roman"/>
          <w:sz w:val="24"/>
          <w:szCs w:val="24"/>
        </w:rPr>
        <w:t>Paper</w:t>
      </w:r>
      <w:r w:rsidR="00D82973">
        <w:rPr>
          <w:rFonts w:ascii="Times New Roman" w:hAnsi="Times New Roman" w:cs="Times New Roman"/>
          <w:sz w:val="24"/>
          <w:szCs w:val="24"/>
        </w:rPr>
        <w:t xml:space="preserve"> delivered on 22 April 2016 at the University of Sydney</w:t>
      </w:r>
    </w:p>
    <w:p w14:paraId="324AFE71" w14:textId="395A2B30" w:rsidR="00884855" w:rsidRDefault="00F97D55" w:rsidP="006D2F31">
      <w:pPr>
        <w:spacing w:line="240" w:lineRule="auto"/>
        <w:rPr>
          <w:rFonts w:ascii="Times New Roman" w:hAnsi="Times New Roman" w:cs="Times New Roman"/>
          <w:sz w:val="24"/>
          <w:szCs w:val="24"/>
        </w:rPr>
      </w:pPr>
      <w:r>
        <w:rPr>
          <w:rFonts w:ascii="Times New Roman" w:hAnsi="Times New Roman" w:cs="Times New Roman"/>
          <w:b/>
          <w:i/>
          <w:sz w:val="24"/>
          <w:szCs w:val="24"/>
        </w:rPr>
        <w:t>C</w:t>
      </w:r>
      <w:r w:rsidR="00884855">
        <w:rPr>
          <w:rFonts w:ascii="Times New Roman" w:hAnsi="Times New Roman" w:cs="Times New Roman"/>
          <w:b/>
          <w:i/>
          <w:sz w:val="24"/>
          <w:szCs w:val="24"/>
        </w:rPr>
        <w:t>hildren who are DPH: Does the law adequately take the status of child into account</w:t>
      </w:r>
      <w:r w:rsidR="00F42B78">
        <w:rPr>
          <w:rFonts w:ascii="Times New Roman" w:hAnsi="Times New Roman" w:cs="Times New Roman"/>
          <w:b/>
          <w:i/>
          <w:sz w:val="24"/>
          <w:szCs w:val="24"/>
        </w:rPr>
        <w:t xml:space="preserve"> </w:t>
      </w:r>
      <w:r w:rsidR="00884855">
        <w:rPr>
          <w:rFonts w:ascii="Times New Roman" w:hAnsi="Times New Roman" w:cs="Times New Roman"/>
          <w:b/>
          <w:i/>
          <w:sz w:val="24"/>
          <w:szCs w:val="24"/>
        </w:rPr>
        <w:t>…</w:t>
      </w:r>
      <w:r w:rsidR="00F42B78">
        <w:rPr>
          <w:rFonts w:ascii="Times New Roman" w:hAnsi="Times New Roman" w:cs="Times New Roman"/>
          <w:b/>
          <w:i/>
          <w:sz w:val="24"/>
          <w:szCs w:val="24"/>
        </w:rPr>
        <w:t xml:space="preserve"> </w:t>
      </w:r>
      <w:r w:rsidR="00884855">
        <w:rPr>
          <w:rFonts w:ascii="Times New Roman" w:hAnsi="Times New Roman" w:cs="Times New Roman"/>
          <w:b/>
          <w:i/>
          <w:sz w:val="24"/>
          <w:szCs w:val="24"/>
        </w:rPr>
        <w:t>and should it?</w:t>
      </w:r>
    </w:p>
    <w:p w14:paraId="61B7A2A8" w14:textId="22BDD210" w:rsidR="00B965C1" w:rsidRDefault="00467096" w:rsidP="006C76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increasing presence of children </w:t>
      </w:r>
      <w:r w:rsidR="00F97D55">
        <w:rPr>
          <w:rFonts w:ascii="Times New Roman" w:hAnsi="Times New Roman" w:cs="Times New Roman"/>
          <w:sz w:val="24"/>
          <w:szCs w:val="24"/>
        </w:rPr>
        <w:t>in</w:t>
      </w:r>
      <w:r>
        <w:rPr>
          <w:rFonts w:ascii="Times New Roman" w:hAnsi="Times New Roman" w:cs="Times New Roman"/>
          <w:sz w:val="24"/>
          <w:szCs w:val="24"/>
        </w:rPr>
        <w:t xml:space="preserve"> conflict zones</w:t>
      </w:r>
      <w:r w:rsidR="003A4C3F">
        <w:rPr>
          <w:rFonts w:ascii="Times New Roman" w:hAnsi="Times New Roman" w:cs="Times New Roman"/>
          <w:sz w:val="24"/>
          <w:szCs w:val="24"/>
        </w:rPr>
        <w:t xml:space="preserve"> raises</w:t>
      </w:r>
      <w:r w:rsidR="00E5254B">
        <w:rPr>
          <w:rFonts w:ascii="Times New Roman" w:hAnsi="Times New Roman" w:cs="Times New Roman"/>
          <w:sz w:val="24"/>
          <w:szCs w:val="24"/>
        </w:rPr>
        <w:t xml:space="preserve"> questions of applicable targeting law and other international humanitarian law questions</w:t>
      </w:r>
      <w:r w:rsidR="00F97D55">
        <w:rPr>
          <w:rFonts w:ascii="Times New Roman" w:hAnsi="Times New Roman" w:cs="Times New Roman"/>
          <w:sz w:val="24"/>
          <w:szCs w:val="24"/>
        </w:rPr>
        <w:t>.</w:t>
      </w:r>
      <w:r w:rsidR="003A4C3F">
        <w:rPr>
          <w:rFonts w:ascii="Times New Roman" w:hAnsi="Times New Roman" w:cs="Times New Roman"/>
          <w:sz w:val="24"/>
          <w:szCs w:val="24"/>
        </w:rPr>
        <w:t xml:space="preserve"> While the moral impulse is to shield children from the horrors of war, the reality is that children can</w:t>
      </w:r>
      <w:r w:rsidR="00F82B67">
        <w:rPr>
          <w:rFonts w:ascii="Times New Roman" w:hAnsi="Times New Roman" w:cs="Times New Roman"/>
          <w:sz w:val="24"/>
          <w:szCs w:val="24"/>
        </w:rPr>
        <w:t>,</w:t>
      </w:r>
      <w:r w:rsidR="003A4C3F">
        <w:rPr>
          <w:rFonts w:ascii="Times New Roman" w:hAnsi="Times New Roman" w:cs="Times New Roman"/>
          <w:sz w:val="24"/>
          <w:szCs w:val="24"/>
        </w:rPr>
        <w:t xml:space="preserve"> and are</w:t>
      </w:r>
      <w:r w:rsidR="00F82B67">
        <w:rPr>
          <w:rFonts w:ascii="Times New Roman" w:hAnsi="Times New Roman" w:cs="Times New Roman"/>
          <w:sz w:val="24"/>
          <w:szCs w:val="24"/>
        </w:rPr>
        <w:t>,</w:t>
      </w:r>
      <w:r w:rsidR="003A4C3F">
        <w:rPr>
          <w:rFonts w:ascii="Times New Roman" w:hAnsi="Times New Roman" w:cs="Times New Roman"/>
          <w:sz w:val="24"/>
          <w:szCs w:val="24"/>
        </w:rPr>
        <w:t xml:space="preserve"> taking a direct part in hostilities, presenting a direct and significant threat to opposition forces. </w:t>
      </w:r>
      <w:r w:rsidR="00F97D55">
        <w:rPr>
          <w:rFonts w:ascii="Times New Roman" w:hAnsi="Times New Roman" w:cs="Times New Roman"/>
          <w:sz w:val="24"/>
          <w:szCs w:val="24"/>
        </w:rPr>
        <w:t xml:space="preserve">  </w:t>
      </w:r>
      <w:r w:rsidR="00B965C1">
        <w:rPr>
          <w:rFonts w:ascii="Times New Roman" w:hAnsi="Times New Roman" w:cs="Times New Roman"/>
          <w:sz w:val="24"/>
          <w:szCs w:val="24"/>
        </w:rPr>
        <w:t xml:space="preserve">For example, the first American soldier killed in Afghanistan was reportedly shot by a fourteen year old boy.  In Sierra Leone, a squad from the Royal Irish Regiment was taken prisoner by an armed group called the West Side Boys, consisting mostly of children.  </w:t>
      </w:r>
      <w:r w:rsidR="007C21B8">
        <w:rPr>
          <w:rFonts w:ascii="Times New Roman" w:hAnsi="Times New Roman" w:cs="Times New Roman"/>
          <w:sz w:val="24"/>
          <w:szCs w:val="24"/>
        </w:rPr>
        <w:t xml:space="preserve">It is imperative that international humanitarian law provide guidance to </w:t>
      </w:r>
      <w:r w:rsidR="008B3455">
        <w:rPr>
          <w:rFonts w:ascii="Times New Roman" w:hAnsi="Times New Roman" w:cs="Times New Roman"/>
          <w:sz w:val="24"/>
          <w:szCs w:val="24"/>
        </w:rPr>
        <w:t>those</w:t>
      </w:r>
      <w:r w:rsidR="007C21B8">
        <w:rPr>
          <w:rFonts w:ascii="Times New Roman" w:hAnsi="Times New Roman" w:cs="Times New Roman"/>
          <w:sz w:val="24"/>
          <w:szCs w:val="24"/>
        </w:rPr>
        <w:t xml:space="preserve"> faced with the reality of children who are </w:t>
      </w:r>
      <w:r w:rsidR="00A22AB0">
        <w:rPr>
          <w:rFonts w:ascii="Times New Roman" w:hAnsi="Times New Roman" w:cs="Times New Roman"/>
          <w:sz w:val="24"/>
          <w:szCs w:val="24"/>
        </w:rPr>
        <w:t>taking a direct part in hostilities</w:t>
      </w:r>
      <w:r w:rsidR="007C21B8">
        <w:rPr>
          <w:rFonts w:ascii="Times New Roman" w:hAnsi="Times New Roman" w:cs="Times New Roman"/>
          <w:sz w:val="24"/>
          <w:szCs w:val="24"/>
        </w:rPr>
        <w:t>.</w:t>
      </w:r>
    </w:p>
    <w:p w14:paraId="5CC071CE" w14:textId="07F9135A" w:rsidR="002200DD" w:rsidRDefault="005A17F5" w:rsidP="002200D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International humanitarian law is founded upon the</w:t>
      </w:r>
      <w:r w:rsidR="00280F06">
        <w:rPr>
          <w:rFonts w:ascii="Times New Roman" w:hAnsi="Times New Roman" w:cs="Times New Roman"/>
          <w:sz w:val="24"/>
          <w:szCs w:val="24"/>
        </w:rPr>
        <w:t xml:space="preserve"> dual </w:t>
      </w:r>
      <w:r>
        <w:rPr>
          <w:rFonts w:ascii="Times New Roman" w:hAnsi="Times New Roman" w:cs="Times New Roman"/>
          <w:sz w:val="24"/>
          <w:szCs w:val="24"/>
        </w:rPr>
        <w:t>notions that it is possible to distinguish combatants from civilians in a way that is accurate and reliable, and that civilians enjoy complete immunity from direct targeting.  This immunity</w:t>
      </w:r>
      <w:r w:rsidR="005D7CBD">
        <w:rPr>
          <w:rFonts w:ascii="Times New Roman" w:hAnsi="Times New Roman" w:cs="Times New Roman"/>
          <w:sz w:val="24"/>
          <w:szCs w:val="24"/>
        </w:rPr>
        <w:t xml:space="preserve"> from targeting</w:t>
      </w:r>
      <w:r>
        <w:rPr>
          <w:rFonts w:ascii="Times New Roman" w:hAnsi="Times New Roman" w:cs="Times New Roman"/>
          <w:sz w:val="24"/>
          <w:szCs w:val="24"/>
        </w:rPr>
        <w:t xml:space="preserve"> is</w:t>
      </w:r>
      <w:r w:rsidR="005D7CBD">
        <w:rPr>
          <w:rFonts w:ascii="Times New Roman" w:hAnsi="Times New Roman" w:cs="Times New Roman"/>
          <w:sz w:val="24"/>
          <w:szCs w:val="24"/>
        </w:rPr>
        <w:t xml:space="preserve"> </w:t>
      </w:r>
      <w:r>
        <w:rPr>
          <w:rFonts w:ascii="Times New Roman" w:hAnsi="Times New Roman" w:cs="Times New Roman"/>
          <w:sz w:val="24"/>
          <w:szCs w:val="24"/>
        </w:rPr>
        <w:t>conditional upon civilians refraining from taking any direct part in hostilities.</w:t>
      </w:r>
      <w:r w:rsidR="00080682">
        <w:rPr>
          <w:rFonts w:ascii="Times New Roman" w:hAnsi="Times New Roman" w:cs="Times New Roman"/>
          <w:sz w:val="24"/>
          <w:szCs w:val="24"/>
        </w:rPr>
        <w:t xml:space="preserve">  </w:t>
      </w:r>
      <w:r w:rsidR="002200DD">
        <w:rPr>
          <w:rFonts w:ascii="Times New Roman" w:hAnsi="Times New Roman" w:cs="Times New Roman"/>
          <w:sz w:val="24"/>
          <w:szCs w:val="24"/>
        </w:rPr>
        <w:t xml:space="preserve">Civilians may temporarily lose their entitlement to protection against targeting ‘for such time as’ they are directly participating in hostilities.  The loss of immunity from targeting lasts only ‘for such time as’ the civilian is DPH.  When the civilian ceases to be DPH, they regain their protected status and immunity from targeting.  This is the so-called ‘revolving door’ phenomenon and applies to all civilians, child and adult, who are DPH.  The revolving door phenomenon ensures maximum protection for the civilian population against arbitrary targeting decisions.  </w:t>
      </w:r>
    </w:p>
    <w:p w14:paraId="18EECFA5" w14:textId="77777777" w:rsidR="002200DD" w:rsidRDefault="002200DD" w:rsidP="006C7608">
      <w:pPr>
        <w:spacing w:line="480" w:lineRule="auto"/>
        <w:ind w:firstLine="720"/>
        <w:rPr>
          <w:rFonts w:ascii="Times New Roman" w:hAnsi="Times New Roman" w:cs="Times New Roman"/>
          <w:sz w:val="24"/>
          <w:szCs w:val="24"/>
        </w:rPr>
      </w:pPr>
    </w:p>
    <w:p w14:paraId="3C435C12" w14:textId="1F2C485D" w:rsidR="000E0FB3" w:rsidRDefault="00080682" w:rsidP="00B40B8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Contemporary armed conflicts are predominantly played out in civilian locations, rather than battlefields, with combatants mingled with the civilian population.  The increasing reports of civilians</w:t>
      </w:r>
      <w:r w:rsidR="00EF6F07">
        <w:rPr>
          <w:rFonts w:ascii="Times New Roman" w:hAnsi="Times New Roman" w:cs="Times New Roman"/>
          <w:sz w:val="24"/>
          <w:szCs w:val="24"/>
        </w:rPr>
        <w:t>, including children,</w:t>
      </w:r>
      <w:r>
        <w:rPr>
          <w:rFonts w:ascii="Times New Roman" w:hAnsi="Times New Roman" w:cs="Times New Roman"/>
          <w:sz w:val="24"/>
          <w:szCs w:val="24"/>
        </w:rPr>
        <w:t xml:space="preserve"> who are DPH should therefore come as no surprise.</w:t>
      </w:r>
      <w:r w:rsidR="00280F06">
        <w:rPr>
          <w:rFonts w:ascii="Times New Roman" w:hAnsi="Times New Roman" w:cs="Times New Roman"/>
          <w:sz w:val="24"/>
          <w:szCs w:val="24"/>
        </w:rPr>
        <w:t xml:space="preserve">  </w:t>
      </w:r>
      <w:r w:rsidR="00F660DD">
        <w:rPr>
          <w:rFonts w:ascii="Times New Roman" w:hAnsi="Times New Roman" w:cs="Times New Roman"/>
          <w:sz w:val="24"/>
          <w:szCs w:val="24"/>
        </w:rPr>
        <w:t>While e</w:t>
      </w:r>
      <w:r w:rsidR="00FB02C5">
        <w:rPr>
          <w:rFonts w:ascii="Times New Roman" w:hAnsi="Times New Roman" w:cs="Times New Roman"/>
          <w:sz w:val="24"/>
          <w:szCs w:val="24"/>
        </w:rPr>
        <w:t xml:space="preserve">fforts </w:t>
      </w:r>
      <w:r w:rsidR="00F660DD">
        <w:rPr>
          <w:rFonts w:ascii="Times New Roman" w:hAnsi="Times New Roman" w:cs="Times New Roman"/>
          <w:sz w:val="24"/>
          <w:szCs w:val="24"/>
        </w:rPr>
        <w:t>have been</w:t>
      </w:r>
      <w:r w:rsidR="00FB02C5">
        <w:rPr>
          <w:rFonts w:ascii="Times New Roman" w:hAnsi="Times New Roman" w:cs="Times New Roman"/>
          <w:sz w:val="24"/>
          <w:szCs w:val="24"/>
        </w:rPr>
        <w:t xml:space="preserve"> aimed at reducing the number of children recruited into armed forces and criminalising</w:t>
      </w:r>
      <w:r w:rsidR="00142B70">
        <w:rPr>
          <w:rFonts w:ascii="Times New Roman" w:hAnsi="Times New Roman" w:cs="Times New Roman"/>
          <w:sz w:val="24"/>
          <w:szCs w:val="24"/>
        </w:rPr>
        <w:t xml:space="preserve"> the activities of</w:t>
      </w:r>
      <w:r w:rsidR="00FB02C5">
        <w:rPr>
          <w:rFonts w:ascii="Times New Roman" w:hAnsi="Times New Roman" w:cs="Times New Roman"/>
          <w:sz w:val="24"/>
          <w:szCs w:val="24"/>
        </w:rPr>
        <w:t xml:space="preserve"> their recruiters, relatively less attention has been directed at reconsidering the legal status of children participating directly in hostilities and the ru</w:t>
      </w:r>
      <w:r w:rsidR="003B1C2B">
        <w:rPr>
          <w:rFonts w:ascii="Times New Roman" w:hAnsi="Times New Roman" w:cs="Times New Roman"/>
          <w:sz w:val="24"/>
          <w:szCs w:val="24"/>
        </w:rPr>
        <w:t>l</w:t>
      </w:r>
      <w:r w:rsidR="00FB02C5">
        <w:rPr>
          <w:rFonts w:ascii="Times New Roman" w:hAnsi="Times New Roman" w:cs="Times New Roman"/>
          <w:sz w:val="24"/>
          <w:szCs w:val="24"/>
        </w:rPr>
        <w:t xml:space="preserve">es for their targeting. </w:t>
      </w:r>
      <w:r w:rsidR="008E1119">
        <w:rPr>
          <w:rFonts w:ascii="Times New Roman" w:hAnsi="Times New Roman" w:cs="Times New Roman"/>
          <w:sz w:val="24"/>
          <w:szCs w:val="24"/>
        </w:rPr>
        <w:t xml:space="preserve"> </w:t>
      </w:r>
      <w:r w:rsidR="000E0FB3">
        <w:rPr>
          <w:rFonts w:ascii="Times New Roman" w:hAnsi="Times New Roman" w:cs="Times New Roman"/>
          <w:sz w:val="24"/>
          <w:szCs w:val="24"/>
        </w:rPr>
        <w:t xml:space="preserve">The issue of children who are </w:t>
      </w:r>
      <w:r w:rsidR="00F939EC">
        <w:rPr>
          <w:rFonts w:ascii="Times New Roman" w:hAnsi="Times New Roman" w:cs="Times New Roman"/>
          <w:sz w:val="24"/>
          <w:szCs w:val="24"/>
        </w:rPr>
        <w:t>DPH</w:t>
      </w:r>
      <w:r w:rsidR="00F429EE">
        <w:rPr>
          <w:rFonts w:ascii="Times New Roman" w:hAnsi="Times New Roman" w:cs="Times New Roman"/>
          <w:sz w:val="24"/>
          <w:szCs w:val="24"/>
        </w:rPr>
        <w:t xml:space="preserve"> </w:t>
      </w:r>
      <w:r w:rsidR="000E0FB3">
        <w:rPr>
          <w:rFonts w:ascii="Times New Roman" w:hAnsi="Times New Roman" w:cs="Times New Roman"/>
          <w:sz w:val="24"/>
          <w:szCs w:val="24"/>
        </w:rPr>
        <w:t>raises two distinct legal questions: first, whether children who are</w:t>
      </w:r>
      <w:r w:rsidR="00F42B78">
        <w:rPr>
          <w:rFonts w:ascii="Times New Roman" w:hAnsi="Times New Roman" w:cs="Times New Roman"/>
          <w:sz w:val="24"/>
          <w:szCs w:val="24"/>
        </w:rPr>
        <w:t xml:space="preserve"> </w:t>
      </w:r>
      <w:r w:rsidR="000E0FB3">
        <w:rPr>
          <w:rFonts w:ascii="Times New Roman" w:hAnsi="Times New Roman" w:cs="Times New Roman"/>
          <w:sz w:val="24"/>
          <w:szCs w:val="24"/>
        </w:rPr>
        <w:t>DPH are just like any adult civilian who is DPH and, second, if so, whether the means used to target them follow the same rules as for any adult who is DPH.</w:t>
      </w:r>
      <w:r w:rsidR="00F939EC">
        <w:rPr>
          <w:rFonts w:ascii="Times New Roman" w:hAnsi="Times New Roman" w:cs="Times New Roman"/>
          <w:sz w:val="24"/>
          <w:szCs w:val="24"/>
        </w:rPr>
        <w:t xml:space="preserve">  </w:t>
      </w:r>
    </w:p>
    <w:p w14:paraId="423E1DA3" w14:textId="502EA836" w:rsidR="00174F2C" w:rsidRDefault="00D86028" w:rsidP="006C76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first to the question of whether children who are DPH are just like any adult civilian who is DPH.  </w:t>
      </w:r>
      <w:r w:rsidR="004E364F">
        <w:rPr>
          <w:rFonts w:ascii="Times New Roman" w:hAnsi="Times New Roman" w:cs="Times New Roman"/>
          <w:sz w:val="24"/>
          <w:szCs w:val="24"/>
        </w:rPr>
        <w:t>The firs</w:t>
      </w:r>
      <w:r w:rsidR="00712E23">
        <w:rPr>
          <w:rFonts w:ascii="Times New Roman" w:hAnsi="Times New Roman" w:cs="Times New Roman"/>
          <w:sz w:val="24"/>
          <w:szCs w:val="24"/>
        </w:rPr>
        <w:t>t step is to identify the child</w:t>
      </w:r>
      <w:r w:rsidR="004E364F">
        <w:rPr>
          <w:rFonts w:ascii="Times New Roman" w:hAnsi="Times New Roman" w:cs="Times New Roman"/>
          <w:sz w:val="24"/>
          <w:szCs w:val="24"/>
        </w:rPr>
        <w:t xml:space="preserve">.  </w:t>
      </w:r>
      <w:r w:rsidR="00AF4533">
        <w:rPr>
          <w:rFonts w:ascii="Times New Roman" w:hAnsi="Times New Roman" w:cs="Times New Roman"/>
          <w:sz w:val="24"/>
          <w:szCs w:val="24"/>
        </w:rPr>
        <w:t>This is</w:t>
      </w:r>
      <w:r w:rsidR="004E364F">
        <w:rPr>
          <w:rFonts w:ascii="Times New Roman" w:hAnsi="Times New Roman" w:cs="Times New Roman"/>
          <w:sz w:val="24"/>
          <w:szCs w:val="24"/>
        </w:rPr>
        <w:t xml:space="preserve"> not as simple as it first might appear.  While the </w:t>
      </w:r>
      <w:r w:rsidR="004E364F">
        <w:rPr>
          <w:rFonts w:ascii="Times New Roman" w:hAnsi="Times New Roman" w:cs="Times New Roman"/>
          <w:i/>
          <w:sz w:val="24"/>
          <w:szCs w:val="24"/>
        </w:rPr>
        <w:t>Convention on the Rights of the Child</w:t>
      </w:r>
      <w:r w:rsidR="004E364F">
        <w:rPr>
          <w:rFonts w:ascii="Times New Roman" w:hAnsi="Times New Roman" w:cs="Times New Roman"/>
          <w:sz w:val="24"/>
          <w:szCs w:val="24"/>
        </w:rPr>
        <w:t xml:space="preserve"> applies generally to anyone under the age of 18</w:t>
      </w:r>
      <w:r w:rsidR="00FE2843">
        <w:rPr>
          <w:rFonts w:ascii="Times New Roman" w:hAnsi="Times New Roman" w:cs="Times New Roman"/>
          <w:sz w:val="24"/>
          <w:szCs w:val="24"/>
        </w:rPr>
        <w:t xml:space="preserve"> unless the age of majority is attained earlier under the child’s national law</w:t>
      </w:r>
      <w:r w:rsidR="004E364F">
        <w:rPr>
          <w:rFonts w:ascii="Times New Roman" w:hAnsi="Times New Roman" w:cs="Times New Roman"/>
          <w:sz w:val="24"/>
          <w:szCs w:val="24"/>
        </w:rPr>
        <w:t xml:space="preserve">, </w:t>
      </w:r>
      <w:r w:rsidR="007F08F0">
        <w:rPr>
          <w:rFonts w:ascii="Times New Roman" w:hAnsi="Times New Roman" w:cs="Times New Roman"/>
          <w:sz w:val="24"/>
          <w:szCs w:val="24"/>
        </w:rPr>
        <w:t xml:space="preserve">there is no ‘straight-18’ consensus in international law for determining </w:t>
      </w:r>
      <w:r w:rsidR="004B2FF0">
        <w:rPr>
          <w:rFonts w:ascii="Times New Roman" w:hAnsi="Times New Roman" w:cs="Times New Roman"/>
          <w:sz w:val="24"/>
          <w:szCs w:val="24"/>
        </w:rPr>
        <w:t>childhood</w:t>
      </w:r>
      <w:r w:rsidR="004E364F">
        <w:rPr>
          <w:rFonts w:ascii="Times New Roman" w:hAnsi="Times New Roman" w:cs="Times New Roman"/>
          <w:sz w:val="24"/>
          <w:szCs w:val="24"/>
        </w:rPr>
        <w:t>.  For example, the</w:t>
      </w:r>
      <w:r w:rsidR="004E364F" w:rsidRPr="004E364F">
        <w:rPr>
          <w:rFonts w:ascii="Times New Roman" w:hAnsi="Times New Roman" w:cs="Times New Roman"/>
          <w:sz w:val="24"/>
          <w:szCs w:val="24"/>
        </w:rPr>
        <w:t xml:space="preserve"> </w:t>
      </w:r>
      <w:r w:rsidR="004E364F">
        <w:rPr>
          <w:rFonts w:ascii="Times New Roman" w:hAnsi="Times New Roman" w:cs="Times New Roman"/>
          <w:i/>
          <w:sz w:val="24"/>
          <w:szCs w:val="24"/>
        </w:rPr>
        <w:t>Hague Convention on Civil Aspects of Child Abduction</w:t>
      </w:r>
      <w:r w:rsidR="004E364F">
        <w:rPr>
          <w:rFonts w:ascii="Times New Roman" w:hAnsi="Times New Roman" w:cs="Times New Roman"/>
          <w:sz w:val="24"/>
          <w:szCs w:val="24"/>
        </w:rPr>
        <w:t xml:space="preserve"> applies to children up to the age of 16; the </w:t>
      </w:r>
      <w:r w:rsidR="004E364F">
        <w:rPr>
          <w:rFonts w:ascii="Times New Roman" w:hAnsi="Times New Roman" w:cs="Times New Roman"/>
          <w:i/>
          <w:sz w:val="24"/>
          <w:szCs w:val="24"/>
        </w:rPr>
        <w:t>Additional Protocols to the 1949 Geneva Conventions</w:t>
      </w:r>
      <w:r w:rsidR="004E364F">
        <w:rPr>
          <w:rFonts w:ascii="Times New Roman" w:hAnsi="Times New Roman" w:cs="Times New Roman"/>
          <w:sz w:val="24"/>
          <w:szCs w:val="24"/>
        </w:rPr>
        <w:t xml:space="preserve"> protect children from recruitment until the age of 15; </w:t>
      </w:r>
      <w:r w:rsidR="00300467">
        <w:rPr>
          <w:rFonts w:ascii="Times New Roman" w:hAnsi="Times New Roman" w:cs="Times New Roman"/>
          <w:sz w:val="24"/>
          <w:szCs w:val="24"/>
        </w:rPr>
        <w:t xml:space="preserve">whereas </w:t>
      </w:r>
      <w:r w:rsidR="004E364F">
        <w:rPr>
          <w:rFonts w:ascii="Times New Roman" w:hAnsi="Times New Roman" w:cs="Times New Roman"/>
          <w:sz w:val="24"/>
          <w:szCs w:val="24"/>
        </w:rPr>
        <w:t xml:space="preserve">the </w:t>
      </w:r>
      <w:r w:rsidR="004E364F">
        <w:rPr>
          <w:rFonts w:ascii="Times New Roman" w:hAnsi="Times New Roman" w:cs="Times New Roman"/>
          <w:i/>
          <w:sz w:val="24"/>
          <w:szCs w:val="24"/>
        </w:rPr>
        <w:t>Optional Protocol to the Convention on the Rights of the Child on the Involvement of Children in Armed Conflict</w:t>
      </w:r>
      <w:r w:rsidR="004E364F">
        <w:rPr>
          <w:rFonts w:ascii="Times New Roman" w:hAnsi="Times New Roman" w:cs="Times New Roman"/>
          <w:sz w:val="24"/>
          <w:szCs w:val="24"/>
        </w:rPr>
        <w:t xml:space="preserve"> raises that level of protection to the age of 18</w:t>
      </w:r>
      <w:r w:rsidR="000A722F">
        <w:rPr>
          <w:rFonts w:ascii="Times New Roman" w:hAnsi="Times New Roman" w:cs="Times New Roman"/>
          <w:sz w:val="24"/>
          <w:szCs w:val="24"/>
        </w:rPr>
        <w:t xml:space="preserve">.  The </w:t>
      </w:r>
      <w:r w:rsidR="000A722F">
        <w:rPr>
          <w:rFonts w:ascii="Times New Roman" w:hAnsi="Times New Roman" w:cs="Times New Roman"/>
          <w:i/>
          <w:sz w:val="24"/>
          <w:szCs w:val="24"/>
        </w:rPr>
        <w:t>Rome Statute</w:t>
      </w:r>
      <w:r w:rsidR="000A722F">
        <w:rPr>
          <w:rFonts w:ascii="Times New Roman" w:hAnsi="Times New Roman" w:cs="Times New Roman"/>
          <w:sz w:val="24"/>
          <w:szCs w:val="24"/>
        </w:rPr>
        <w:t xml:space="preserve"> adopted the age limit of under 15 years of age for the purposes of the war crime of </w:t>
      </w:r>
      <w:r w:rsidR="0041085C">
        <w:rPr>
          <w:rFonts w:ascii="Times New Roman" w:hAnsi="Times New Roman" w:cs="Times New Roman"/>
          <w:sz w:val="24"/>
          <w:szCs w:val="24"/>
        </w:rPr>
        <w:t>‘</w:t>
      </w:r>
      <w:r w:rsidR="000A722F">
        <w:rPr>
          <w:rFonts w:ascii="Times New Roman" w:hAnsi="Times New Roman" w:cs="Times New Roman"/>
          <w:sz w:val="24"/>
          <w:szCs w:val="24"/>
        </w:rPr>
        <w:t>conscripting or enlisting ch</w:t>
      </w:r>
      <w:r w:rsidR="0041085C">
        <w:rPr>
          <w:rFonts w:ascii="Times New Roman" w:hAnsi="Times New Roman" w:cs="Times New Roman"/>
          <w:sz w:val="24"/>
          <w:szCs w:val="24"/>
        </w:rPr>
        <w:t>i</w:t>
      </w:r>
      <w:r w:rsidR="000A722F">
        <w:rPr>
          <w:rFonts w:ascii="Times New Roman" w:hAnsi="Times New Roman" w:cs="Times New Roman"/>
          <w:sz w:val="24"/>
          <w:szCs w:val="24"/>
        </w:rPr>
        <w:t>ldren</w:t>
      </w:r>
      <w:r w:rsidR="0041085C">
        <w:rPr>
          <w:rFonts w:ascii="Times New Roman" w:hAnsi="Times New Roman" w:cs="Times New Roman"/>
          <w:sz w:val="24"/>
          <w:szCs w:val="24"/>
        </w:rPr>
        <w:t>’</w:t>
      </w:r>
      <w:r w:rsidR="000A722F">
        <w:rPr>
          <w:rFonts w:ascii="Times New Roman" w:hAnsi="Times New Roman" w:cs="Times New Roman"/>
          <w:sz w:val="24"/>
          <w:szCs w:val="24"/>
        </w:rPr>
        <w:t xml:space="preserve"> or </w:t>
      </w:r>
      <w:r w:rsidR="0041085C">
        <w:rPr>
          <w:rFonts w:ascii="Times New Roman" w:hAnsi="Times New Roman" w:cs="Times New Roman"/>
          <w:sz w:val="24"/>
          <w:szCs w:val="24"/>
        </w:rPr>
        <w:t>‘</w:t>
      </w:r>
      <w:r w:rsidR="000A722F">
        <w:rPr>
          <w:rFonts w:ascii="Times New Roman" w:hAnsi="Times New Roman" w:cs="Times New Roman"/>
          <w:sz w:val="24"/>
          <w:szCs w:val="24"/>
        </w:rPr>
        <w:t>using them to participate actively in hostilities</w:t>
      </w:r>
      <w:r w:rsidR="0041085C">
        <w:rPr>
          <w:rFonts w:ascii="Times New Roman" w:hAnsi="Times New Roman" w:cs="Times New Roman"/>
          <w:sz w:val="24"/>
          <w:szCs w:val="24"/>
        </w:rPr>
        <w:t>’</w:t>
      </w:r>
      <w:r w:rsidR="004E364F">
        <w:rPr>
          <w:rFonts w:ascii="Times New Roman" w:hAnsi="Times New Roman" w:cs="Times New Roman"/>
          <w:sz w:val="24"/>
          <w:szCs w:val="24"/>
        </w:rPr>
        <w:t xml:space="preserve">.  </w:t>
      </w:r>
      <w:r w:rsidR="00A947D3">
        <w:rPr>
          <w:rFonts w:ascii="Times New Roman" w:hAnsi="Times New Roman" w:cs="Times New Roman"/>
          <w:sz w:val="24"/>
          <w:szCs w:val="24"/>
        </w:rPr>
        <w:t xml:space="preserve">For the purposes of this paper, a child </w:t>
      </w:r>
      <w:r w:rsidR="00D825E0">
        <w:rPr>
          <w:rFonts w:ascii="Times New Roman" w:hAnsi="Times New Roman" w:cs="Times New Roman"/>
          <w:sz w:val="24"/>
          <w:szCs w:val="24"/>
        </w:rPr>
        <w:t xml:space="preserve">will be </w:t>
      </w:r>
      <w:r w:rsidR="0017772E">
        <w:rPr>
          <w:rFonts w:ascii="Times New Roman" w:hAnsi="Times New Roman" w:cs="Times New Roman"/>
          <w:sz w:val="24"/>
          <w:szCs w:val="24"/>
        </w:rPr>
        <w:t xml:space="preserve">considered to be </w:t>
      </w:r>
      <w:r w:rsidR="00A947D3">
        <w:rPr>
          <w:rFonts w:ascii="Times New Roman" w:hAnsi="Times New Roman" w:cs="Times New Roman"/>
          <w:sz w:val="24"/>
          <w:szCs w:val="24"/>
        </w:rPr>
        <w:t xml:space="preserve">anyone below the age of 15, leaving aside the </w:t>
      </w:r>
      <w:r w:rsidR="00AA4D4F">
        <w:rPr>
          <w:rFonts w:ascii="Times New Roman" w:hAnsi="Times New Roman" w:cs="Times New Roman"/>
          <w:sz w:val="24"/>
          <w:szCs w:val="24"/>
        </w:rPr>
        <w:t>legal</w:t>
      </w:r>
      <w:r w:rsidR="00A947D3">
        <w:rPr>
          <w:rFonts w:ascii="Times New Roman" w:hAnsi="Times New Roman" w:cs="Times New Roman"/>
          <w:sz w:val="24"/>
          <w:szCs w:val="24"/>
        </w:rPr>
        <w:t xml:space="preserve"> grey zone between 15 and 18.</w:t>
      </w:r>
      <w:r w:rsidR="005A2477">
        <w:rPr>
          <w:rFonts w:ascii="Times New Roman" w:hAnsi="Times New Roman" w:cs="Times New Roman"/>
          <w:sz w:val="24"/>
          <w:szCs w:val="24"/>
        </w:rPr>
        <w:t xml:space="preserve">  </w:t>
      </w:r>
    </w:p>
    <w:p w14:paraId="3091EAD9" w14:textId="75EA0AF6" w:rsidR="00CF22F4" w:rsidRDefault="00937850" w:rsidP="00106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identified the child, the second step is to determine </w:t>
      </w:r>
      <w:r w:rsidR="002941F0">
        <w:rPr>
          <w:rFonts w:ascii="Times New Roman" w:hAnsi="Times New Roman" w:cs="Times New Roman"/>
          <w:sz w:val="24"/>
          <w:szCs w:val="24"/>
        </w:rPr>
        <w:t>whether the child who is DPH is just like any adult who is DPH</w:t>
      </w:r>
      <w:r>
        <w:rPr>
          <w:rFonts w:ascii="Times New Roman" w:hAnsi="Times New Roman" w:cs="Times New Roman"/>
          <w:sz w:val="24"/>
          <w:szCs w:val="24"/>
        </w:rPr>
        <w:t xml:space="preserve">.  </w:t>
      </w:r>
      <w:r w:rsidR="002B3BBA">
        <w:rPr>
          <w:rFonts w:ascii="Times New Roman" w:hAnsi="Times New Roman" w:cs="Times New Roman"/>
          <w:sz w:val="24"/>
          <w:szCs w:val="24"/>
        </w:rPr>
        <w:t xml:space="preserve">Article 51(3) of </w:t>
      </w:r>
      <w:r w:rsidR="002B3BBA">
        <w:rPr>
          <w:rFonts w:ascii="Times New Roman" w:hAnsi="Times New Roman" w:cs="Times New Roman"/>
          <w:i/>
          <w:sz w:val="24"/>
          <w:szCs w:val="24"/>
        </w:rPr>
        <w:t>Additional Protocol I</w:t>
      </w:r>
      <w:r w:rsidR="002B3BBA">
        <w:rPr>
          <w:rFonts w:ascii="Times New Roman" w:hAnsi="Times New Roman" w:cs="Times New Roman"/>
          <w:sz w:val="24"/>
          <w:szCs w:val="24"/>
        </w:rPr>
        <w:t xml:space="preserve"> </w:t>
      </w:r>
      <w:r w:rsidR="00F6710F">
        <w:rPr>
          <w:rFonts w:ascii="Times New Roman" w:hAnsi="Times New Roman" w:cs="Times New Roman"/>
          <w:sz w:val="24"/>
          <w:szCs w:val="24"/>
        </w:rPr>
        <w:t xml:space="preserve">and </w:t>
      </w:r>
      <w:r w:rsidR="002B3BBA">
        <w:rPr>
          <w:rFonts w:ascii="Times New Roman" w:hAnsi="Times New Roman" w:cs="Times New Roman"/>
          <w:sz w:val="24"/>
          <w:szCs w:val="24"/>
        </w:rPr>
        <w:t>Article 13</w:t>
      </w:r>
      <w:r w:rsidR="00F6710F">
        <w:rPr>
          <w:rFonts w:ascii="Times New Roman" w:hAnsi="Times New Roman" w:cs="Times New Roman"/>
          <w:sz w:val="24"/>
          <w:szCs w:val="24"/>
        </w:rPr>
        <w:t>(3)</w:t>
      </w:r>
      <w:r w:rsidR="002B3BBA">
        <w:rPr>
          <w:rFonts w:ascii="Times New Roman" w:hAnsi="Times New Roman" w:cs="Times New Roman"/>
          <w:sz w:val="24"/>
          <w:szCs w:val="24"/>
        </w:rPr>
        <w:t xml:space="preserve"> of </w:t>
      </w:r>
      <w:r w:rsidR="002B3BBA">
        <w:rPr>
          <w:rFonts w:ascii="Times New Roman" w:hAnsi="Times New Roman" w:cs="Times New Roman"/>
          <w:i/>
          <w:sz w:val="24"/>
          <w:szCs w:val="24"/>
        </w:rPr>
        <w:t>Additional Protocol II</w:t>
      </w:r>
      <w:r w:rsidR="002B3BBA">
        <w:rPr>
          <w:rFonts w:ascii="Times New Roman" w:hAnsi="Times New Roman" w:cs="Times New Roman"/>
          <w:sz w:val="24"/>
          <w:szCs w:val="24"/>
        </w:rPr>
        <w:t xml:space="preserve"> </w:t>
      </w:r>
      <w:r w:rsidR="00F6710F">
        <w:rPr>
          <w:rFonts w:ascii="Times New Roman" w:hAnsi="Times New Roman" w:cs="Times New Roman"/>
          <w:sz w:val="24"/>
          <w:szCs w:val="24"/>
        </w:rPr>
        <w:t xml:space="preserve">both state that ‘civilians shall enjoy the protection afforded by </w:t>
      </w:r>
      <w:r w:rsidR="00F6710F">
        <w:rPr>
          <w:rFonts w:ascii="Times New Roman" w:hAnsi="Times New Roman" w:cs="Times New Roman"/>
          <w:sz w:val="24"/>
          <w:szCs w:val="24"/>
        </w:rPr>
        <w:lastRenderedPageBreak/>
        <w:t>this section, unless and for such time as they take a direct part in hostilities’</w:t>
      </w:r>
      <w:r w:rsidR="00163E05">
        <w:rPr>
          <w:rFonts w:ascii="Times New Roman" w:hAnsi="Times New Roman" w:cs="Times New Roman"/>
          <w:sz w:val="24"/>
          <w:szCs w:val="24"/>
        </w:rPr>
        <w:t xml:space="preserve">.  </w:t>
      </w:r>
      <w:r w:rsidR="00DA55C5">
        <w:rPr>
          <w:rFonts w:ascii="Times New Roman" w:hAnsi="Times New Roman" w:cs="Times New Roman"/>
          <w:sz w:val="24"/>
          <w:szCs w:val="24"/>
        </w:rPr>
        <w:t xml:space="preserve">International humanitarian </w:t>
      </w:r>
      <w:r w:rsidR="007669E4">
        <w:rPr>
          <w:rFonts w:ascii="Times New Roman" w:hAnsi="Times New Roman" w:cs="Times New Roman"/>
          <w:sz w:val="24"/>
          <w:szCs w:val="24"/>
        </w:rPr>
        <w:t xml:space="preserve">law </w:t>
      </w:r>
      <w:r w:rsidR="00DA55C5">
        <w:rPr>
          <w:rFonts w:ascii="Times New Roman" w:hAnsi="Times New Roman" w:cs="Times New Roman"/>
          <w:sz w:val="24"/>
          <w:szCs w:val="24"/>
        </w:rPr>
        <w:t>deem</w:t>
      </w:r>
      <w:r w:rsidR="007669E4">
        <w:rPr>
          <w:rFonts w:ascii="Times New Roman" w:hAnsi="Times New Roman" w:cs="Times New Roman"/>
          <w:sz w:val="24"/>
          <w:szCs w:val="24"/>
        </w:rPr>
        <w:t>s</w:t>
      </w:r>
      <w:r w:rsidR="00DA55C5">
        <w:rPr>
          <w:rFonts w:ascii="Times New Roman" w:hAnsi="Times New Roman" w:cs="Times New Roman"/>
          <w:sz w:val="24"/>
          <w:szCs w:val="24"/>
        </w:rPr>
        <w:t xml:space="preserve"> a civilian </w:t>
      </w:r>
      <w:r w:rsidR="00D7432D">
        <w:rPr>
          <w:rFonts w:ascii="Times New Roman" w:hAnsi="Times New Roman" w:cs="Times New Roman"/>
          <w:sz w:val="24"/>
          <w:szCs w:val="24"/>
        </w:rPr>
        <w:t xml:space="preserve">to be </w:t>
      </w:r>
      <w:r w:rsidR="00DA55C5">
        <w:rPr>
          <w:rFonts w:ascii="Times New Roman" w:hAnsi="Times New Roman" w:cs="Times New Roman"/>
          <w:sz w:val="24"/>
          <w:szCs w:val="24"/>
        </w:rPr>
        <w:t>anyone who is not a combatant.</w:t>
      </w:r>
      <w:r w:rsidR="00D7432D">
        <w:rPr>
          <w:rFonts w:ascii="Times New Roman" w:hAnsi="Times New Roman" w:cs="Times New Roman"/>
          <w:sz w:val="24"/>
          <w:szCs w:val="24"/>
        </w:rPr>
        <w:t xml:space="preserve">  </w:t>
      </w:r>
      <w:r w:rsidR="007669E4">
        <w:rPr>
          <w:rFonts w:ascii="Times New Roman" w:hAnsi="Times New Roman" w:cs="Times New Roman"/>
          <w:sz w:val="24"/>
          <w:szCs w:val="24"/>
        </w:rPr>
        <w:t xml:space="preserve">Civilians who are not taking a direct part in hostilities are protected persons and may not be directly targeted.  </w:t>
      </w:r>
      <w:r w:rsidR="00D7432D">
        <w:rPr>
          <w:rFonts w:ascii="Times New Roman" w:hAnsi="Times New Roman" w:cs="Times New Roman"/>
          <w:sz w:val="24"/>
          <w:szCs w:val="24"/>
        </w:rPr>
        <w:t>The next step is to identify when a civilian is taking a direct part in hostilities</w:t>
      </w:r>
      <w:r w:rsidR="00E35E3B">
        <w:rPr>
          <w:rFonts w:ascii="Times New Roman" w:hAnsi="Times New Roman" w:cs="Times New Roman"/>
          <w:sz w:val="24"/>
          <w:szCs w:val="24"/>
        </w:rPr>
        <w:t xml:space="preserve"> to determine whether the rules are different for children</w:t>
      </w:r>
      <w:r w:rsidR="00D7432D">
        <w:rPr>
          <w:rFonts w:ascii="Times New Roman" w:hAnsi="Times New Roman" w:cs="Times New Roman"/>
          <w:sz w:val="24"/>
          <w:szCs w:val="24"/>
        </w:rPr>
        <w:t xml:space="preserve">.  </w:t>
      </w:r>
      <w:r w:rsidR="000F50CC">
        <w:rPr>
          <w:rFonts w:ascii="Times New Roman" w:hAnsi="Times New Roman" w:cs="Times New Roman"/>
          <w:sz w:val="24"/>
          <w:szCs w:val="24"/>
        </w:rPr>
        <w:t xml:space="preserve">  </w:t>
      </w:r>
    </w:p>
    <w:p w14:paraId="2BFB765B" w14:textId="3982BB00" w:rsidR="00CF22F4" w:rsidRDefault="00CF22F4" w:rsidP="00CF22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F703B">
        <w:rPr>
          <w:rFonts w:ascii="Times New Roman" w:hAnsi="Times New Roman" w:cs="Times New Roman"/>
          <w:sz w:val="24"/>
          <w:szCs w:val="24"/>
        </w:rPr>
        <w:t xml:space="preserve">ICRC </w:t>
      </w:r>
      <w:r w:rsidR="00AF703B" w:rsidRPr="00C61458">
        <w:rPr>
          <w:rFonts w:ascii="Times New Roman" w:hAnsi="Times New Roman" w:cs="Times New Roman"/>
          <w:i/>
          <w:sz w:val="24"/>
          <w:szCs w:val="24"/>
        </w:rPr>
        <w:t xml:space="preserve">Interpretive Guidance on Direct Participation in Hostilities </w:t>
      </w:r>
      <w:r w:rsidR="00FF0255">
        <w:rPr>
          <w:rFonts w:ascii="Times New Roman" w:hAnsi="Times New Roman" w:cs="Times New Roman"/>
          <w:sz w:val="24"/>
          <w:szCs w:val="24"/>
        </w:rPr>
        <w:t>indicates</w:t>
      </w:r>
      <w:r>
        <w:rPr>
          <w:rFonts w:ascii="Times New Roman" w:hAnsi="Times New Roman" w:cs="Times New Roman"/>
          <w:sz w:val="24"/>
          <w:szCs w:val="24"/>
        </w:rPr>
        <w:t xml:space="preserve"> that there are no special allowances for children who directly participate in hostilities and that even children below the recruitment age of 15 may lose protection against direct attack.  Further, the </w:t>
      </w:r>
      <w:r w:rsidRPr="00120864">
        <w:rPr>
          <w:rFonts w:ascii="Times New Roman" w:hAnsi="Times New Roman" w:cs="Times New Roman"/>
          <w:i/>
          <w:sz w:val="24"/>
          <w:szCs w:val="24"/>
        </w:rPr>
        <w:t>2015 US Law of War Manual</w:t>
      </w:r>
      <w:r>
        <w:rPr>
          <w:rFonts w:ascii="Times New Roman" w:hAnsi="Times New Roman" w:cs="Times New Roman"/>
          <w:sz w:val="24"/>
          <w:szCs w:val="24"/>
        </w:rPr>
        <w:t xml:space="preserve"> explicitly states that ‘whether a civilian is considered to be taking a direct part in hostilities does not depend on that person’s age’ (§4.20.5.3).  </w:t>
      </w:r>
      <w:r w:rsidR="00E31B24">
        <w:rPr>
          <w:rFonts w:ascii="Times New Roman" w:hAnsi="Times New Roman" w:cs="Times New Roman"/>
          <w:sz w:val="24"/>
          <w:szCs w:val="24"/>
        </w:rPr>
        <w:t xml:space="preserve">According to the </w:t>
      </w:r>
      <w:r w:rsidR="00E31B24">
        <w:rPr>
          <w:rFonts w:ascii="Times New Roman" w:hAnsi="Times New Roman" w:cs="Times New Roman"/>
          <w:i/>
          <w:sz w:val="24"/>
          <w:szCs w:val="24"/>
        </w:rPr>
        <w:t>Interpretive Guidance w</w:t>
      </w:r>
      <w:r>
        <w:rPr>
          <w:rFonts w:ascii="Times New Roman" w:hAnsi="Times New Roman" w:cs="Times New Roman"/>
          <w:sz w:val="24"/>
          <w:szCs w:val="24"/>
        </w:rPr>
        <w:t xml:space="preserve">hether conduct amounts to DPH is determined by reference to three criteria: </w:t>
      </w:r>
    </w:p>
    <w:p w14:paraId="68F84DA2" w14:textId="77777777" w:rsidR="00CF22F4" w:rsidRDefault="00CF22F4" w:rsidP="00CF22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First, the act must be likely to adversely affect the military operations or military capacity of a party to an armed conflict or, alternatively, to inflict death, injury, or destruction on persons or objects protected against direct attack (threshold of harm);</w:t>
      </w:r>
    </w:p>
    <w:p w14:paraId="18C7321F" w14:textId="77777777" w:rsidR="00CF22F4" w:rsidRDefault="00CF22F4" w:rsidP="00CF22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Second, there must be a direct causal link between the act and the harm likely to result either from that act, or from a coordinated military operation of which that act constitutes an integral part (direct causation); and</w:t>
      </w:r>
    </w:p>
    <w:p w14:paraId="2CDA82D0" w14:textId="77777777" w:rsidR="00CF22F4" w:rsidRDefault="00CF22F4" w:rsidP="00CF22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Third, the act must be specifically designed to directly cause the required threshold of harm in support of a party to the conflict and to the detriment of another (belligerent nexus).</w:t>
      </w:r>
    </w:p>
    <w:p w14:paraId="4E3311B9" w14:textId="62AECE95" w:rsidR="00FD0404" w:rsidRDefault="005D4083" w:rsidP="005A5C5D">
      <w:pPr>
        <w:spacing w:line="480" w:lineRule="auto"/>
        <w:rPr>
          <w:rFonts w:ascii="Times New Roman" w:hAnsi="Times New Roman" w:cs="Times New Roman"/>
          <w:sz w:val="24"/>
          <w:szCs w:val="24"/>
        </w:rPr>
      </w:pPr>
      <w:r>
        <w:rPr>
          <w:rFonts w:ascii="Times New Roman" w:hAnsi="Times New Roman" w:cs="Times New Roman"/>
          <w:sz w:val="24"/>
          <w:szCs w:val="24"/>
        </w:rPr>
        <w:t>Clearly the</w:t>
      </w:r>
      <w:r w:rsidR="00CF22F4">
        <w:rPr>
          <w:rFonts w:ascii="Times New Roman" w:hAnsi="Times New Roman" w:cs="Times New Roman"/>
          <w:sz w:val="24"/>
          <w:szCs w:val="24"/>
        </w:rPr>
        <w:t xml:space="preserve"> child involved in the final execution of an action, firing a machine gun at opposition troops for example, will fall within the ‘for such time as’ window and lose their immunity from targeting.  The </w:t>
      </w:r>
      <w:r w:rsidR="00CF22F4">
        <w:rPr>
          <w:rFonts w:ascii="Times New Roman" w:hAnsi="Times New Roman" w:cs="Times New Roman"/>
          <w:i/>
          <w:sz w:val="24"/>
          <w:szCs w:val="24"/>
        </w:rPr>
        <w:t>Interpretive Guidance</w:t>
      </w:r>
      <w:r w:rsidR="00CF22F4">
        <w:rPr>
          <w:rFonts w:ascii="Times New Roman" w:hAnsi="Times New Roman" w:cs="Times New Roman"/>
          <w:sz w:val="24"/>
          <w:szCs w:val="24"/>
        </w:rPr>
        <w:t xml:space="preserve"> also includes any activities that prepare </w:t>
      </w:r>
      <w:r w:rsidR="00CF22F4">
        <w:rPr>
          <w:rFonts w:ascii="Times New Roman" w:hAnsi="Times New Roman" w:cs="Times New Roman"/>
          <w:sz w:val="24"/>
          <w:szCs w:val="24"/>
        </w:rPr>
        <w:lastRenderedPageBreak/>
        <w:t xml:space="preserve">for the execution of the act, as well as prior geographic positioning and subsequent withdrawal as constituting an integral part of the specific hostile act and within the ‘such time as’ window.  </w:t>
      </w:r>
      <w:r w:rsidR="00F807CB">
        <w:rPr>
          <w:rFonts w:ascii="Times New Roman" w:hAnsi="Times New Roman" w:cs="Times New Roman"/>
          <w:sz w:val="24"/>
          <w:szCs w:val="24"/>
        </w:rPr>
        <w:t>This all suggests that the rules are the same for</w:t>
      </w:r>
      <w:r w:rsidR="00815AEA">
        <w:rPr>
          <w:rFonts w:ascii="Times New Roman" w:hAnsi="Times New Roman" w:cs="Times New Roman"/>
          <w:sz w:val="24"/>
          <w:szCs w:val="24"/>
        </w:rPr>
        <w:t xml:space="preserve"> adults and children when</w:t>
      </w:r>
      <w:r w:rsidR="00F807CB">
        <w:rPr>
          <w:rFonts w:ascii="Times New Roman" w:hAnsi="Times New Roman" w:cs="Times New Roman"/>
          <w:sz w:val="24"/>
          <w:szCs w:val="24"/>
        </w:rPr>
        <w:t xml:space="preserve"> determining when the child is DPH.  </w:t>
      </w:r>
      <w:r w:rsidR="00FD0404">
        <w:rPr>
          <w:rFonts w:ascii="Times New Roman" w:hAnsi="Times New Roman" w:cs="Times New Roman"/>
          <w:sz w:val="24"/>
          <w:szCs w:val="24"/>
        </w:rPr>
        <w:t>However, the child may have some additional protection, in that their clothing and obvious youthful appearance, particularly for younger children, place a heavy burden on those opposing them to verify that their actions do indeed amount to DPH before they can overcome their presumptive civilian status and be targeted.  However, once it can be ascertained that their conduct amounts to DPH, they lose their immunity from direct targeting regardless of age.  Once their participation ceases, just like any adult civilian, the child regains their civilian immunity, although the child will also regain the special protection afforded to children under international humanitarian law.</w:t>
      </w:r>
    </w:p>
    <w:p w14:paraId="550FF09D" w14:textId="23531F98" w:rsidR="000D5A32" w:rsidRDefault="00FD0404" w:rsidP="00FD0404">
      <w:pPr>
        <w:spacing w:line="480" w:lineRule="auto"/>
        <w:rPr>
          <w:rFonts w:ascii="Times New Roman" w:hAnsi="Times New Roman" w:cs="Times New Roman"/>
          <w:sz w:val="24"/>
          <w:szCs w:val="24"/>
        </w:rPr>
      </w:pPr>
      <w:r>
        <w:rPr>
          <w:rFonts w:ascii="Times New Roman" w:hAnsi="Times New Roman" w:cs="Times New Roman"/>
          <w:sz w:val="24"/>
          <w:szCs w:val="24"/>
        </w:rPr>
        <w:tab/>
      </w:r>
      <w:r w:rsidR="00BF2461">
        <w:rPr>
          <w:rFonts w:ascii="Times New Roman" w:hAnsi="Times New Roman" w:cs="Times New Roman"/>
          <w:sz w:val="24"/>
          <w:szCs w:val="24"/>
        </w:rPr>
        <w:t>However</w:t>
      </w:r>
      <w:r>
        <w:rPr>
          <w:rFonts w:ascii="Times New Roman" w:hAnsi="Times New Roman" w:cs="Times New Roman"/>
          <w:sz w:val="24"/>
          <w:szCs w:val="24"/>
        </w:rPr>
        <w:t xml:space="preserve">, </w:t>
      </w:r>
      <w:r w:rsidR="00F807CB">
        <w:rPr>
          <w:rFonts w:ascii="Times New Roman" w:hAnsi="Times New Roman" w:cs="Times New Roman"/>
          <w:sz w:val="24"/>
          <w:szCs w:val="24"/>
        </w:rPr>
        <w:t xml:space="preserve">whether </w:t>
      </w:r>
      <w:r w:rsidR="00815AEA">
        <w:rPr>
          <w:rFonts w:ascii="Times New Roman" w:hAnsi="Times New Roman" w:cs="Times New Roman"/>
          <w:sz w:val="24"/>
          <w:szCs w:val="24"/>
        </w:rPr>
        <w:t>the</w:t>
      </w:r>
      <w:r w:rsidR="00F807CB">
        <w:rPr>
          <w:rFonts w:ascii="Times New Roman" w:hAnsi="Times New Roman" w:cs="Times New Roman"/>
          <w:sz w:val="24"/>
          <w:szCs w:val="24"/>
        </w:rPr>
        <w:t xml:space="preserve"> child can have a continuous combat function and thus be a legitimate military target at all times is less </w:t>
      </w:r>
      <w:r w:rsidR="002200DD">
        <w:rPr>
          <w:rFonts w:ascii="Times New Roman" w:hAnsi="Times New Roman" w:cs="Times New Roman"/>
          <w:sz w:val="24"/>
          <w:szCs w:val="24"/>
        </w:rPr>
        <w:t>settled</w:t>
      </w:r>
      <w:r w:rsidR="00F807CB">
        <w:rPr>
          <w:rFonts w:ascii="Times New Roman" w:hAnsi="Times New Roman" w:cs="Times New Roman"/>
          <w:sz w:val="24"/>
          <w:szCs w:val="24"/>
        </w:rPr>
        <w:t>.</w:t>
      </w:r>
      <w:r>
        <w:rPr>
          <w:rFonts w:ascii="Times New Roman" w:hAnsi="Times New Roman" w:cs="Times New Roman"/>
          <w:sz w:val="24"/>
          <w:szCs w:val="24"/>
        </w:rPr>
        <w:t xml:space="preserve">  </w:t>
      </w:r>
      <w:r w:rsidR="002200DD">
        <w:rPr>
          <w:rFonts w:ascii="Times New Roman" w:hAnsi="Times New Roman" w:cs="Times New Roman"/>
          <w:sz w:val="24"/>
          <w:szCs w:val="24"/>
        </w:rPr>
        <w:t>T</w:t>
      </w:r>
      <w:r w:rsidR="00CF22F4">
        <w:rPr>
          <w:rFonts w:ascii="Times New Roman" w:hAnsi="Times New Roman" w:cs="Times New Roman"/>
          <w:sz w:val="24"/>
          <w:szCs w:val="24"/>
        </w:rPr>
        <w:t xml:space="preserve">he </w:t>
      </w:r>
      <w:r w:rsidR="00CF22F4" w:rsidRPr="00FD0404">
        <w:rPr>
          <w:rFonts w:ascii="Times New Roman" w:hAnsi="Times New Roman" w:cs="Times New Roman"/>
          <w:i/>
          <w:sz w:val="24"/>
          <w:szCs w:val="24"/>
        </w:rPr>
        <w:t>Interpretive Guidance</w:t>
      </w:r>
      <w:r w:rsidR="00CF22F4">
        <w:rPr>
          <w:rFonts w:ascii="Times New Roman" w:hAnsi="Times New Roman" w:cs="Times New Roman"/>
          <w:sz w:val="24"/>
          <w:szCs w:val="24"/>
        </w:rPr>
        <w:t xml:space="preserve"> states that civilians with a continuous combat function lose their protection from targeting for as long as they remain members of the armed group and do not benefit from the ‘revolving door’ phenomenon.  </w:t>
      </w:r>
      <w:r w:rsidR="00280E37">
        <w:rPr>
          <w:rFonts w:ascii="Times New Roman" w:hAnsi="Times New Roman" w:cs="Times New Roman"/>
          <w:sz w:val="24"/>
          <w:szCs w:val="24"/>
        </w:rPr>
        <w:t>While continuous combat function has been subject to criticism; f</w:t>
      </w:r>
      <w:r w:rsidR="008D7E4C">
        <w:rPr>
          <w:rFonts w:ascii="Times New Roman" w:hAnsi="Times New Roman" w:cs="Times New Roman"/>
          <w:sz w:val="24"/>
          <w:szCs w:val="24"/>
        </w:rPr>
        <w:t xml:space="preserve">or adults, membership of an armed group </w:t>
      </w:r>
      <w:r w:rsidR="00280E37">
        <w:rPr>
          <w:rFonts w:ascii="Times New Roman" w:hAnsi="Times New Roman" w:cs="Times New Roman"/>
          <w:sz w:val="24"/>
          <w:szCs w:val="24"/>
        </w:rPr>
        <w:t>remains a defining factor</w:t>
      </w:r>
      <w:r w:rsidR="00AB4B3D">
        <w:rPr>
          <w:rFonts w:ascii="Times New Roman" w:hAnsi="Times New Roman" w:cs="Times New Roman"/>
          <w:sz w:val="24"/>
          <w:szCs w:val="24"/>
        </w:rPr>
        <w:t xml:space="preserve"> in assessing </w:t>
      </w:r>
      <w:proofErr w:type="spellStart"/>
      <w:r w:rsidR="00AB4B3D">
        <w:rPr>
          <w:rFonts w:ascii="Times New Roman" w:hAnsi="Times New Roman" w:cs="Times New Roman"/>
          <w:sz w:val="24"/>
          <w:szCs w:val="24"/>
        </w:rPr>
        <w:t>targetability</w:t>
      </w:r>
      <w:proofErr w:type="spellEnd"/>
      <w:r w:rsidR="00280E37">
        <w:rPr>
          <w:rFonts w:ascii="Times New Roman" w:hAnsi="Times New Roman" w:cs="Times New Roman"/>
          <w:sz w:val="24"/>
          <w:szCs w:val="24"/>
        </w:rPr>
        <w:t xml:space="preserve">, whether one takes the view that membership itself is sufficient to make an individual targetable or whether one takes the view adopted by the ICRC </w:t>
      </w:r>
      <w:r w:rsidR="00280E37">
        <w:rPr>
          <w:rFonts w:ascii="Times New Roman" w:hAnsi="Times New Roman" w:cs="Times New Roman"/>
          <w:i/>
          <w:sz w:val="24"/>
          <w:szCs w:val="24"/>
        </w:rPr>
        <w:t xml:space="preserve">Interpretive </w:t>
      </w:r>
      <w:r w:rsidR="00280E37" w:rsidRPr="00AB4B3D">
        <w:rPr>
          <w:rFonts w:ascii="Times New Roman" w:hAnsi="Times New Roman" w:cs="Times New Roman"/>
          <w:i/>
          <w:sz w:val="24"/>
          <w:szCs w:val="24"/>
        </w:rPr>
        <w:t>Guidance</w:t>
      </w:r>
      <w:r w:rsidR="00280E37">
        <w:rPr>
          <w:rFonts w:ascii="Times New Roman" w:hAnsi="Times New Roman" w:cs="Times New Roman"/>
          <w:sz w:val="24"/>
          <w:szCs w:val="24"/>
        </w:rPr>
        <w:t xml:space="preserve"> that it is the function of the individual members within the group that makes them targetable.</w:t>
      </w:r>
      <w:r w:rsidR="00C62E6E">
        <w:rPr>
          <w:rFonts w:ascii="Times New Roman" w:hAnsi="Times New Roman" w:cs="Times New Roman"/>
          <w:sz w:val="24"/>
          <w:szCs w:val="24"/>
        </w:rPr>
        <w:t xml:space="preserve">  They are </w:t>
      </w:r>
      <w:r w:rsidR="00BC684B">
        <w:rPr>
          <w:rFonts w:ascii="Times New Roman" w:hAnsi="Times New Roman" w:cs="Times New Roman"/>
          <w:sz w:val="24"/>
          <w:szCs w:val="24"/>
        </w:rPr>
        <w:t>legitimate military targets</w:t>
      </w:r>
      <w:r w:rsidR="00C62E6E">
        <w:rPr>
          <w:rFonts w:ascii="Times New Roman" w:hAnsi="Times New Roman" w:cs="Times New Roman"/>
          <w:sz w:val="24"/>
          <w:szCs w:val="24"/>
        </w:rPr>
        <w:t xml:space="preserve"> at all times</w:t>
      </w:r>
      <w:r w:rsidR="008D7E4C">
        <w:rPr>
          <w:rFonts w:ascii="Times New Roman" w:hAnsi="Times New Roman" w:cs="Times New Roman"/>
          <w:sz w:val="24"/>
          <w:szCs w:val="24"/>
        </w:rPr>
        <w:t xml:space="preserve">.  </w:t>
      </w:r>
      <w:r w:rsidR="002200DD">
        <w:rPr>
          <w:rFonts w:ascii="Times New Roman" w:hAnsi="Times New Roman" w:cs="Times New Roman"/>
          <w:sz w:val="24"/>
          <w:szCs w:val="24"/>
        </w:rPr>
        <w:t>This may not be the case for the child.</w:t>
      </w:r>
      <w:r w:rsidR="00543810">
        <w:rPr>
          <w:rFonts w:ascii="Times New Roman" w:hAnsi="Times New Roman" w:cs="Times New Roman"/>
          <w:sz w:val="24"/>
          <w:szCs w:val="24"/>
        </w:rPr>
        <w:t xml:space="preserve">  </w:t>
      </w:r>
      <w:r w:rsidR="000D5A32">
        <w:rPr>
          <w:rFonts w:ascii="Times New Roman" w:hAnsi="Times New Roman" w:cs="Times New Roman"/>
          <w:sz w:val="24"/>
          <w:szCs w:val="24"/>
        </w:rPr>
        <w:t xml:space="preserve">The Pre-Trial Chamber in the </w:t>
      </w:r>
      <w:r w:rsidR="00946A18">
        <w:rPr>
          <w:rFonts w:ascii="Times New Roman" w:hAnsi="Times New Roman" w:cs="Times New Roman"/>
          <w:sz w:val="24"/>
          <w:szCs w:val="24"/>
        </w:rPr>
        <w:t xml:space="preserve">2014 </w:t>
      </w:r>
      <w:proofErr w:type="spellStart"/>
      <w:r w:rsidR="000D5A32" w:rsidRPr="00946A18">
        <w:rPr>
          <w:rFonts w:ascii="Times New Roman" w:hAnsi="Times New Roman" w:cs="Times New Roman"/>
          <w:i/>
          <w:sz w:val="24"/>
          <w:szCs w:val="24"/>
        </w:rPr>
        <w:t>Ntaganda</w:t>
      </w:r>
      <w:proofErr w:type="spellEnd"/>
      <w:r w:rsidR="000D5A32" w:rsidRPr="00946A18">
        <w:rPr>
          <w:rFonts w:ascii="Times New Roman" w:hAnsi="Times New Roman" w:cs="Times New Roman"/>
          <w:i/>
          <w:sz w:val="24"/>
          <w:szCs w:val="24"/>
        </w:rPr>
        <w:t xml:space="preserve"> Decision on the Confirmation of Charges</w:t>
      </w:r>
      <w:r w:rsidR="000D5A32">
        <w:rPr>
          <w:rFonts w:ascii="Times New Roman" w:hAnsi="Times New Roman" w:cs="Times New Roman"/>
          <w:sz w:val="24"/>
          <w:szCs w:val="24"/>
        </w:rPr>
        <w:t xml:space="preserve"> in the International Criminal Court held that:</w:t>
      </w:r>
    </w:p>
    <w:p w14:paraId="6B550BDE" w14:textId="02E9CA13" w:rsidR="000D5A32" w:rsidRDefault="000D5A32" w:rsidP="00543810">
      <w:pPr>
        <w:spacing w:line="240" w:lineRule="auto"/>
        <w:ind w:left="720"/>
        <w:rPr>
          <w:rFonts w:ascii="Times New Roman" w:hAnsi="Times New Roman" w:cs="Times New Roman"/>
          <w:sz w:val="24"/>
          <w:szCs w:val="24"/>
        </w:rPr>
      </w:pPr>
      <w:r>
        <w:rPr>
          <w:rFonts w:ascii="Times New Roman" w:hAnsi="Times New Roman" w:cs="Times New Roman"/>
          <w:sz w:val="24"/>
          <w:szCs w:val="24"/>
        </w:rPr>
        <w:t>The mere membership of children under the age of 15 years in an armed group cannot be considered as determinative proof of direct/active participation in hostilities, considering that their presence in the armed group is specifically proscribed under international law in the first place.  Indeed, to hold that children under the age of 15 years lose the protection afforded to them by IHL merely by joining an armed group, whether as a result of coercion or other circumstances, would contradict the very rationale underlying the protection afforded to such children against recruitment and use in hostilities (para 78)</w:t>
      </w:r>
    </w:p>
    <w:p w14:paraId="40195066" w14:textId="4A88E4D5" w:rsidR="000D5A32" w:rsidRDefault="000D5A32" w:rsidP="000D5A3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suggests that for </w:t>
      </w:r>
      <w:r w:rsidR="00850DC5">
        <w:rPr>
          <w:rFonts w:ascii="Times New Roman" w:hAnsi="Times New Roman" w:cs="Times New Roman"/>
          <w:sz w:val="24"/>
          <w:szCs w:val="24"/>
        </w:rPr>
        <w:t xml:space="preserve">the </w:t>
      </w:r>
      <w:r>
        <w:rPr>
          <w:rFonts w:ascii="Times New Roman" w:hAnsi="Times New Roman" w:cs="Times New Roman"/>
          <w:sz w:val="24"/>
          <w:szCs w:val="24"/>
        </w:rPr>
        <w:t xml:space="preserve">child, membership of an armed group may be </w:t>
      </w:r>
      <w:r w:rsidR="00850DC5">
        <w:rPr>
          <w:rFonts w:ascii="Times New Roman" w:hAnsi="Times New Roman" w:cs="Times New Roman"/>
          <w:sz w:val="24"/>
          <w:szCs w:val="24"/>
        </w:rPr>
        <w:t xml:space="preserve">irrelevant for determining whether the </w:t>
      </w:r>
      <w:r>
        <w:rPr>
          <w:rFonts w:ascii="Times New Roman" w:hAnsi="Times New Roman" w:cs="Times New Roman"/>
          <w:sz w:val="24"/>
          <w:szCs w:val="24"/>
        </w:rPr>
        <w:t xml:space="preserve">child </w:t>
      </w:r>
      <w:r w:rsidR="00850DC5">
        <w:rPr>
          <w:rFonts w:ascii="Times New Roman" w:hAnsi="Times New Roman" w:cs="Times New Roman"/>
          <w:sz w:val="24"/>
          <w:szCs w:val="24"/>
        </w:rPr>
        <w:t>is</w:t>
      </w:r>
      <w:r>
        <w:rPr>
          <w:rFonts w:ascii="Times New Roman" w:hAnsi="Times New Roman" w:cs="Times New Roman"/>
          <w:sz w:val="24"/>
          <w:szCs w:val="24"/>
        </w:rPr>
        <w:t xml:space="preserve"> DPH</w:t>
      </w:r>
      <w:r w:rsidR="008D7DBF">
        <w:rPr>
          <w:rFonts w:ascii="Times New Roman" w:hAnsi="Times New Roman" w:cs="Times New Roman"/>
          <w:sz w:val="24"/>
          <w:szCs w:val="24"/>
        </w:rPr>
        <w:t>, given the prohibition on recruitment of children under 15</w:t>
      </w:r>
      <w:r w:rsidR="00176CF1">
        <w:rPr>
          <w:rFonts w:ascii="Times New Roman" w:hAnsi="Times New Roman" w:cs="Times New Roman"/>
          <w:sz w:val="24"/>
          <w:szCs w:val="24"/>
        </w:rPr>
        <w:t xml:space="preserve"> into armed groups</w:t>
      </w:r>
      <w:r>
        <w:rPr>
          <w:rFonts w:ascii="Times New Roman" w:hAnsi="Times New Roman" w:cs="Times New Roman"/>
          <w:sz w:val="24"/>
          <w:szCs w:val="24"/>
        </w:rPr>
        <w:t>.  This suggests that the child cannot be subject to the continuous combat function regime</w:t>
      </w:r>
      <w:r w:rsidR="0034130F">
        <w:rPr>
          <w:rFonts w:ascii="Times New Roman" w:hAnsi="Times New Roman" w:cs="Times New Roman"/>
          <w:sz w:val="24"/>
          <w:szCs w:val="24"/>
        </w:rPr>
        <w:t xml:space="preserve"> and would be a legitimate military target only for such time as the child was engaged in a specific act satisfying the threshold of harm, direct causation and belligerent nexus criteria</w:t>
      </w:r>
      <w:r>
        <w:rPr>
          <w:rFonts w:ascii="Times New Roman" w:hAnsi="Times New Roman" w:cs="Times New Roman"/>
          <w:sz w:val="24"/>
          <w:szCs w:val="24"/>
        </w:rPr>
        <w:t>.</w:t>
      </w:r>
      <w:r w:rsidR="0048569C">
        <w:rPr>
          <w:rFonts w:ascii="Times New Roman" w:hAnsi="Times New Roman" w:cs="Times New Roman"/>
          <w:sz w:val="24"/>
          <w:szCs w:val="24"/>
        </w:rPr>
        <w:t xml:space="preserve">  </w:t>
      </w:r>
      <w:r w:rsidR="004374B6">
        <w:rPr>
          <w:rFonts w:ascii="Times New Roman" w:hAnsi="Times New Roman" w:cs="Times New Roman"/>
          <w:sz w:val="24"/>
          <w:szCs w:val="24"/>
        </w:rPr>
        <w:t>The</w:t>
      </w:r>
      <w:r w:rsidR="0048569C">
        <w:rPr>
          <w:rFonts w:ascii="Times New Roman" w:hAnsi="Times New Roman" w:cs="Times New Roman"/>
          <w:sz w:val="24"/>
          <w:szCs w:val="24"/>
        </w:rPr>
        <w:t xml:space="preserve"> child retains their civilian status, protected by IHL until they are in fact directly participating in hostilities, regard</w:t>
      </w:r>
      <w:r w:rsidR="00CC1FAA">
        <w:rPr>
          <w:rFonts w:ascii="Times New Roman" w:hAnsi="Times New Roman" w:cs="Times New Roman"/>
          <w:sz w:val="24"/>
          <w:szCs w:val="24"/>
        </w:rPr>
        <w:t>less</w:t>
      </w:r>
      <w:r w:rsidR="0048569C">
        <w:rPr>
          <w:rFonts w:ascii="Times New Roman" w:hAnsi="Times New Roman" w:cs="Times New Roman"/>
          <w:sz w:val="24"/>
          <w:szCs w:val="24"/>
        </w:rPr>
        <w:t xml:space="preserve"> of their membership within an armed group.</w:t>
      </w:r>
      <w:r>
        <w:rPr>
          <w:rFonts w:ascii="Times New Roman" w:hAnsi="Times New Roman" w:cs="Times New Roman"/>
          <w:sz w:val="24"/>
          <w:szCs w:val="24"/>
        </w:rPr>
        <w:t xml:space="preserve">  This </w:t>
      </w:r>
      <w:r w:rsidR="000B28EE">
        <w:rPr>
          <w:rFonts w:ascii="Times New Roman" w:hAnsi="Times New Roman" w:cs="Times New Roman"/>
          <w:sz w:val="24"/>
          <w:szCs w:val="24"/>
        </w:rPr>
        <w:t xml:space="preserve">approach to determining when the child is DPH </w:t>
      </w:r>
      <w:r w:rsidR="00424051">
        <w:rPr>
          <w:rFonts w:ascii="Times New Roman" w:hAnsi="Times New Roman" w:cs="Times New Roman"/>
          <w:sz w:val="24"/>
          <w:szCs w:val="24"/>
        </w:rPr>
        <w:t xml:space="preserve">is consistent with the general trend in international law toward providing special protection for the child during armed conflict.  It </w:t>
      </w:r>
      <w:r w:rsidR="000B28EE">
        <w:rPr>
          <w:rFonts w:ascii="Times New Roman" w:hAnsi="Times New Roman" w:cs="Times New Roman"/>
          <w:sz w:val="24"/>
          <w:szCs w:val="24"/>
        </w:rPr>
        <w:t>would</w:t>
      </w:r>
      <w:r>
        <w:rPr>
          <w:rFonts w:ascii="Times New Roman" w:hAnsi="Times New Roman" w:cs="Times New Roman"/>
          <w:sz w:val="24"/>
          <w:szCs w:val="24"/>
        </w:rPr>
        <w:t xml:space="preserve"> adequately take into account the special status of</w:t>
      </w:r>
      <w:r w:rsidR="000B28EE">
        <w:rPr>
          <w:rFonts w:ascii="Times New Roman" w:hAnsi="Times New Roman" w:cs="Times New Roman"/>
          <w:sz w:val="24"/>
          <w:szCs w:val="24"/>
        </w:rPr>
        <w:t xml:space="preserve"> the</w:t>
      </w:r>
      <w:r>
        <w:rPr>
          <w:rFonts w:ascii="Times New Roman" w:hAnsi="Times New Roman" w:cs="Times New Roman"/>
          <w:sz w:val="24"/>
          <w:szCs w:val="24"/>
        </w:rPr>
        <w:t xml:space="preserve"> child and the reality that in most instances the child’s recruitment would have been at the very least unlawful and at worst coerced, and that the option to truly disassociate from the armed group is fraught with complications.</w:t>
      </w:r>
      <w:r w:rsidR="0081070F">
        <w:rPr>
          <w:rFonts w:ascii="Times New Roman" w:hAnsi="Times New Roman" w:cs="Times New Roman"/>
          <w:sz w:val="24"/>
          <w:szCs w:val="24"/>
        </w:rPr>
        <w:t xml:space="preserve">  </w:t>
      </w:r>
    </w:p>
    <w:p w14:paraId="012CB9B5" w14:textId="267964E0" w:rsidR="00FD0404" w:rsidRDefault="00FD0404" w:rsidP="00FD04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now to the second question - whether the means used to target children who are DPH follow the same rules as for any adult who is DPH.  Some recent scholarship has suggested that there should be </w:t>
      </w:r>
      <w:r w:rsidR="00751A1D">
        <w:rPr>
          <w:rFonts w:ascii="Times New Roman" w:hAnsi="Times New Roman" w:cs="Times New Roman"/>
          <w:sz w:val="24"/>
          <w:szCs w:val="24"/>
        </w:rPr>
        <w:t>special rules</w:t>
      </w:r>
      <w:r>
        <w:rPr>
          <w:rFonts w:ascii="Times New Roman" w:hAnsi="Times New Roman" w:cs="Times New Roman"/>
          <w:sz w:val="24"/>
          <w:szCs w:val="24"/>
        </w:rPr>
        <w:t xml:space="preserve"> for children who are DPH which reinforce ‘the idea that it is the duty of all responsible parties to an armed conflict to protect childhood within the bounds of military necessity’.  In his recent blo</w:t>
      </w:r>
      <w:r w:rsidR="009A53C7">
        <w:rPr>
          <w:rFonts w:ascii="Times New Roman" w:hAnsi="Times New Roman" w:cs="Times New Roman"/>
          <w:sz w:val="24"/>
          <w:szCs w:val="24"/>
        </w:rPr>
        <w:t>g</w:t>
      </w:r>
      <w:r>
        <w:rPr>
          <w:rFonts w:ascii="Times New Roman" w:hAnsi="Times New Roman" w:cs="Times New Roman"/>
          <w:sz w:val="24"/>
          <w:szCs w:val="24"/>
        </w:rPr>
        <w:t xml:space="preserve"> piece, Ren</w:t>
      </w:r>
      <w:r>
        <w:rPr>
          <w:rFonts w:ascii="Calibri" w:hAnsi="Calibri" w:cs="Times New Roman"/>
          <w:sz w:val="24"/>
          <w:szCs w:val="24"/>
        </w:rPr>
        <w:t>é</w:t>
      </w:r>
      <w:r>
        <w:rPr>
          <w:rFonts w:ascii="Times New Roman" w:hAnsi="Times New Roman" w:cs="Times New Roman"/>
          <w:sz w:val="24"/>
          <w:szCs w:val="24"/>
        </w:rPr>
        <w:t xml:space="preserve"> Provost suggests</w:t>
      </w:r>
      <w:r w:rsidR="00904332">
        <w:rPr>
          <w:rFonts w:ascii="Times New Roman" w:hAnsi="Times New Roman" w:cs="Times New Roman"/>
          <w:sz w:val="24"/>
          <w:szCs w:val="24"/>
        </w:rPr>
        <w:t xml:space="preserve"> that the fact that a target is a child can have an impact on the type and degree of force allowed.  </w:t>
      </w:r>
      <w:r w:rsidR="00464EEA">
        <w:rPr>
          <w:rFonts w:ascii="Times New Roman" w:hAnsi="Times New Roman" w:cs="Times New Roman"/>
          <w:sz w:val="24"/>
          <w:szCs w:val="24"/>
        </w:rPr>
        <w:t xml:space="preserve">He suggests that there ought to be a duty to use the least injurious means or methods of warfare when directing an attack against the child who qualifies as either a combatant or DPH.  </w:t>
      </w:r>
      <w:r w:rsidR="00904332">
        <w:rPr>
          <w:rFonts w:ascii="Times New Roman" w:hAnsi="Times New Roman" w:cs="Times New Roman"/>
          <w:sz w:val="24"/>
          <w:szCs w:val="24"/>
        </w:rPr>
        <w:t>He argues that</w:t>
      </w:r>
      <w:r>
        <w:rPr>
          <w:rFonts w:ascii="Times New Roman" w:hAnsi="Times New Roman" w:cs="Times New Roman"/>
          <w:sz w:val="24"/>
          <w:szCs w:val="24"/>
        </w:rPr>
        <w:t xml:space="preserve"> direct targeting of child soldiers, and by inference children who are DPH, can be ‘considered permissible only to the extent that it is a necessary evil, meaning no viable alternative can be identified and that there is a tangible military necessity for the attack’, otherwise he contends the attack would violate the treaty and customary prohibition of superfluous injury and unnecessary suffering.  He argues that this approach ‘reflects the multiple norms in international humanitarian law and international human rights law that demand special protection for children against harm’, and ‘speaks to the moral intuition that, even in the context of war, the intentional targeting of children is a calamity’.  </w:t>
      </w:r>
    </w:p>
    <w:p w14:paraId="7168CB6D" w14:textId="0025FABA" w:rsidR="00591A45" w:rsidRDefault="00946A18" w:rsidP="00591A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may be moral or pragmatic reasons for avoiding targeting the child, there is no obligation under international law to treat the child differently from an adult who is DPH.  No special measures are required </w:t>
      </w:r>
      <w:r w:rsidR="00904332">
        <w:rPr>
          <w:rFonts w:ascii="Times New Roman" w:hAnsi="Times New Roman" w:cs="Times New Roman"/>
          <w:sz w:val="24"/>
          <w:szCs w:val="24"/>
        </w:rPr>
        <w:t>beyond those already required in relation to military necessity, distinction and proportionality.</w:t>
      </w:r>
      <w:r w:rsidR="0023616D">
        <w:rPr>
          <w:rFonts w:ascii="Times New Roman" w:hAnsi="Times New Roman" w:cs="Times New Roman"/>
          <w:sz w:val="24"/>
          <w:szCs w:val="24"/>
        </w:rPr>
        <w:t xml:space="preserve">  Feasible precautions must already be taken to verify that targeted persons are legitimate military targets.</w:t>
      </w:r>
      <w:r w:rsidR="003A4FD7">
        <w:rPr>
          <w:rFonts w:ascii="Times New Roman" w:hAnsi="Times New Roman" w:cs="Times New Roman"/>
          <w:sz w:val="24"/>
          <w:szCs w:val="24"/>
        </w:rPr>
        <w:t xml:space="preserve">  </w:t>
      </w:r>
      <w:r w:rsidR="00904332">
        <w:rPr>
          <w:rFonts w:ascii="Times New Roman" w:hAnsi="Times New Roman" w:cs="Times New Roman"/>
          <w:sz w:val="24"/>
          <w:szCs w:val="24"/>
        </w:rPr>
        <w:t>A</w:t>
      </w:r>
      <w:r w:rsidR="006F35A3">
        <w:rPr>
          <w:rFonts w:ascii="Times New Roman" w:hAnsi="Times New Roman" w:cs="Times New Roman"/>
          <w:sz w:val="24"/>
          <w:szCs w:val="24"/>
        </w:rPr>
        <w:t>n approach that</w:t>
      </w:r>
      <w:r w:rsidR="00BB4554">
        <w:rPr>
          <w:rFonts w:ascii="Times New Roman" w:hAnsi="Times New Roman" w:cs="Times New Roman"/>
          <w:sz w:val="24"/>
          <w:szCs w:val="24"/>
        </w:rPr>
        <w:t xml:space="preserve"> also</w:t>
      </w:r>
      <w:r w:rsidR="006F35A3">
        <w:rPr>
          <w:rFonts w:ascii="Times New Roman" w:hAnsi="Times New Roman" w:cs="Times New Roman"/>
          <w:sz w:val="24"/>
          <w:szCs w:val="24"/>
        </w:rPr>
        <w:t xml:space="preserve"> </w:t>
      </w:r>
      <w:r w:rsidR="00904332">
        <w:rPr>
          <w:rFonts w:ascii="Times New Roman" w:hAnsi="Times New Roman" w:cs="Times New Roman"/>
          <w:sz w:val="24"/>
          <w:szCs w:val="24"/>
        </w:rPr>
        <w:t xml:space="preserve">requires special measures for targeting children who are DPH would expose </w:t>
      </w:r>
      <w:r w:rsidR="006F35A3">
        <w:rPr>
          <w:rFonts w:ascii="Times New Roman" w:hAnsi="Times New Roman" w:cs="Times New Roman"/>
          <w:sz w:val="24"/>
          <w:szCs w:val="24"/>
        </w:rPr>
        <w:t>military personnel to an increased risk of harm</w:t>
      </w:r>
      <w:r w:rsidR="00105EBE">
        <w:rPr>
          <w:rFonts w:ascii="Times New Roman" w:hAnsi="Times New Roman" w:cs="Times New Roman"/>
          <w:sz w:val="24"/>
          <w:szCs w:val="24"/>
        </w:rPr>
        <w:t xml:space="preserve"> and cause confusion</w:t>
      </w:r>
      <w:r w:rsidR="00904332">
        <w:rPr>
          <w:rFonts w:ascii="Times New Roman" w:hAnsi="Times New Roman" w:cs="Times New Roman"/>
          <w:sz w:val="24"/>
          <w:szCs w:val="24"/>
        </w:rPr>
        <w:t xml:space="preserve">. </w:t>
      </w:r>
      <w:r w:rsidR="00CB099B">
        <w:rPr>
          <w:rFonts w:ascii="Times New Roman" w:hAnsi="Times New Roman" w:cs="Times New Roman"/>
          <w:sz w:val="24"/>
          <w:szCs w:val="24"/>
        </w:rPr>
        <w:t xml:space="preserve"> How is the commander in the field to distinguish between a tall 13 year old </w:t>
      </w:r>
      <w:proofErr w:type="gramStart"/>
      <w:r w:rsidR="00CB099B">
        <w:rPr>
          <w:rFonts w:ascii="Times New Roman" w:hAnsi="Times New Roman" w:cs="Times New Roman"/>
          <w:sz w:val="24"/>
          <w:szCs w:val="24"/>
        </w:rPr>
        <w:t>child</w:t>
      </w:r>
      <w:proofErr w:type="gramEnd"/>
      <w:r w:rsidR="00CB099B">
        <w:rPr>
          <w:rFonts w:ascii="Times New Roman" w:hAnsi="Times New Roman" w:cs="Times New Roman"/>
          <w:sz w:val="24"/>
          <w:szCs w:val="24"/>
        </w:rPr>
        <w:t xml:space="preserve"> firing a machine gun and a short adult</w:t>
      </w:r>
      <w:r w:rsidR="006E0977">
        <w:rPr>
          <w:rFonts w:ascii="Times New Roman" w:hAnsi="Times New Roman" w:cs="Times New Roman"/>
          <w:sz w:val="24"/>
          <w:szCs w:val="24"/>
        </w:rPr>
        <w:t>,</w:t>
      </w:r>
      <w:r w:rsidR="00CB099B">
        <w:rPr>
          <w:rFonts w:ascii="Times New Roman" w:hAnsi="Times New Roman" w:cs="Times New Roman"/>
          <w:sz w:val="24"/>
          <w:szCs w:val="24"/>
        </w:rPr>
        <w:t xml:space="preserve"> before ordering return fire. </w:t>
      </w:r>
      <w:r w:rsidR="006E0977">
        <w:rPr>
          <w:rFonts w:ascii="Times New Roman" w:hAnsi="Times New Roman" w:cs="Times New Roman"/>
          <w:sz w:val="24"/>
          <w:szCs w:val="24"/>
        </w:rPr>
        <w:t xml:space="preserve"> </w:t>
      </w:r>
      <w:r w:rsidR="00904332">
        <w:rPr>
          <w:rFonts w:ascii="Times New Roman" w:hAnsi="Times New Roman" w:cs="Times New Roman"/>
          <w:sz w:val="24"/>
          <w:szCs w:val="24"/>
        </w:rPr>
        <w:t>Such an approach</w:t>
      </w:r>
      <w:r w:rsidR="006E0977">
        <w:rPr>
          <w:rFonts w:ascii="Times New Roman" w:hAnsi="Times New Roman" w:cs="Times New Roman"/>
          <w:sz w:val="24"/>
          <w:szCs w:val="24"/>
        </w:rPr>
        <w:t xml:space="preserve"> </w:t>
      </w:r>
      <w:r w:rsidR="00CB099B">
        <w:rPr>
          <w:rFonts w:ascii="Times New Roman" w:hAnsi="Times New Roman" w:cs="Times New Roman"/>
          <w:sz w:val="24"/>
          <w:szCs w:val="24"/>
        </w:rPr>
        <w:t>treat</w:t>
      </w:r>
      <w:r w:rsidR="006E0977">
        <w:rPr>
          <w:rFonts w:ascii="Times New Roman" w:hAnsi="Times New Roman" w:cs="Times New Roman"/>
          <w:sz w:val="24"/>
          <w:szCs w:val="24"/>
        </w:rPr>
        <w:t>s</w:t>
      </w:r>
      <w:r w:rsidR="00CB099B">
        <w:rPr>
          <w:rFonts w:ascii="Times New Roman" w:hAnsi="Times New Roman" w:cs="Times New Roman"/>
          <w:sz w:val="24"/>
          <w:szCs w:val="24"/>
        </w:rPr>
        <w:t xml:space="preserve"> the child as victim in need of protection and fails to acknowledge the reality that they can sometimes pose a direct and significant threat.</w:t>
      </w:r>
      <w:r w:rsidR="0023616D">
        <w:rPr>
          <w:rFonts w:ascii="Times New Roman" w:hAnsi="Times New Roman" w:cs="Times New Roman"/>
          <w:sz w:val="24"/>
          <w:szCs w:val="24"/>
        </w:rPr>
        <w:t xml:space="preserve">  </w:t>
      </w:r>
      <w:r w:rsidR="007C1308">
        <w:rPr>
          <w:rFonts w:ascii="Times New Roman" w:hAnsi="Times New Roman" w:cs="Times New Roman"/>
          <w:sz w:val="24"/>
          <w:szCs w:val="24"/>
        </w:rPr>
        <w:t>In short, there are not and should not be any special rules for targeting the child who is DPH, although</w:t>
      </w:r>
      <w:r w:rsidR="00030E41">
        <w:rPr>
          <w:rFonts w:ascii="Times New Roman" w:hAnsi="Times New Roman" w:cs="Times New Roman"/>
          <w:sz w:val="24"/>
          <w:szCs w:val="24"/>
        </w:rPr>
        <w:t xml:space="preserve"> as mentioned before</w:t>
      </w:r>
      <w:r w:rsidR="007C1308">
        <w:rPr>
          <w:rFonts w:ascii="Times New Roman" w:hAnsi="Times New Roman" w:cs="Times New Roman"/>
          <w:sz w:val="24"/>
          <w:szCs w:val="24"/>
        </w:rPr>
        <w:t xml:space="preserve"> the test for ascertaining whether the child is DPH in the first place may be slightly different from that of an adult.</w:t>
      </w:r>
    </w:p>
    <w:p w14:paraId="6DFC8E0D" w14:textId="57F67701" w:rsidR="00067FD9" w:rsidRDefault="00577591" w:rsidP="006C7608">
      <w:pPr>
        <w:spacing w:line="480" w:lineRule="auto"/>
        <w:ind w:firstLine="720"/>
      </w:pPr>
      <w:r>
        <w:rPr>
          <w:rFonts w:ascii="Times New Roman" w:hAnsi="Times New Roman" w:cs="Times New Roman"/>
          <w:sz w:val="24"/>
          <w:szCs w:val="24"/>
        </w:rPr>
        <w:t xml:space="preserve">To summarise then, </w:t>
      </w:r>
      <w:r w:rsidR="0094312C">
        <w:rPr>
          <w:rFonts w:ascii="Times New Roman" w:hAnsi="Times New Roman" w:cs="Times New Roman"/>
          <w:sz w:val="24"/>
          <w:szCs w:val="24"/>
        </w:rPr>
        <w:t xml:space="preserve">children cannot have a continuous combat function and </w:t>
      </w:r>
      <w:r w:rsidR="00751A1D">
        <w:rPr>
          <w:rFonts w:ascii="Times New Roman" w:hAnsi="Times New Roman" w:cs="Times New Roman"/>
          <w:sz w:val="24"/>
          <w:szCs w:val="24"/>
        </w:rPr>
        <w:t>can only be targetable while directly participating in hostilities regardless of membership in an armed group</w:t>
      </w:r>
      <w:r w:rsidR="0094312C">
        <w:rPr>
          <w:rFonts w:ascii="Times New Roman" w:hAnsi="Times New Roman" w:cs="Times New Roman"/>
          <w:sz w:val="24"/>
          <w:szCs w:val="24"/>
        </w:rPr>
        <w:t xml:space="preserve">.  A specific assessment of the child’s </w:t>
      </w:r>
      <w:r w:rsidR="00751A1D">
        <w:rPr>
          <w:rFonts w:ascii="Times New Roman" w:hAnsi="Times New Roman" w:cs="Times New Roman"/>
          <w:sz w:val="24"/>
          <w:szCs w:val="24"/>
        </w:rPr>
        <w:t xml:space="preserve">actual </w:t>
      </w:r>
      <w:r w:rsidR="0094312C">
        <w:rPr>
          <w:rFonts w:ascii="Times New Roman" w:hAnsi="Times New Roman" w:cs="Times New Roman"/>
          <w:sz w:val="24"/>
          <w:szCs w:val="24"/>
        </w:rPr>
        <w:t>conduct is required before they may be directly targeted</w:t>
      </w:r>
      <w:r>
        <w:rPr>
          <w:rFonts w:ascii="Times New Roman" w:hAnsi="Times New Roman" w:cs="Times New Roman"/>
          <w:sz w:val="24"/>
          <w:szCs w:val="24"/>
        </w:rPr>
        <w:t xml:space="preserve"> and the physical appearance and clothing of the child pose a higher burden on opposing forces to ensure that the child’s conduct is a direct participation in hostilities before directly targeting the child</w:t>
      </w:r>
      <w:r w:rsidR="0094312C">
        <w:rPr>
          <w:rFonts w:ascii="Times New Roman" w:hAnsi="Times New Roman" w:cs="Times New Roman"/>
          <w:sz w:val="24"/>
          <w:szCs w:val="24"/>
        </w:rPr>
        <w:t>.</w:t>
      </w:r>
      <w:r w:rsidR="00470BD5">
        <w:rPr>
          <w:rFonts w:ascii="Times New Roman" w:hAnsi="Times New Roman" w:cs="Times New Roman"/>
          <w:sz w:val="24"/>
          <w:szCs w:val="24"/>
        </w:rPr>
        <w:t xml:space="preserve">  However, once the assessment of DPH has been made, there is no legal obligation to use different means and methods of warfare if the target is a child compared to an adult who is DPH.</w:t>
      </w:r>
      <w:r w:rsidR="00AB6C1F">
        <w:rPr>
          <w:rFonts w:ascii="Times New Roman" w:hAnsi="Times New Roman" w:cs="Times New Roman"/>
          <w:sz w:val="24"/>
          <w:szCs w:val="24"/>
        </w:rPr>
        <w:t xml:space="preserve"> </w:t>
      </w:r>
      <w:r w:rsidR="004E679B">
        <w:rPr>
          <w:rFonts w:ascii="Times New Roman" w:hAnsi="Times New Roman" w:cs="Times New Roman"/>
          <w:sz w:val="24"/>
          <w:szCs w:val="24"/>
        </w:rPr>
        <w:t xml:space="preserve"> </w:t>
      </w:r>
      <w:r w:rsidR="000D400A">
        <w:rPr>
          <w:rFonts w:ascii="Times New Roman" w:hAnsi="Times New Roman" w:cs="Times New Roman"/>
          <w:sz w:val="24"/>
          <w:szCs w:val="24"/>
        </w:rPr>
        <w:t xml:space="preserve">The introduction of different rules for targeting children who are DPH would cause unnecessary confusion and expose military personnel to increased risk of harm.  </w:t>
      </w:r>
      <w:r w:rsidR="00470BD5">
        <w:rPr>
          <w:rFonts w:ascii="Times New Roman" w:hAnsi="Times New Roman" w:cs="Times New Roman"/>
          <w:sz w:val="24"/>
          <w:szCs w:val="24"/>
        </w:rPr>
        <w:t>While there may be moral or pragmatic reasons for not targeting the child, or seeking to capture rather than kill,</w:t>
      </w:r>
      <w:r w:rsidR="00416B92">
        <w:rPr>
          <w:rFonts w:ascii="Times New Roman" w:hAnsi="Times New Roman" w:cs="Times New Roman"/>
          <w:sz w:val="24"/>
          <w:szCs w:val="24"/>
        </w:rPr>
        <w:t xml:space="preserve"> there is no legal obligation to do so.</w:t>
      </w:r>
      <w:r w:rsidR="00470BD5">
        <w:rPr>
          <w:rFonts w:ascii="Times New Roman" w:hAnsi="Times New Roman" w:cs="Times New Roman"/>
          <w:sz w:val="24"/>
          <w:szCs w:val="24"/>
        </w:rPr>
        <w:t xml:space="preserve"> </w:t>
      </w:r>
      <w:r w:rsidR="006422BD">
        <w:rPr>
          <w:rFonts w:ascii="Times New Roman" w:hAnsi="Times New Roman" w:cs="Times New Roman"/>
          <w:sz w:val="24"/>
          <w:szCs w:val="24"/>
        </w:rPr>
        <w:t xml:space="preserve"> </w:t>
      </w:r>
    </w:p>
    <w:sectPr w:rsidR="00067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64274"/>
    <w:multiLevelType w:val="hybridMultilevel"/>
    <w:tmpl w:val="26F04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E6"/>
    <w:rsid w:val="00015B6C"/>
    <w:rsid w:val="00030E41"/>
    <w:rsid w:val="00034E44"/>
    <w:rsid w:val="0005277D"/>
    <w:rsid w:val="00080682"/>
    <w:rsid w:val="000A722F"/>
    <w:rsid w:val="000B28EE"/>
    <w:rsid w:val="000D400A"/>
    <w:rsid w:val="000D43B1"/>
    <w:rsid w:val="000D5A32"/>
    <w:rsid w:val="000E0FB3"/>
    <w:rsid w:val="000F50CC"/>
    <w:rsid w:val="000F62BE"/>
    <w:rsid w:val="0010273F"/>
    <w:rsid w:val="00105EBE"/>
    <w:rsid w:val="0010621A"/>
    <w:rsid w:val="00120864"/>
    <w:rsid w:val="0012789E"/>
    <w:rsid w:val="001331F3"/>
    <w:rsid w:val="00142B70"/>
    <w:rsid w:val="00146AEB"/>
    <w:rsid w:val="0015002C"/>
    <w:rsid w:val="0015466E"/>
    <w:rsid w:val="00163E05"/>
    <w:rsid w:val="00174F2C"/>
    <w:rsid w:val="00176CF1"/>
    <w:rsid w:val="0017772E"/>
    <w:rsid w:val="00194150"/>
    <w:rsid w:val="001D36E6"/>
    <w:rsid w:val="001E0F74"/>
    <w:rsid w:val="00214352"/>
    <w:rsid w:val="002200DD"/>
    <w:rsid w:val="00224CE7"/>
    <w:rsid w:val="002274D3"/>
    <w:rsid w:val="0023616D"/>
    <w:rsid w:val="00275D59"/>
    <w:rsid w:val="00280E37"/>
    <w:rsid w:val="00280F06"/>
    <w:rsid w:val="00290BC0"/>
    <w:rsid w:val="002941F0"/>
    <w:rsid w:val="0029799D"/>
    <w:rsid w:val="002B3BBA"/>
    <w:rsid w:val="002C02AE"/>
    <w:rsid w:val="002E5684"/>
    <w:rsid w:val="00300467"/>
    <w:rsid w:val="00310163"/>
    <w:rsid w:val="003163BC"/>
    <w:rsid w:val="0034130F"/>
    <w:rsid w:val="00344AE4"/>
    <w:rsid w:val="00387B48"/>
    <w:rsid w:val="00390527"/>
    <w:rsid w:val="0039254F"/>
    <w:rsid w:val="003A4C3F"/>
    <w:rsid w:val="003A4FD7"/>
    <w:rsid w:val="003B0351"/>
    <w:rsid w:val="003B1C2B"/>
    <w:rsid w:val="0041085C"/>
    <w:rsid w:val="004165A0"/>
    <w:rsid w:val="00416B92"/>
    <w:rsid w:val="00424051"/>
    <w:rsid w:val="00425EBD"/>
    <w:rsid w:val="00430FD4"/>
    <w:rsid w:val="00432B3B"/>
    <w:rsid w:val="004349EB"/>
    <w:rsid w:val="004374B6"/>
    <w:rsid w:val="004619FB"/>
    <w:rsid w:val="00464EEA"/>
    <w:rsid w:val="00467096"/>
    <w:rsid w:val="00470BD5"/>
    <w:rsid w:val="00475378"/>
    <w:rsid w:val="0047667B"/>
    <w:rsid w:val="0048569C"/>
    <w:rsid w:val="004A2AF7"/>
    <w:rsid w:val="004B2FF0"/>
    <w:rsid w:val="004E1F4A"/>
    <w:rsid w:val="004E364F"/>
    <w:rsid w:val="004E5E86"/>
    <w:rsid w:val="004E679B"/>
    <w:rsid w:val="004F4AE6"/>
    <w:rsid w:val="00527AD1"/>
    <w:rsid w:val="005306C9"/>
    <w:rsid w:val="005357CE"/>
    <w:rsid w:val="00543810"/>
    <w:rsid w:val="005453ED"/>
    <w:rsid w:val="00570F5C"/>
    <w:rsid w:val="00576C55"/>
    <w:rsid w:val="00577591"/>
    <w:rsid w:val="00591A45"/>
    <w:rsid w:val="005A17F5"/>
    <w:rsid w:val="005A2477"/>
    <w:rsid w:val="005A5C5D"/>
    <w:rsid w:val="005A6961"/>
    <w:rsid w:val="005B649C"/>
    <w:rsid w:val="005D0A17"/>
    <w:rsid w:val="005D4083"/>
    <w:rsid w:val="005D7CBD"/>
    <w:rsid w:val="005E1FDC"/>
    <w:rsid w:val="005F7BB3"/>
    <w:rsid w:val="006024DD"/>
    <w:rsid w:val="0062126B"/>
    <w:rsid w:val="006422BD"/>
    <w:rsid w:val="00660D57"/>
    <w:rsid w:val="00661A3F"/>
    <w:rsid w:val="00665E2E"/>
    <w:rsid w:val="0067509D"/>
    <w:rsid w:val="00682BAB"/>
    <w:rsid w:val="00685749"/>
    <w:rsid w:val="006B6FF7"/>
    <w:rsid w:val="006B7791"/>
    <w:rsid w:val="006C3B16"/>
    <w:rsid w:val="006C7608"/>
    <w:rsid w:val="006D2F31"/>
    <w:rsid w:val="006E0977"/>
    <w:rsid w:val="006F35A3"/>
    <w:rsid w:val="00712E23"/>
    <w:rsid w:val="00716B04"/>
    <w:rsid w:val="00721CEA"/>
    <w:rsid w:val="00731A49"/>
    <w:rsid w:val="00751A1D"/>
    <w:rsid w:val="007557EE"/>
    <w:rsid w:val="00764A59"/>
    <w:rsid w:val="007669E4"/>
    <w:rsid w:val="00777481"/>
    <w:rsid w:val="007C1308"/>
    <w:rsid w:val="007C21B8"/>
    <w:rsid w:val="007C6274"/>
    <w:rsid w:val="007E1135"/>
    <w:rsid w:val="007F08F0"/>
    <w:rsid w:val="007F58E7"/>
    <w:rsid w:val="007F6ED4"/>
    <w:rsid w:val="0081070F"/>
    <w:rsid w:val="00815AEA"/>
    <w:rsid w:val="00817BD0"/>
    <w:rsid w:val="00827148"/>
    <w:rsid w:val="00837708"/>
    <w:rsid w:val="0085061C"/>
    <w:rsid w:val="00850DC5"/>
    <w:rsid w:val="00872E62"/>
    <w:rsid w:val="00884855"/>
    <w:rsid w:val="008A362E"/>
    <w:rsid w:val="008B3455"/>
    <w:rsid w:val="008C69BB"/>
    <w:rsid w:val="008D7DBF"/>
    <w:rsid w:val="008D7E4C"/>
    <w:rsid w:val="008E1119"/>
    <w:rsid w:val="00904332"/>
    <w:rsid w:val="00936EBD"/>
    <w:rsid w:val="00937850"/>
    <w:rsid w:val="0094312C"/>
    <w:rsid w:val="00946A18"/>
    <w:rsid w:val="00951B7F"/>
    <w:rsid w:val="00952D07"/>
    <w:rsid w:val="00962F11"/>
    <w:rsid w:val="00985798"/>
    <w:rsid w:val="00991808"/>
    <w:rsid w:val="009A1819"/>
    <w:rsid w:val="009A53C7"/>
    <w:rsid w:val="009B74F6"/>
    <w:rsid w:val="009C1EDE"/>
    <w:rsid w:val="009D5E50"/>
    <w:rsid w:val="009E78CB"/>
    <w:rsid w:val="00A22AB0"/>
    <w:rsid w:val="00A2437B"/>
    <w:rsid w:val="00A25ADB"/>
    <w:rsid w:val="00A52982"/>
    <w:rsid w:val="00A56ABC"/>
    <w:rsid w:val="00A6042E"/>
    <w:rsid w:val="00A63129"/>
    <w:rsid w:val="00A639E7"/>
    <w:rsid w:val="00A8479B"/>
    <w:rsid w:val="00A8627B"/>
    <w:rsid w:val="00A947D3"/>
    <w:rsid w:val="00A96E8E"/>
    <w:rsid w:val="00AA4D4F"/>
    <w:rsid w:val="00AA7838"/>
    <w:rsid w:val="00AB4B3D"/>
    <w:rsid w:val="00AB6C1F"/>
    <w:rsid w:val="00AC7D2C"/>
    <w:rsid w:val="00AF3367"/>
    <w:rsid w:val="00AF4533"/>
    <w:rsid w:val="00AF703B"/>
    <w:rsid w:val="00B13060"/>
    <w:rsid w:val="00B27051"/>
    <w:rsid w:val="00B36884"/>
    <w:rsid w:val="00B40B83"/>
    <w:rsid w:val="00B50AEC"/>
    <w:rsid w:val="00B566B8"/>
    <w:rsid w:val="00B60DE6"/>
    <w:rsid w:val="00B668FC"/>
    <w:rsid w:val="00B727F5"/>
    <w:rsid w:val="00B8369A"/>
    <w:rsid w:val="00B965C1"/>
    <w:rsid w:val="00BB4554"/>
    <w:rsid w:val="00BC684B"/>
    <w:rsid w:val="00BC6BF4"/>
    <w:rsid w:val="00BF2461"/>
    <w:rsid w:val="00C02DDB"/>
    <w:rsid w:val="00C15461"/>
    <w:rsid w:val="00C422A4"/>
    <w:rsid w:val="00C446FF"/>
    <w:rsid w:val="00C46C80"/>
    <w:rsid w:val="00C61458"/>
    <w:rsid w:val="00C62E6E"/>
    <w:rsid w:val="00CB099B"/>
    <w:rsid w:val="00CB1C35"/>
    <w:rsid w:val="00CB7579"/>
    <w:rsid w:val="00CB7FF9"/>
    <w:rsid w:val="00CC1FAA"/>
    <w:rsid w:val="00CD1B10"/>
    <w:rsid w:val="00CF22F4"/>
    <w:rsid w:val="00CF7072"/>
    <w:rsid w:val="00D077C6"/>
    <w:rsid w:val="00D20D9E"/>
    <w:rsid w:val="00D37563"/>
    <w:rsid w:val="00D45CB8"/>
    <w:rsid w:val="00D63237"/>
    <w:rsid w:val="00D7432D"/>
    <w:rsid w:val="00D812B8"/>
    <w:rsid w:val="00D825E0"/>
    <w:rsid w:val="00D82973"/>
    <w:rsid w:val="00D86028"/>
    <w:rsid w:val="00DA55C5"/>
    <w:rsid w:val="00DC3AC8"/>
    <w:rsid w:val="00E31B24"/>
    <w:rsid w:val="00E35E3B"/>
    <w:rsid w:val="00E5254B"/>
    <w:rsid w:val="00EA526C"/>
    <w:rsid w:val="00ED761C"/>
    <w:rsid w:val="00EF6F07"/>
    <w:rsid w:val="00F11207"/>
    <w:rsid w:val="00F22A66"/>
    <w:rsid w:val="00F327DB"/>
    <w:rsid w:val="00F35886"/>
    <w:rsid w:val="00F429EE"/>
    <w:rsid w:val="00F42B78"/>
    <w:rsid w:val="00F6102F"/>
    <w:rsid w:val="00F660DD"/>
    <w:rsid w:val="00F6710F"/>
    <w:rsid w:val="00F70108"/>
    <w:rsid w:val="00F807CB"/>
    <w:rsid w:val="00F82B67"/>
    <w:rsid w:val="00F82F0E"/>
    <w:rsid w:val="00F83E15"/>
    <w:rsid w:val="00F939EC"/>
    <w:rsid w:val="00F93AB1"/>
    <w:rsid w:val="00F97D55"/>
    <w:rsid w:val="00FB02C5"/>
    <w:rsid w:val="00FD0404"/>
    <w:rsid w:val="00FD3C3F"/>
    <w:rsid w:val="00FD700C"/>
    <w:rsid w:val="00FE2843"/>
    <w:rsid w:val="00FF0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7A5A"/>
  <w15:docId w15:val="{37CEA321-19AE-471B-A481-BCEC2A61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B78"/>
    <w:rPr>
      <w:sz w:val="16"/>
      <w:szCs w:val="16"/>
    </w:rPr>
  </w:style>
  <w:style w:type="paragraph" w:styleId="CommentText">
    <w:name w:val="annotation text"/>
    <w:basedOn w:val="Normal"/>
    <w:link w:val="CommentTextChar"/>
    <w:uiPriority w:val="99"/>
    <w:semiHidden/>
    <w:unhideWhenUsed/>
    <w:rsid w:val="00F42B78"/>
    <w:pPr>
      <w:spacing w:line="240" w:lineRule="auto"/>
    </w:pPr>
    <w:rPr>
      <w:sz w:val="20"/>
      <w:szCs w:val="20"/>
    </w:rPr>
  </w:style>
  <w:style w:type="character" w:customStyle="1" w:styleId="CommentTextChar">
    <w:name w:val="Comment Text Char"/>
    <w:basedOn w:val="DefaultParagraphFont"/>
    <w:link w:val="CommentText"/>
    <w:uiPriority w:val="99"/>
    <w:semiHidden/>
    <w:rsid w:val="00F42B78"/>
    <w:rPr>
      <w:sz w:val="20"/>
      <w:szCs w:val="20"/>
    </w:rPr>
  </w:style>
  <w:style w:type="paragraph" w:styleId="CommentSubject">
    <w:name w:val="annotation subject"/>
    <w:basedOn w:val="CommentText"/>
    <w:next w:val="CommentText"/>
    <w:link w:val="CommentSubjectChar"/>
    <w:uiPriority w:val="99"/>
    <w:semiHidden/>
    <w:unhideWhenUsed/>
    <w:rsid w:val="00F42B78"/>
    <w:rPr>
      <w:b/>
      <w:bCs/>
    </w:rPr>
  </w:style>
  <w:style w:type="character" w:customStyle="1" w:styleId="CommentSubjectChar">
    <w:name w:val="Comment Subject Char"/>
    <w:basedOn w:val="CommentTextChar"/>
    <w:link w:val="CommentSubject"/>
    <w:uiPriority w:val="99"/>
    <w:semiHidden/>
    <w:rsid w:val="00F42B78"/>
    <w:rPr>
      <w:b/>
      <w:bCs/>
      <w:sz w:val="20"/>
      <w:szCs w:val="20"/>
    </w:rPr>
  </w:style>
  <w:style w:type="paragraph" w:styleId="BalloonText">
    <w:name w:val="Balloon Text"/>
    <w:basedOn w:val="Normal"/>
    <w:link w:val="BalloonTextChar"/>
    <w:uiPriority w:val="99"/>
    <w:semiHidden/>
    <w:unhideWhenUsed/>
    <w:rsid w:val="00F4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78"/>
    <w:rPr>
      <w:rFonts w:ascii="Segoe UI" w:hAnsi="Segoe UI" w:cs="Segoe UI"/>
      <w:sz w:val="18"/>
      <w:szCs w:val="18"/>
    </w:rPr>
  </w:style>
  <w:style w:type="paragraph" w:styleId="ListParagraph">
    <w:name w:val="List Paragraph"/>
    <w:basedOn w:val="Normal"/>
    <w:uiPriority w:val="34"/>
    <w:qFormat/>
    <w:rsid w:val="0022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195F7904.dotm</Template>
  <TotalTime>0</TotalTime>
  <Pages>7</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Henderson</dc:creator>
  <cp:keywords/>
  <dc:description/>
  <cp:lastModifiedBy>Stacey Henderson</cp:lastModifiedBy>
  <cp:revision>2</cp:revision>
  <dcterms:created xsi:type="dcterms:W3CDTF">2017-10-22T23:27:00Z</dcterms:created>
  <dcterms:modified xsi:type="dcterms:W3CDTF">2017-10-22T23:27:00Z</dcterms:modified>
</cp:coreProperties>
</file>