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5C" w:rsidRPr="00E72BE5" w:rsidRDefault="00BA445C" w:rsidP="00BA445C">
      <w:pPr>
        <w:spacing w:line="480" w:lineRule="auto"/>
        <w:jc w:val="both"/>
        <w:rPr>
          <w:rFonts w:ascii="Arial" w:hAnsi="Arial" w:cs="Arial" w:hint="eastAsia"/>
          <w:b/>
          <w:sz w:val="28"/>
          <w:szCs w:val="28"/>
        </w:rPr>
      </w:pPr>
      <w:proofErr w:type="spellStart"/>
      <w:r w:rsidRPr="00E72BE5">
        <w:rPr>
          <w:rFonts w:ascii="Arial" w:hAnsi="Arial" w:cs="Arial"/>
          <w:b/>
          <w:sz w:val="28"/>
          <w:szCs w:val="28"/>
        </w:rPr>
        <w:t>Immunohistochemical</w:t>
      </w:r>
      <w:proofErr w:type="spellEnd"/>
      <w:r w:rsidRPr="00E72BE5">
        <w:rPr>
          <w:rFonts w:ascii="Arial" w:hAnsi="Arial" w:cs="Arial"/>
          <w:b/>
          <w:sz w:val="28"/>
          <w:szCs w:val="28"/>
        </w:rPr>
        <w:t xml:space="preserve"> Localization of </w:t>
      </w:r>
      <w:proofErr w:type="spellStart"/>
      <w:r w:rsidRPr="00E72BE5">
        <w:rPr>
          <w:rFonts w:ascii="Arial" w:hAnsi="Arial" w:cs="Arial"/>
          <w:b/>
          <w:sz w:val="28"/>
          <w:szCs w:val="28"/>
        </w:rPr>
        <w:t>Calbindin</w:t>
      </w:r>
      <w:proofErr w:type="spellEnd"/>
      <w:r w:rsidRPr="00E72BE5">
        <w:rPr>
          <w:rFonts w:ascii="Arial" w:hAnsi="Arial" w:cs="Arial"/>
          <w:b/>
          <w:sz w:val="28"/>
          <w:szCs w:val="28"/>
        </w:rPr>
        <w:t xml:space="preserve"> D28-k, </w:t>
      </w:r>
      <w:r w:rsidRPr="00E72BE5">
        <w:rPr>
          <w:rFonts w:ascii="Arial" w:hAnsi="Arial" w:cs="Arial"/>
          <w:b/>
          <w:noProof/>
          <w:sz w:val="28"/>
          <w:szCs w:val="28"/>
        </w:rPr>
        <w:t>Parvalbumin,</w:t>
      </w:r>
      <w:r w:rsidRPr="00E72BE5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E72BE5">
        <w:rPr>
          <w:rFonts w:ascii="Arial" w:hAnsi="Arial" w:cs="Arial"/>
          <w:b/>
          <w:sz w:val="28"/>
          <w:szCs w:val="28"/>
        </w:rPr>
        <w:t>Calretinin</w:t>
      </w:r>
      <w:proofErr w:type="spellEnd"/>
      <w:r w:rsidRPr="00E72BE5">
        <w:rPr>
          <w:rFonts w:ascii="Arial" w:hAnsi="Arial" w:cs="Arial"/>
          <w:b/>
          <w:sz w:val="28"/>
          <w:szCs w:val="28"/>
        </w:rPr>
        <w:t xml:space="preserve"> in the Superior </w:t>
      </w:r>
      <w:proofErr w:type="spellStart"/>
      <w:r w:rsidRPr="00E72BE5">
        <w:rPr>
          <w:rFonts w:ascii="Arial" w:hAnsi="Arial" w:cs="Arial"/>
          <w:b/>
          <w:sz w:val="28"/>
          <w:szCs w:val="28"/>
        </w:rPr>
        <w:t>Olivary</w:t>
      </w:r>
      <w:proofErr w:type="spellEnd"/>
      <w:r w:rsidRPr="00E72BE5">
        <w:rPr>
          <w:rFonts w:ascii="Arial" w:hAnsi="Arial" w:cs="Arial"/>
          <w:b/>
          <w:sz w:val="28"/>
          <w:szCs w:val="28"/>
        </w:rPr>
        <w:t xml:space="preserve"> Complex of Circling Mouse</w:t>
      </w:r>
    </w:p>
    <w:p w:rsidR="00BA445C" w:rsidRPr="00E72BE5" w:rsidRDefault="00BA445C" w:rsidP="00BA445C">
      <w:pPr>
        <w:adjustRightInd w:val="0"/>
        <w:snapToGrid w:val="0"/>
        <w:spacing w:line="480" w:lineRule="auto"/>
        <w:rPr>
          <w:rFonts w:ascii="Arial" w:hAnsi="Arial" w:cs="Arial" w:hint="eastAsia"/>
          <w:szCs w:val="22"/>
          <w:vertAlign w:val="superscript"/>
        </w:rPr>
      </w:pPr>
      <w:proofErr w:type="spellStart"/>
      <w:r w:rsidRPr="00E72BE5">
        <w:rPr>
          <w:rFonts w:ascii="Arial" w:hAnsi="Arial" w:cs="Arial"/>
        </w:rPr>
        <w:t>Jin</w:t>
      </w:r>
      <w:proofErr w:type="spellEnd"/>
      <w:r w:rsidRPr="00E72BE5">
        <w:rPr>
          <w:rFonts w:ascii="Arial" w:hAnsi="Arial" w:cs="Arial"/>
        </w:rPr>
        <w:t>-Koo Lee</w:t>
      </w:r>
      <w:r w:rsidRPr="00E72BE5">
        <w:rPr>
          <w:rFonts w:ascii="Arial" w:hAnsi="Arial" w:cs="Arial"/>
          <w:szCs w:val="22"/>
          <w:vertAlign w:val="superscript"/>
        </w:rPr>
        <w:t>1</w:t>
      </w:r>
      <w:r w:rsidRPr="00E72BE5">
        <w:rPr>
          <w:rFonts w:ascii="Arial" w:hAnsi="Arial" w:cs="Arial"/>
          <w:szCs w:val="22"/>
        </w:rPr>
        <w:t xml:space="preserve">, </w:t>
      </w:r>
      <w:proofErr w:type="spellStart"/>
      <w:r w:rsidRPr="00E72BE5">
        <w:rPr>
          <w:rFonts w:ascii="Arial" w:hAnsi="Arial" w:cs="Arial"/>
          <w:szCs w:val="22"/>
        </w:rPr>
        <w:t>Dhiraj</w:t>
      </w:r>
      <w:proofErr w:type="spellEnd"/>
      <w:r w:rsidRPr="00E72BE5">
        <w:rPr>
          <w:rFonts w:ascii="Arial" w:hAnsi="Arial" w:cs="Arial"/>
          <w:szCs w:val="22"/>
        </w:rPr>
        <w:t xml:space="preserve"> Maskey</w:t>
      </w:r>
      <w:r w:rsidRPr="00E72BE5">
        <w:rPr>
          <w:rFonts w:ascii="Arial" w:hAnsi="Arial" w:cs="Arial"/>
          <w:szCs w:val="22"/>
          <w:vertAlign w:val="superscript"/>
        </w:rPr>
        <w:t>2</w:t>
      </w:r>
      <w:r w:rsidRPr="00E72BE5">
        <w:rPr>
          <w:rFonts w:ascii="Arial" w:hAnsi="Arial" w:cs="Arial"/>
          <w:szCs w:val="22"/>
        </w:rPr>
        <w:t xml:space="preserve">, and </w:t>
      </w:r>
      <w:proofErr w:type="spellStart"/>
      <w:r w:rsidRPr="00E72BE5">
        <w:rPr>
          <w:rFonts w:ascii="Arial" w:hAnsi="Arial" w:cs="Arial"/>
          <w:szCs w:val="22"/>
        </w:rPr>
        <w:t>Myeung</w:t>
      </w:r>
      <w:proofErr w:type="spellEnd"/>
      <w:r w:rsidRPr="00E72BE5">
        <w:rPr>
          <w:rFonts w:ascii="Arial" w:hAnsi="Arial" w:cs="Arial"/>
          <w:szCs w:val="22"/>
        </w:rPr>
        <w:t xml:space="preserve"> </w:t>
      </w:r>
      <w:proofErr w:type="spellStart"/>
      <w:r w:rsidRPr="00E72BE5">
        <w:rPr>
          <w:rFonts w:ascii="Arial" w:hAnsi="Arial" w:cs="Arial"/>
          <w:szCs w:val="22"/>
        </w:rPr>
        <w:t>Ju</w:t>
      </w:r>
      <w:proofErr w:type="spellEnd"/>
      <w:r w:rsidRPr="00E72BE5">
        <w:rPr>
          <w:rFonts w:ascii="Arial" w:hAnsi="Arial" w:cs="Arial"/>
          <w:szCs w:val="22"/>
        </w:rPr>
        <w:t xml:space="preserve"> Kim</w:t>
      </w:r>
      <w:r w:rsidRPr="00E72BE5">
        <w:rPr>
          <w:rFonts w:ascii="Arial" w:hAnsi="Arial" w:cs="Arial"/>
          <w:szCs w:val="22"/>
          <w:vertAlign w:val="superscript"/>
        </w:rPr>
        <w:t>2, *</w:t>
      </w:r>
      <w:bookmarkStart w:id="0" w:name="[문서의_처음]"/>
      <w:bookmarkEnd w:id="0"/>
    </w:p>
    <w:p w:rsidR="00BA445C" w:rsidRPr="00E72BE5" w:rsidRDefault="00BA445C" w:rsidP="00BA445C">
      <w:pPr>
        <w:adjustRightInd w:val="0"/>
        <w:snapToGrid w:val="0"/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 w:rsidRPr="00E72BE5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E72BE5">
        <w:rPr>
          <w:rFonts w:ascii="Arial" w:hAnsi="Arial" w:cs="Arial"/>
          <w:i/>
          <w:sz w:val="22"/>
          <w:szCs w:val="22"/>
        </w:rPr>
        <w:t xml:space="preserve">Department of Pharmacology, </w:t>
      </w:r>
      <w:r w:rsidRPr="00E72BE5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E72BE5">
        <w:rPr>
          <w:rFonts w:ascii="Arial" w:hAnsi="Arial" w:cs="Arial"/>
          <w:i/>
          <w:sz w:val="22"/>
          <w:szCs w:val="22"/>
        </w:rPr>
        <w:t xml:space="preserve">Department of Anatomy, </w:t>
      </w:r>
      <w:proofErr w:type="spellStart"/>
      <w:r w:rsidRPr="00E72BE5">
        <w:rPr>
          <w:rFonts w:ascii="Arial" w:hAnsi="Arial" w:cs="Arial"/>
          <w:i/>
          <w:sz w:val="22"/>
          <w:szCs w:val="22"/>
        </w:rPr>
        <w:t>Dankook</w:t>
      </w:r>
      <w:proofErr w:type="spellEnd"/>
      <w:r w:rsidRPr="00E72BE5">
        <w:rPr>
          <w:rFonts w:ascii="Arial" w:hAnsi="Arial" w:cs="Arial"/>
          <w:i/>
          <w:sz w:val="22"/>
          <w:szCs w:val="22"/>
        </w:rPr>
        <w:t xml:space="preserve"> University C</w:t>
      </w:r>
      <w:r>
        <w:rPr>
          <w:rFonts w:ascii="Arial" w:hAnsi="Arial" w:cs="Arial"/>
          <w:i/>
          <w:sz w:val="22"/>
          <w:szCs w:val="22"/>
        </w:rPr>
        <w:t xml:space="preserve">ollege of Medicine, </w:t>
      </w:r>
      <w:proofErr w:type="spellStart"/>
      <w:r>
        <w:rPr>
          <w:rFonts w:ascii="Arial" w:hAnsi="Arial" w:cs="Arial"/>
          <w:i/>
          <w:sz w:val="22"/>
          <w:szCs w:val="22"/>
        </w:rPr>
        <w:t>Cheonan</w:t>
      </w:r>
      <w:proofErr w:type="spellEnd"/>
      <w:r w:rsidRPr="00E72BE5">
        <w:rPr>
          <w:rFonts w:ascii="Arial" w:hAnsi="Arial" w:cs="Arial"/>
          <w:i/>
          <w:sz w:val="22"/>
          <w:szCs w:val="22"/>
        </w:rPr>
        <w:t>, South Korea</w:t>
      </w:r>
    </w:p>
    <w:p w:rsidR="00037079" w:rsidRDefault="00037079" w:rsidP="0055625C">
      <w:pPr>
        <w:adjustRightInd w:val="0"/>
        <w:snapToGrid w:val="0"/>
        <w:spacing w:line="480" w:lineRule="auto"/>
        <w:jc w:val="both"/>
        <w:rPr>
          <w:b/>
          <w:sz w:val="28"/>
          <w:szCs w:val="28"/>
        </w:rPr>
      </w:pPr>
    </w:p>
    <w:p w:rsidR="00BE5C24" w:rsidRDefault="0055625C" w:rsidP="0055625C">
      <w:pPr>
        <w:adjustRightInd w:val="0"/>
        <w:snapToGrid w:val="0"/>
        <w:spacing w:line="480" w:lineRule="auto"/>
        <w:jc w:val="both"/>
        <w:rPr>
          <w:b/>
          <w:sz w:val="28"/>
          <w:szCs w:val="28"/>
        </w:rPr>
      </w:pPr>
      <w:r w:rsidRPr="0055625C">
        <w:rPr>
          <w:b/>
          <w:sz w:val="28"/>
          <w:szCs w:val="28"/>
        </w:rPr>
        <w:t>Supplement</w:t>
      </w:r>
      <w:r>
        <w:rPr>
          <w:b/>
          <w:sz w:val="28"/>
          <w:szCs w:val="28"/>
        </w:rPr>
        <w:t>ary</w:t>
      </w:r>
      <w:r w:rsidRPr="0055625C">
        <w:rPr>
          <w:b/>
          <w:sz w:val="28"/>
          <w:szCs w:val="28"/>
        </w:rPr>
        <w:t xml:space="preserve"> </w:t>
      </w:r>
      <w:r w:rsidR="00BA445C">
        <w:rPr>
          <w:b/>
          <w:sz w:val="28"/>
          <w:szCs w:val="28"/>
        </w:rPr>
        <w:t>Manuscript</w:t>
      </w:r>
    </w:p>
    <w:p w:rsidR="00A66AAA" w:rsidRPr="00BE5C24" w:rsidRDefault="00A66AAA" w:rsidP="0055625C">
      <w:pPr>
        <w:adjustRightInd w:val="0"/>
        <w:snapToGrid w:val="0"/>
        <w:spacing w:line="480" w:lineRule="auto"/>
        <w:jc w:val="both"/>
        <w:rPr>
          <w:b/>
          <w:sz w:val="28"/>
          <w:szCs w:val="28"/>
        </w:rPr>
      </w:pPr>
      <w:r w:rsidRPr="0055625C">
        <w:rPr>
          <w:b/>
          <w:sz w:val="22"/>
          <w:szCs w:val="22"/>
        </w:rPr>
        <w:t>PCR Analysis</w:t>
      </w:r>
      <w:r w:rsidR="00BE5C24">
        <w:rPr>
          <w:b/>
          <w:sz w:val="22"/>
          <w:szCs w:val="22"/>
        </w:rPr>
        <w:t xml:space="preserve"> Method</w:t>
      </w:r>
    </w:p>
    <w:p w:rsidR="00A66AAA" w:rsidRPr="0055625C" w:rsidRDefault="00A66AAA" w:rsidP="0055625C">
      <w:pPr>
        <w:adjustRightInd w:val="0"/>
        <w:snapToGrid w:val="0"/>
        <w:spacing w:line="480" w:lineRule="auto"/>
        <w:jc w:val="both"/>
        <w:rPr>
          <w:bCs/>
          <w:iCs/>
          <w:sz w:val="22"/>
        </w:rPr>
      </w:pPr>
      <w:r w:rsidRPr="0055625C">
        <w:rPr>
          <w:bCs/>
          <w:iCs/>
          <w:sz w:val="22"/>
        </w:rPr>
        <w:t>P</w:t>
      </w:r>
      <w:r w:rsidRPr="0055625C">
        <w:rPr>
          <w:rFonts w:hint="eastAsia"/>
          <w:bCs/>
          <w:iCs/>
          <w:sz w:val="22"/>
        </w:rPr>
        <w:t xml:space="preserve">ostnatal </w:t>
      </w:r>
      <w:r w:rsidRPr="0055625C">
        <w:rPr>
          <w:bCs/>
          <w:iCs/>
          <w:sz w:val="22"/>
        </w:rPr>
        <w:t xml:space="preserve">day </w:t>
      </w:r>
      <w:r w:rsidRPr="0055625C">
        <w:rPr>
          <w:rFonts w:hint="eastAsia"/>
          <w:bCs/>
          <w:iCs/>
          <w:sz w:val="22"/>
        </w:rPr>
        <w:t xml:space="preserve">16 (P16) </w:t>
      </w:r>
      <w:r w:rsidRPr="0055625C">
        <w:rPr>
          <w:bCs/>
          <w:iCs/>
          <w:sz w:val="22"/>
        </w:rPr>
        <w:t>heterozygote (+/</w:t>
      </w:r>
      <w:proofErr w:type="spellStart"/>
      <w:r w:rsidRPr="0055625C">
        <w:rPr>
          <w:bCs/>
          <w:iCs/>
          <w:sz w:val="22"/>
        </w:rPr>
        <w:t>cir</w:t>
      </w:r>
      <w:proofErr w:type="spellEnd"/>
      <w:r w:rsidRPr="0055625C">
        <w:rPr>
          <w:bCs/>
          <w:iCs/>
          <w:sz w:val="22"/>
        </w:rPr>
        <w:t>)</w:t>
      </w:r>
      <w:r w:rsidRPr="0055625C">
        <w:rPr>
          <w:rFonts w:hint="eastAsia"/>
          <w:bCs/>
          <w:iCs/>
          <w:sz w:val="22"/>
        </w:rPr>
        <w:t xml:space="preserve"> </w:t>
      </w:r>
      <w:r w:rsidRPr="0055625C">
        <w:rPr>
          <w:bCs/>
          <w:iCs/>
          <w:sz w:val="22"/>
        </w:rPr>
        <w:t>and homozygote (</w:t>
      </w:r>
      <w:proofErr w:type="spellStart"/>
      <w:r w:rsidRPr="0055625C">
        <w:rPr>
          <w:bCs/>
          <w:iCs/>
          <w:sz w:val="22"/>
        </w:rPr>
        <w:t>cir</w:t>
      </w:r>
      <w:proofErr w:type="spellEnd"/>
      <w:r w:rsidRPr="0055625C">
        <w:rPr>
          <w:bCs/>
          <w:iCs/>
          <w:sz w:val="22"/>
        </w:rPr>
        <w:t>/</w:t>
      </w:r>
      <w:proofErr w:type="spellStart"/>
      <w:r w:rsidRPr="0055625C">
        <w:rPr>
          <w:bCs/>
          <w:iCs/>
          <w:sz w:val="22"/>
        </w:rPr>
        <w:t>cir</w:t>
      </w:r>
      <w:proofErr w:type="spellEnd"/>
      <w:r w:rsidRPr="0055625C">
        <w:rPr>
          <w:bCs/>
          <w:iCs/>
          <w:sz w:val="22"/>
        </w:rPr>
        <w:t xml:space="preserve">) </w:t>
      </w:r>
      <w:proofErr w:type="spellStart"/>
      <w:r w:rsidRPr="0055625C">
        <w:rPr>
          <w:bCs/>
          <w:iCs/>
          <w:sz w:val="22"/>
        </w:rPr>
        <w:t>cirlcing</w:t>
      </w:r>
      <w:proofErr w:type="spellEnd"/>
      <w:r w:rsidRPr="0055625C">
        <w:rPr>
          <w:rFonts w:hint="eastAsia"/>
          <w:bCs/>
          <w:iCs/>
          <w:sz w:val="22"/>
        </w:rPr>
        <w:t xml:space="preserve"> </w:t>
      </w:r>
      <w:r w:rsidRPr="0055625C">
        <w:rPr>
          <w:bCs/>
          <w:iCs/>
          <w:sz w:val="22"/>
        </w:rPr>
        <w:t>mice</w:t>
      </w:r>
      <w:r w:rsidRPr="0055625C">
        <w:rPr>
          <w:rFonts w:hint="eastAsia"/>
          <w:bCs/>
          <w:iCs/>
          <w:sz w:val="22"/>
        </w:rPr>
        <w:t xml:space="preserve"> were obtained from the mating of </w:t>
      </w:r>
      <w:proofErr w:type="spellStart"/>
      <w:r w:rsidRPr="0055625C">
        <w:rPr>
          <w:rFonts w:hint="eastAsia"/>
          <w:bCs/>
          <w:iCs/>
          <w:sz w:val="22"/>
        </w:rPr>
        <w:t>cir</w:t>
      </w:r>
      <w:proofErr w:type="spellEnd"/>
      <w:r w:rsidRPr="0055625C">
        <w:rPr>
          <w:rFonts w:hint="eastAsia"/>
          <w:bCs/>
          <w:iCs/>
          <w:sz w:val="22"/>
        </w:rPr>
        <w:t>/</w:t>
      </w:r>
      <w:proofErr w:type="spellStart"/>
      <w:r w:rsidRPr="0055625C">
        <w:rPr>
          <w:rFonts w:hint="eastAsia"/>
          <w:bCs/>
          <w:iCs/>
          <w:sz w:val="22"/>
        </w:rPr>
        <w:t>cir</w:t>
      </w:r>
      <w:proofErr w:type="spellEnd"/>
      <w:r w:rsidRPr="0055625C">
        <w:rPr>
          <w:rFonts w:hint="eastAsia"/>
          <w:bCs/>
          <w:iCs/>
          <w:sz w:val="22"/>
        </w:rPr>
        <w:t xml:space="preserve"> male</w:t>
      </w:r>
      <w:r w:rsidRPr="0055625C">
        <w:rPr>
          <w:bCs/>
          <w:iCs/>
          <w:sz w:val="22"/>
        </w:rPr>
        <w:t>s</w:t>
      </w:r>
      <w:r w:rsidRPr="0055625C">
        <w:rPr>
          <w:rFonts w:hint="eastAsia"/>
          <w:bCs/>
          <w:iCs/>
          <w:sz w:val="22"/>
        </w:rPr>
        <w:t xml:space="preserve"> with +/</w:t>
      </w:r>
      <w:proofErr w:type="spellStart"/>
      <w:r w:rsidRPr="0055625C">
        <w:rPr>
          <w:rFonts w:hint="eastAsia"/>
          <w:bCs/>
          <w:iCs/>
          <w:sz w:val="22"/>
        </w:rPr>
        <w:t>cir</w:t>
      </w:r>
      <w:proofErr w:type="spellEnd"/>
      <w:r w:rsidRPr="0055625C">
        <w:rPr>
          <w:rFonts w:hint="eastAsia"/>
          <w:bCs/>
          <w:iCs/>
          <w:sz w:val="22"/>
        </w:rPr>
        <w:t xml:space="preserve"> females. </w:t>
      </w:r>
      <w:r w:rsidRPr="0055625C">
        <w:rPr>
          <w:bCs/>
          <w:iCs/>
          <w:sz w:val="22"/>
        </w:rPr>
        <w:t>To</w:t>
      </w:r>
      <w:r w:rsidRPr="0055625C">
        <w:rPr>
          <w:rFonts w:hint="eastAsia"/>
          <w:bCs/>
          <w:iCs/>
          <w:sz w:val="22"/>
        </w:rPr>
        <w:t xml:space="preserve"> </w:t>
      </w:r>
      <w:r w:rsidRPr="0055625C">
        <w:rPr>
          <w:bCs/>
          <w:iCs/>
          <w:sz w:val="22"/>
        </w:rPr>
        <w:t>prevent</w:t>
      </w:r>
      <w:r w:rsidRPr="0055625C">
        <w:rPr>
          <w:rFonts w:hint="eastAsia"/>
          <w:bCs/>
          <w:iCs/>
          <w:sz w:val="22"/>
        </w:rPr>
        <w:t xml:space="preserve"> genetic mixings, both +/</w:t>
      </w:r>
      <w:proofErr w:type="spellStart"/>
      <w:r w:rsidRPr="0055625C">
        <w:rPr>
          <w:rFonts w:hint="eastAsia"/>
          <w:bCs/>
          <w:iCs/>
          <w:sz w:val="22"/>
        </w:rPr>
        <w:t>cir</w:t>
      </w:r>
      <w:proofErr w:type="spellEnd"/>
      <w:r w:rsidRPr="0055625C">
        <w:rPr>
          <w:bCs/>
          <w:iCs/>
          <w:sz w:val="22"/>
        </w:rPr>
        <w:t xml:space="preserve"> and </w:t>
      </w:r>
      <w:proofErr w:type="spellStart"/>
      <w:r w:rsidRPr="0055625C">
        <w:rPr>
          <w:bCs/>
          <w:iCs/>
          <w:sz w:val="22"/>
        </w:rPr>
        <w:t>cir</w:t>
      </w:r>
      <w:proofErr w:type="spellEnd"/>
      <w:r w:rsidRPr="0055625C">
        <w:rPr>
          <w:bCs/>
          <w:iCs/>
          <w:sz w:val="22"/>
        </w:rPr>
        <w:t>/</w:t>
      </w:r>
      <w:proofErr w:type="spellStart"/>
      <w:r w:rsidRPr="0055625C">
        <w:rPr>
          <w:bCs/>
          <w:iCs/>
          <w:sz w:val="22"/>
        </w:rPr>
        <w:t>cir</w:t>
      </w:r>
      <w:proofErr w:type="spellEnd"/>
      <w:r w:rsidRPr="0055625C">
        <w:rPr>
          <w:rFonts w:hint="eastAsia"/>
          <w:bCs/>
          <w:iCs/>
          <w:sz w:val="22"/>
        </w:rPr>
        <w:t xml:space="preserve"> mice were completely separated</w:t>
      </w:r>
      <w:r w:rsidRPr="0055625C">
        <w:rPr>
          <w:bCs/>
          <w:iCs/>
          <w:sz w:val="22"/>
        </w:rPr>
        <w:t xml:space="preserve"> </w:t>
      </w:r>
      <w:r w:rsidRPr="0055625C">
        <w:rPr>
          <w:rFonts w:hint="eastAsia"/>
          <w:bCs/>
          <w:iCs/>
          <w:sz w:val="22"/>
        </w:rPr>
        <w:t xml:space="preserve">from </w:t>
      </w:r>
      <w:r w:rsidRPr="0055625C">
        <w:rPr>
          <w:bCs/>
          <w:iCs/>
          <w:sz w:val="22"/>
        </w:rPr>
        <w:t>wild-type (</w:t>
      </w:r>
      <w:r w:rsidRPr="0055625C">
        <w:rPr>
          <w:rFonts w:hint="eastAsia"/>
          <w:bCs/>
          <w:iCs/>
          <w:sz w:val="22"/>
        </w:rPr>
        <w:t>+/+</w:t>
      </w:r>
      <w:r w:rsidRPr="0055625C">
        <w:rPr>
          <w:bCs/>
          <w:iCs/>
          <w:sz w:val="22"/>
        </w:rPr>
        <w:t>)</w:t>
      </w:r>
      <w:r w:rsidRPr="0055625C">
        <w:rPr>
          <w:rFonts w:hint="eastAsia"/>
          <w:bCs/>
          <w:iCs/>
          <w:sz w:val="22"/>
        </w:rPr>
        <w:t xml:space="preserve"> </w:t>
      </w:r>
      <w:r w:rsidRPr="0055625C">
        <w:rPr>
          <w:bCs/>
          <w:iCs/>
          <w:sz w:val="22"/>
        </w:rPr>
        <w:t>mice</w:t>
      </w:r>
      <w:r w:rsidRPr="0055625C">
        <w:rPr>
          <w:rFonts w:hint="eastAsia"/>
          <w:bCs/>
          <w:iCs/>
          <w:sz w:val="22"/>
        </w:rPr>
        <w:t xml:space="preserve">, which were purchased from </w:t>
      </w:r>
      <w:r w:rsidRPr="0055625C">
        <w:rPr>
          <w:bCs/>
          <w:iCs/>
          <w:sz w:val="22"/>
        </w:rPr>
        <w:t xml:space="preserve">the </w:t>
      </w:r>
      <w:r w:rsidRPr="0055625C">
        <w:rPr>
          <w:rFonts w:hint="eastAsia"/>
          <w:bCs/>
          <w:iCs/>
          <w:sz w:val="22"/>
        </w:rPr>
        <w:t>laboratory animal company</w:t>
      </w:r>
      <w:r w:rsidRPr="0055625C">
        <w:rPr>
          <w:bCs/>
          <w:iCs/>
          <w:sz w:val="22"/>
        </w:rPr>
        <w:t xml:space="preserve"> (</w:t>
      </w:r>
      <w:proofErr w:type="spellStart"/>
      <w:r w:rsidRPr="0055625C">
        <w:rPr>
          <w:bCs/>
          <w:iCs/>
          <w:sz w:val="22"/>
        </w:rPr>
        <w:t>Samtako</w:t>
      </w:r>
      <w:proofErr w:type="spellEnd"/>
      <w:r w:rsidRPr="0055625C">
        <w:rPr>
          <w:bCs/>
          <w:iCs/>
          <w:sz w:val="22"/>
        </w:rPr>
        <w:t xml:space="preserve"> Bio Korea)</w:t>
      </w:r>
      <w:r w:rsidRPr="0055625C">
        <w:rPr>
          <w:rFonts w:hint="eastAsia"/>
          <w:bCs/>
          <w:iCs/>
          <w:sz w:val="22"/>
        </w:rPr>
        <w:t>.</w:t>
      </w:r>
      <w:r w:rsidRPr="0055625C">
        <w:rPr>
          <w:bCs/>
          <w:iCs/>
          <w:sz w:val="22"/>
        </w:rPr>
        <w:t xml:space="preserve"> Polymerized chain reaction (PCR) analysis</w:t>
      </w:r>
      <w:r w:rsidRPr="0055625C">
        <w:rPr>
          <w:rFonts w:hint="eastAsia"/>
          <w:bCs/>
          <w:iCs/>
          <w:sz w:val="22"/>
        </w:rPr>
        <w:t xml:space="preserve"> was performed to differentiate +/</w:t>
      </w:r>
      <w:proofErr w:type="spellStart"/>
      <w:r w:rsidRPr="0055625C">
        <w:rPr>
          <w:rFonts w:hint="eastAsia"/>
          <w:bCs/>
          <w:iCs/>
          <w:sz w:val="22"/>
        </w:rPr>
        <w:t>cir</w:t>
      </w:r>
      <w:proofErr w:type="spellEnd"/>
      <w:r w:rsidRPr="0055625C">
        <w:rPr>
          <w:bCs/>
          <w:iCs/>
          <w:sz w:val="22"/>
        </w:rPr>
        <w:t xml:space="preserve"> and </w:t>
      </w:r>
      <w:proofErr w:type="spellStart"/>
      <w:r w:rsidRPr="0055625C">
        <w:rPr>
          <w:bCs/>
          <w:iCs/>
          <w:sz w:val="22"/>
        </w:rPr>
        <w:t>cir</w:t>
      </w:r>
      <w:proofErr w:type="spellEnd"/>
      <w:r w:rsidRPr="0055625C">
        <w:rPr>
          <w:bCs/>
          <w:iCs/>
          <w:sz w:val="22"/>
        </w:rPr>
        <w:t>/</w:t>
      </w:r>
      <w:proofErr w:type="spellStart"/>
      <w:r w:rsidRPr="0055625C">
        <w:rPr>
          <w:bCs/>
          <w:iCs/>
          <w:sz w:val="22"/>
        </w:rPr>
        <w:t>cir</w:t>
      </w:r>
      <w:proofErr w:type="spellEnd"/>
      <w:r w:rsidRPr="0055625C">
        <w:rPr>
          <w:rFonts w:hint="eastAsia"/>
          <w:bCs/>
          <w:iCs/>
          <w:sz w:val="22"/>
        </w:rPr>
        <w:t xml:space="preserve"> </w:t>
      </w:r>
      <w:r w:rsidRPr="0055625C">
        <w:rPr>
          <w:bCs/>
          <w:iCs/>
          <w:sz w:val="22"/>
        </w:rPr>
        <w:t xml:space="preserve">mice </w:t>
      </w:r>
      <w:r w:rsidRPr="0055625C">
        <w:rPr>
          <w:rFonts w:hint="eastAsia"/>
          <w:bCs/>
          <w:iCs/>
          <w:sz w:val="22"/>
        </w:rPr>
        <w:t>using</w:t>
      </w:r>
      <w:r w:rsidRPr="0055625C">
        <w:rPr>
          <w:bCs/>
          <w:iCs/>
          <w:sz w:val="22"/>
        </w:rPr>
        <w:t xml:space="preserve"> genomic DNA obtained from mouse tails</w:t>
      </w:r>
      <w:r w:rsidRPr="0055625C">
        <w:rPr>
          <w:rFonts w:hint="eastAsia"/>
          <w:bCs/>
          <w:iCs/>
          <w:sz w:val="22"/>
        </w:rPr>
        <w:t xml:space="preserve">. The </w:t>
      </w:r>
      <w:r w:rsidRPr="0055625C">
        <w:rPr>
          <w:bCs/>
          <w:iCs/>
          <w:sz w:val="22"/>
        </w:rPr>
        <w:t>genomic DNA was isolated according to the manufacturer’s instructions (</w:t>
      </w:r>
      <w:proofErr w:type="spellStart"/>
      <w:r w:rsidRPr="0055625C">
        <w:rPr>
          <w:bCs/>
          <w:iCs/>
          <w:sz w:val="22"/>
        </w:rPr>
        <w:t>Bioneer</w:t>
      </w:r>
      <w:proofErr w:type="spellEnd"/>
      <w:r w:rsidRPr="0055625C">
        <w:rPr>
          <w:bCs/>
          <w:iCs/>
          <w:sz w:val="22"/>
        </w:rPr>
        <w:t xml:space="preserve"> Corporation, Daejeon, Korea). The </w:t>
      </w:r>
      <w:proofErr w:type="spellStart"/>
      <w:r w:rsidRPr="0055625C">
        <w:rPr>
          <w:rFonts w:hint="eastAsia"/>
          <w:bCs/>
          <w:iCs/>
          <w:sz w:val="22"/>
        </w:rPr>
        <w:t>cir</w:t>
      </w:r>
      <w:proofErr w:type="spellEnd"/>
      <w:r w:rsidRPr="0055625C">
        <w:rPr>
          <w:rFonts w:hint="eastAsia"/>
          <w:bCs/>
          <w:iCs/>
          <w:sz w:val="22"/>
        </w:rPr>
        <w:t>/</w:t>
      </w:r>
      <w:proofErr w:type="spellStart"/>
      <w:r w:rsidRPr="0055625C">
        <w:rPr>
          <w:rFonts w:hint="eastAsia"/>
          <w:bCs/>
          <w:iCs/>
          <w:sz w:val="22"/>
        </w:rPr>
        <w:t>cir</w:t>
      </w:r>
      <w:proofErr w:type="spellEnd"/>
      <w:r w:rsidRPr="0055625C">
        <w:rPr>
          <w:rFonts w:hint="eastAsia"/>
          <w:bCs/>
          <w:iCs/>
          <w:sz w:val="22"/>
        </w:rPr>
        <w:t xml:space="preserve"> mouse </w:t>
      </w:r>
      <w:r w:rsidRPr="0055625C">
        <w:rPr>
          <w:bCs/>
          <w:iCs/>
          <w:sz w:val="22"/>
        </w:rPr>
        <w:t>was</w:t>
      </w:r>
      <w:r w:rsidRPr="0055625C">
        <w:rPr>
          <w:rFonts w:hint="eastAsia"/>
          <w:bCs/>
          <w:iCs/>
          <w:sz w:val="22"/>
        </w:rPr>
        <w:t xml:space="preserve"> identified by </w:t>
      </w:r>
      <w:r w:rsidRPr="0055625C">
        <w:rPr>
          <w:bCs/>
          <w:iCs/>
          <w:sz w:val="22"/>
        </w:rPr>
        <w:t xml:space="preserve">absence of the </w:t>
      </w:r>
      <w:proofErr w:type="spellStart"/>
      <w:r w:rsidRPr="0055625C">
        <w:rPr>
          <w:bCs/>
          <w:iCs/>
          <w:sz w:val="22"/>
        </w:rPr>
        <w:t>tmie</w:t>
      </w:r>
      <w:proofErr w:type="spellEnd"/>
      <w:r w:rsidRPr="0055625C">
        <w:rPr>
          <w:bCs/>
          <w:iCs/>
          <w:sz w:val="22"/>
        </w:rPr>
        <w:t xml:space="preserve"> gene</w:t>
      </w:r>
      <w:r w:rsidRPr="0055625C">
        <w:rPr>
          <w:rFonts w:hint="eastAsia"/>
          <w:bCs/>
          <w:iCs/>
          <w:sz w:val="22"/>
        </w:rPr>
        <w:t xml:space="preserve"> </w:t>
      </w:r>
      <w:r w:rsidRPr="0055625C">
        <w:rPr>
          <w:bCs/>
          <w:iCs/>
          <w:sz w:val="22"/>
        </w:rPr>
        <w:t>(Chung et al., 2007).  PCR was performed with primers designed to amplify the exon 1 codin</w:t>
      </w:r>
      <w:r w:rsidRPr="0055625C">
        <w:rPr>
          <w:rFonts w:hint="eastAsia"/>
          <w:bCs/>
          <w:iCs/>
          <w:sz w:val="22"/>
        </w:rPr>
        <w:t>g</w:t>
      </w:r>
      <w:r w:rsidRPr="0055625C">
        <w:rPr>
          <w:bCs/>
          <w:iCs/>
          <w:sz w:val="22"/>
        </w:rPr>
        <w:t xml:space="preserve"> region of the </w:t>
      </w:r>
      <w:proofErr w:type="spellStart"/>
      <w:r w:rsidRPr="0055625C">
        <w:rPr>
          <w:bCs/>
          <w:iCs/>
          <w:sz w:val="22"/>
        </w:rPr>
        <w:t>tmie</w:t>
      </w:r>
      <w:proofErr w:type="spellEnd"/>
      <w:r w:rsidRPr="0055625C">
        <w:rPr>
          <w:bCs/>
          <w:iCs/>
          <w:sz w:val="22"/>
        </w:rPr>
        <w:t xml:space="preserve"> gene (forward, 5’</w:t>
      </w:r>
      <w:r w:rsidRPr="0055625C">
        <w:rPr>
          <w:rFonts w:hint="eastAsia"/>
          <w:bCs/>
          <w:iCs/>
          <w:sz w:val="22"/>
        </w:rPr>
        <w:t xml:space="preserve"> </w:t>
      </w:r>
      <w:r w:rsidRPr="0055625C">
        <w:rPr>
          <w:bCs/>
          <w:iCs/>
          <w:sz w:val="22"/>
        </w:rPr>
        <w:t>AGCTGTAGCTCTGAAATCT</w:t>
      </w:r>
      <w:r w:rsidRPr="0055625C">
        <w:rPr>
          <w:rFonts w:hint="eastAsia"/>
          <w:bCs/>
          <w:iCs/>
          <w:sz w:val="22"/>
        </w:rPr>
        <w:t xml:space="preserve"> </w:t>
      </w:r>
      <w:r w:rsidRPr="0055625C">
        <w:rPr>
          <w:bCs/>
          <w:iCs/>
          <w:sz w:val="22"/>
        </w:rPr>
        <w:t>3’; reverse, 5’</w:t>
      </w:r>
      <w:r w:rsidRPr="0055625C">
        <w:rPr>
          <w:rFonts w:hint="eastAsia"/>
          <w:bCs/>
          <w:iCs/>
          <w:sz w:val="22"/>
        </w:rPr>
        <w:t xml:space="preserve"> </w:t>
      </w:r>
      <w:r w:rsidRPr="0055625C">
        <w:rPr>
          <w:bCs/>
          <w:iCs/>
          <w:sz w:val="22"/>
        </w:rPr>
        <w:t>TCTGGCAGAATGCATGGAGGCT</w:t>
      </w:r>
      <w:r w:rsidRPr="0055625C">
        <w:rPr>
          <w:rFonts w:hint="eastAsia"/>
          <w:bCs/>
          <w:iCs/>
          <w:sz w:val="22"/>
        </w:rPr>
        <w:t xml:space="preserve"> </w:t>
      </w:r>
      <w:r w:rsidRPr="0055625C">
        <w:rPr>
          <w:bCs/>
          <w:iCs/>
          <w:sz w:val="22"/>
        </w:rPr>
        <w:t xml:space="preserve">3’; (Chung et al., 2007). One hundred ng of template DNA was used in a final reaction volume of 20 µl containing 10 </w:t>
      </w:r>
      <w:proofErr w:type="spellStart"/>
      <w:r w:rsidRPr="0055625C">
        <w:rPr>
          <w:bCs/>
          <w:iCs/>
          <w:sz w:val="22"/>
        </w:rPr>
        <w:t>mM</w:t>
      </w:r>
      <w:proofErr w:type="spellEnd"/>
      <w:r w:rsidRPr="0055625C">
        <w:rPr>
          <w:bCs/>
          <w:iCs/>
          <w:sz w:val="22"/>
        </w:rPr>
        <w:t xml:space="preserve"> </w:t>
      </w:r>
      <w:proofErr w:type="spellStart"/>
      <w:r w:rsidRPr="0055625C">
        <w:rPr>
          <w:bCs/>
          <w:iCs/>
          <w:sz w:val="22"/>
        </w:rPr>
        <w:t>Tris-HCl</w:t>
      </w:r>
      <w:proofErr w:type="spellEnd"/>
      <w:r w:rsidRPr="0055625C">
        <w:rPr>
          <w:bCs/>
          <w:iCs/>
          <w:sz w:val="22"/>
        </w:rPr>
        <w:t xml:space="preserve"> (pH 9.0), 40 </w:t>
      </w:r>
      <w:proofErr w:type="spellStart"/>
      <w:r w:rsidRPr="0055625C">
        <w:rPr>
          <w:bCs/>
          <w:iCs/>
          <w:sz w:val="22"/>
        </w:rPr>
        <w:t>mM</w:t>
      </w:r>
      <w:proofErr w:type="spellEnd"/>
      <w:r w:rsidRPr="0055625C">
        <w:rPr>
          <w:bCs/>
          <w:iCs/>
          <w:sz w:val="22"/>
        </w:rPr>
        <w:t xml:space="preserve"> </w:t>
      </w:r>
      <w:proofErr w:type="spellStart"/>
      <w:r w:rsidRPr="0055625C">
        <w:rPr>
          <w:bCs/>
          <w:iCs/>
          <w:sz w:val="22"/>
        </w:rPr>
        <w:t>KCl</w:t>
      </w:r>
      <w:proofErr w:type="spellEnd"/>
      <w:r w:rsidRPr="0055625C">
        <w:rPr>
          <w:bCs/>
          <w:iCs/>
          <w:sz w:val="22"/>
        </w:rPr>
        <w:t xml:space="preserve">, 1.5 </w:t>
      </w:r>
      <w:proofErr w:type="spellStart"/>
      <w:r w:rsidRPr="0055625C">
        <w:rPr>
          <w:bCs/>
          <w:iCs/>
          <w:sz w:val="22"/>
        </w:rPr>
        <w:t>mM</w:t>
      </w:r>
      <w:proofErr w:type="spellEnd"/>
      <w:r w:rsidRPr="0055625C">
        <w:rPr>
          <w:bCs/>
          <w:iCs/>
          <w:sz w:val="22"/>
        </w:rPr>
        <w:t xml:space="preserve"> MgCl2, 250 </w:t>
      </w:r>
      <w:proofErr w:type="spellStart"/>
      <w:r w:rsidRPr="0055625C">
        <w:rPr>
          <w:bCs/>
          <w:iCs/>
          <w:sz w:val="22"/>
        </w:rPr>
        <w:t>mM</w:t>
      </w:r>
      <w:proofErr w:type="spellEnd"/>
      <w:r w:rsidRPr="0055625C">
        <w:rPr>
          <w:bCs/>
          <w:iCs/>
          <w:sz w:val="22"/>
        </w:rPr>
        <w:t xml:space="preserve"> dNTP, 20 </w:t>
      </w:r>
      <w:proofErr w:type="spellStart"/>
      <w:r w:rsidRPr="0055625C">
        <w:rPr>
          <w:bCs/>
          <w:iCs/>
          <w:sz w:val="22"/>
        </w:rPr>
        <w:t>pmol</w:t>
      </w:r>
      <w:proofErr w:type="spellEnd"/>
      <w:r w:rsidRPr="0055625C">
        <w:rPr>
          <w:bCs/>
          <w:iCs/>
          <w:sz w:val="22"/>
        </w:rPr>
        <w:t xml:space="preserve"> of each primer, and 1U </w:t>
      </w:r>
      <w:proofErr w:type="spellStart"/>
      <w:r w:rsidRPr="0055625C">
        <w:rPr>
          <w:bCs/>
          <w:iCs/>
          <w:sz w:val="22"/>
        </w:rPr>
        <w:t>Taq</w:t>
      </w:r>
      <w:proofErr w:type="spellEnd"/>
      <w:r w:rsidRPr="0055625C">
        <w:rPr>
          <w:bCs/>
          <w:iCs/>
          <w:sz w:val="22"/>
        </w:rPr>
        <w:t xml:space="preserve"> DNA polymerase (</w:t>
      </w:r>
      <w:proofErr w:type="spellStart"/>
      <w:r w:rsidRPr="0055625C">
        <w:rPr>
          <w:bCs/>
          <w:iCs/>
          <w:sz w:val="22"/>
        </w:rPr>
        <w:t>Bioneer</w:t>
      </w:r>
      <w:proofErr w:type="spellEnd"/>
      <w:r w:rsidRPr="0055625C">
        <w:rPr>
          <w:bCs/>
          <w:iCs/>
          <w:sz w:val="22"/>
        </w:rPr>
        <w:t xml:space="preserve"> Corporation, CA, USA). PCR was carried out in a</w:t>
      </w:r>
      <w:r w:rsidRPr="0055625C">
        <w:rPr>
          <w:rFonts w:hint="eastAsia"/>
          <w:bCs/>
          <w:iCs/>
          <w:sz w:val="22"/>
        </w:rPr>
        <w:t xml:space="preserve"> thermal cycler </w:t>
      </w:r>
      <w:r w:rsidRPr="0055625C">
        <w:rPr>
          <w:bCs/>
          <w:iCs/>
          <w:sz w:val="22"/>
        </w:rPr>
        <w:t>(</w:t>
      </w:r>
      <w:r w:rsidRPr="0055625C">
        <w:rPr>
          <w:rFonts w:hint="eastAsia"/>
          <w:bCs/>
          <w:iCs/>
          <w:sz w:val="22"/>
        </w:rPr>
        <w:t>C1000TM</w:t>
      </w:r>
      <w:r w:rsidRPr="0055625C">
        <w:rPr>
          <w:bCs/>
          <w:iCs/>
          <w:sz w:val="22"/>
        </w:rPr>
        <w:t>;</w:t>
      </w:r>
      <w:r w:rsidRPr="0055625C">
        <w:rPr>
          <w:rFonts w:hint="eastAsia"/>
          <w:bCs/>
          <w:iCs/>
          <w:sz w:val="22"/>
        </w:rPr>
        <w:t xml:space="preserve"> Bio-Rad, S</w:t>
      </w:r>
      <w:r w:rsidRPr="0055625C">
        <w:rPr>
          <w:bCs/>
          <w:iCs/>
          <w:sz w:val="22"/>
        </w:rPr>
        <w:t xml:space="preserve">ingapore). The PCR was performed in two steps. The first step consisted of denaturation at 96°C for 5 min, annealing at 59°C for 1 min, and extension at 72°C for 1 min at the end of 4 cycles. </w:t>
      </w:r>
      <w:r w:rsidRPr="0055625C">
        <w:rPr>
          <w:bCs/>
          <w:iCs/>
          <w:sz w:val="22"/>
        </w:rPr>
        <w:lastRenderedPageBreak/>
        <w:t>The second step included denaturation at 96°C for 1 min, annealing at 59°C for 1 min, extension at 72°C for 1 min, followed by a final extension at 72°C for 10 min at the end of 30 cycles. Electrophoresis was performed at 93 V for 1 hour at 25°C</w:t>
      </w:r>
      <w:r w:rsidRPr="0055625C">
        <w:rPr>
          <w:rFonts w:hint="eastAsia"/>
          <w:bCs/>
          <w:iCs/>
          <w:sz w:val="22"/>
        </w:rPr>
        <w:t xml:space="preserve"> to</w:t>
      </w:r>
      <w:r w:rsidRPr="0055625C">
        <w:rPr>
          <w:bCs/>
          <w:iCs/>
          <w:sz w:val="22"/>
        </w:rPr>
        <w:t xml:space="preserve"> identif</w:t>
      </w:r>
      <w:r w:rsidRPr="0055625C">
        <w:rPr>
          <w:rFonts w:hint="eastAsia"/>
          <w:bCs/>
          <w:iCs/>
          <w:sz w:val="22"/>
        </w:rPr>
        <w:t>y</w:t>
      </w:r>
      <w:r w:rsidRPr="0055625C">
        <w:rPr>
          <w:bCs/>
          <w:iCs/>
          <w:sz w:val="22"/>
        </w:rPr>
        <w:t xml:space="preserve"> </w:t>
      </w:r>
      <w:r w:rsidRPr="0055625C">
        <w:rPr>
          <w:rFonts w:hint="eastAsia"/>
          <w:bCs/>
          <w:iCs/>
          <w:sz w:val="22"/>
        </w:rPr>
        <w:t>the</w:t>
      </w:r>
      <w:r w:rsidRPr="0055625C">
        <w:rPr>
          <w:bCs/>
          <w:iCs/>
          <w:sz w:val="22"/>
        </w:rPr>
        <w:t xml:space="preserve"> amplification </w:t>
      </w:r>
      <w:r w:rsidRPr="0055625C">
        <w:rPr>
          <w:rFonts w:hint="eastAsia"/>
          <w:bCs/>
          <w:iCs/>
          <w:sz w:val="22"/>
        </w:rPr>
        <w:t xml:space="preserve">fragments </w:t>
      </w:r>
      <w:r w:rsidRPr="0055625C">
        <w:rPr>
          <w:bCs/>
          <w:iCs/>
          <w:sz w:val="22"/>
        </w:rPr>
        <w:t xml:space="preserve">of the </w:t>
      </w:r>
      <w:proofErr w:type="spellStart"/>
      <w:r w:rsidRPr="0055625C">
        <w:rPr>
          <w:bCs/>
          <w:iCs/>
          <w:sz w:val="22"/>
        </w:rPr>
        <w:t>tmie</w:t>
      </w:r>
      <w:proofErr w:type="spellEnd"/>
      <w:r w:rsidRPr="0055625C">
        <w:rPr>
          <w:bCs/>
          <w:iCs/>
          <w:sz w:val="22"/>
        </w:rPr>
        <w:t xml:space="preserve"> gene fragment (Fig 1)</w:t>
      </w:r>
      <w:r w:rsidRPr="0055625C">
        <w:rPr>
          <w:rFonts w:hint="eastAsia"/>
          <w:bCs/>
          <w:iCs/>
          <w:sz w:val="22"/>
        </w:rPr>
        <w:t>.</w:t>
      </w:r>
    </w:p>
    <w:p w:rsidR="00A66AAA" w:rsidRDefault="00A66AAA" w:rsidP="00A66AAA">
      <w:pPr>
        <w:spacing w:line="480" w:lineRule="auto"/>
        <w:jc w:val="both"/>
        <w:rPr>
          <w:rFonts w:ascii="Arial" w:eastAsia="Malgun Gothic" w:hAnsi="Arial" w:cs="Arial"/>
          <w:b/>
          <w:sz w:val="22"/>
          <w:szCs w:val="22"/>
        </w:rPr>
      </w:pPr>
    </w:p>
    <w:p w:rsidR="00BE5C24" w:rsidRDefault="00BE5C24">
      <w:pPr>
        <w:spacing w:after="200"/>
        <w:rPr>
          <w:rFonts w:eastAsia="Gulim"/>
          <w:b/>
        </w:rPr>
      </w:pPr>
      <w:r>
        <w:rPr>
          <w:rFonts w:eastAsia="Gulim"/>
          <w:b/>
        </w:rPr>
        <w:br w:type="page"/>
      </w:r>
    </w:p>
    <w:p w:rsidR="0055625C" w:rsidRDefault="00EB7345" w:rsidP="00EB7345">
      <w:pPr>
        <w:spacing w:line="480" w:lineRule="auto"/>
        <w:rPr>
          <w:rFonts w:eastAsia="Gulim"/>
          <w:b/>
        </w:rPr>
      </w:pPr>
      <w:r>
        <w:rPr>
          <w:rFonts w:eastAsia="Gulim"/>
          <w:b/>
        </w:rPr>
        <w:lastRenderedPageBreak/>
        <w:t>Supplementary F</w:t>
      </w:r>
      <w:r w:rsidR="00CA3836" w:rsidRPr="0055625C">
        <w:rPr>
          <w:rFonts w:eastAsia="Gulim"/>
          <w:b/>
        </w:rPr>
        <w:t>igure</w:t>
      </w:r>
      <w:r w:rsidR="00BA445C">
        <w:rPr>
          <w:rFonts w:eastAsia="Gulim"/>
          <w:b/>
        </w:rPr>
        <w:t>s</w:t>
      </w:r>
    </w:p>
    <w:p w:rsidR="00EB7345" w:rsidRPr="00EB7345" w:rsidRDefault="00EB7345" w:rsidP="00EB7345">
      <w:pPr>
        <w:spacing w:line="480" w:lineRule="auto"/>
        <w:rPr>
          <w:rFonts w:eastAsia="Gulim"/>
          <w:b/>
          <w:sz w:val="16"/>
          <w:szCs w:val="16"/>
        </w:rPr>
      </w:pPr>
    </w:p>
    <w:p w:rsidR="00CA3836" w:rsidRPr="00DC4ED4" w:rsidRDefault="00EB7345" w:rsidP="00EB7345">
      <w:pPr>
        <w:spacing w:line="480" w:lineRule="auto"/>
        <w:jc w:val="both"/>
        <w:rPr>
          <w:b/>
          <w:sz w:val="22"/>
        </w:rPr>
      </w:pPr>
      <w:r>
        <w:rPr>
          <w:rFonts w:eastAsia="Gulim"/>
          <w:b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-321614</wp:posOffset>
            </wp:positionH>
            <wp:positionV relativeFrom="paragraph">
              <wp:posOffset>564183</wp:posOffset>
            </wp:positionV>
            <wp:extent cx="1477617" cy="1930478"/>
            <wp:effectExtent l="0" t="0" r="8890" b="0"/>
            <wp:wrapTight wrapText="bothSides">
              <wp:wrapPolygon edited="0">
                <wp:start x="0" y="0"/>
                <wp:lineTo x="0" y="21316"/>
                <wp:lineTo x="21451" y="21316"/>
                <wp:lineTo x="21451" y="0"/>
                <wp:lineTo x="0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1_PCR analysis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17" cy="1930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2"/>
        </w:rPr>
        <w:t>Supplementary fig</w:t>
      </w:r>
      <w:r w:rsidR="00CA3836" w:rsidRPr="00CA3836">
        <w:rPr>
          <w:b/>
          <w:sz w:val="22"/>
        </w:rPr>
        <w:t xml:space="preserve">. </w:t>
      </w:r>
      <w:bookmarkStart w:id="1" w:name="_GoBack"/>
      <w:bookmarkEnd w:id="1"/>
      <w:r>
        <w:rPr>
          <w:b/>
          <w:sz w:val="22"/>
        </w:rPr>
        <w:t>1.</w:t>
      </w:r>
      <w:proofErr w:type="gramEnd"/>
      <w:r>
        <w:rPr>
          <w:b/>
          <w:sz w:val="22"/>
        </w:rPr>
        <w:t xml:space="preserve"> </w:t>
      </w:r>
      <w:r w:rsidR="00CA3836" w:rsidRPr="00CA3836">
        <w:rPr>
          <w:b/>
          <w:sz w:val="22"/>
        </w:rPr>
        <w:t>PCR analysis of the</w:t>
      </w:r>
      <w:r w:rsidR="00CA3836" w:rsidRPr="00DC4ED4">
        <w:rPr>
          <w:b/>
          <w:i/>
          <w:sz w:val="22"/>
        </w:rPr>
        <w:t xml:space="preserve"> </w:t>
      </w:r>
      <w:proofErr w:type="spellStart"/>
      <w:r w:rsidR="00CA3836" w:rsidRPr="00DC4ED4">
        <w:rPr>
          <w:b/>
          <w:i/>
          <w:sz w:val="22"/>
        </w:rPr>
        <w:t>tmie</w:t>
      </w:r>
      <w:proofErr w:type="spellEnd"/>
      <w:r w:rsidR="00CA3836" w:rsidRPr="00CA3836">
        <w:rPr>
          <w:b/>
          <w:sz w:val="22"/>
        </w:rPr>
        <w:t xml:space="preserve"> ge</w:t>
      </w:r>
      <w:r>
        <w:rPr>
          <w:b/>
          <w:sz w:val="22"/>
        </w:rPr>
        <w:t xml:space="preserve">ne fragment in wild-type (+/+), </w:t>
      </w:r>
      <w:r w:rsidR="00CA3836" w:rsidRPr="00CA3836">
        <w:rPr>
          <w:b/>
          <w:sz w:val="22"/>
        </w:rPr>
        <w:t>heterozygous (+/</w:t>
      </w:r>
      <w:proofErr w:type="spellStart"/>
      <w:r w:rsidR="00CA3836" w:rsidRPr="00CA3836">
        <w:rPr>
          <w:b/>
          <w:sz w:val="22"/>
        </w:rPr>
        <w:t>cir</w:t>
      </w:r>
      <w:proofErr w:type="spellEnd"/>
      <w:r w:rsidR="00CA3836" w:rsidRPr="00CA3836">
        <w:rPr>
          <w:b/>
          <w:sz w:val="22"/>
        </w:rPr>
        <w:t>), and homozygous (</w:t>
      </w:r>
      <w:proofErr w:type="spellStart"/>
      <w:r w:rsidR="00CA3836" w:rsidRPr="00CA3836">
        <w:rPr>
          <w:b/>
          <w:sz w:val="22"/>
        </w:rPr>
        <w:t>cir</w:t>
      </w:r>
      <w:proofErr w:type="spellEnd"/>
      <w:r w:rsidR="00CA3836" w:rsidRPr="00CA3836">
        <w:rPr>
          <w:b/>
          <w:sz w:val="22"/>
        </w:rPr>
        <w:t>/</w:t>
      </w:r>
      <w:proofErr w:type="spellStart"/>
      <w:r w:rsidR="00CA3836" w:rsidRPr="00CA3836">
        <w:rPr>
          <w:b/>
          <w:sz w:val="22"/>
        </w:rPr>
        <w:t>cir</w:t>
      </w:r>
      <w:proofErr w:type="spellEnd"/>
      <w:r w:rsidR="00CA3836" w:rsidRPr="00CA3836">
        <w:rPr>
          <w:b/>
          <w:sz w:val="22"/>
        </w:rPr>
        <w:t>) mice.</w:t>
      </w:r>
      <w:r w:rsidR="00CA3836" w:rsidRPr="00DC4ED4">
        <w:rPr>
          <w:b/>
          <w:sz w:val="22"/>
        </w:rPr>
        <w:t xml:space="preserve"> </w:t>
      </w:r>
    </w:p>
    <w:p w:rsidR="0055625C" w:rsidRDefault="00CA3836" w:rsidP="00CA3836">
      <w:pPr>
        <w:adjustRightInd w:val="0"/>
        <w:snapToGrid w:val="0"/>
        <w:spacing w:line="480" w:lineRule="auto"/>
        <w:jc w:val="both"/>
        <w:rPr>
          <w:bCs/>
          <w:iCs/>
          <w:sz w:val="22"/>
        </w:rPr>
      </w:pPr>
      <w:r w:rsidRPr="00CA3836">
        <w:rPr>
          <w:bCs/>
          <w:iCs/>
          <w:sz w:val="22"/>
        </w:rPr>
        <w:t xml:space="preserve">Primer pairs designed for the sequences of the </w:t>
      </w:r>
      <w:proofErr w:type="spellStart"/>
      <w:r w:rsidRPr="00CA3836">
        <w:rPr>
          <w:bCs/>
          <w:i/>
          <w:iCs/>
          <w:sz w:val="22"/>
        </w:rPr>
        <w:t>tmie</w:t>
      </w:r>
      <w:proofErr w:type="spellEnd"/>
      <w:r w:rsidRPr="00CA3836">
        <w:rPr>
          <w:bCs/>
          <w:i/>
          <w:iCs/>
          <w:sz w:val="22"/>
        </w:rPr>
        <w:t xml:space="preserve"> </w:t>
      </w:r>
      <w:r w:rsidRPr="00CA3836">
        <w:rPr>
          <w:bCs/>
          <w:iCs/>
          <w:sz w:val="22"/>
        </w:rPr>
        <w:t xml:space="preserve">gene were used and an equivalent amount of each PCR reaction derived from each template were electrophoresed in each lanes of a 1.5% agarose gel. The expected </w:t>
      </w:r>
      <w:proofErr w:type="spellStart"/>
      <w:r w:rsidRPr="00CA3836">
        <w:rPr>
          <w:bCs/>
          <w:i/>
          <w:iCs/>
          <w:sz w:val="22"/>
        </w:rPr>
        <w:t>tmie</w:t>
      </w:r>
      <w:proofErr w:type="spellEnd"/>
      <w:r w:rsidRPr="00CA3836">
        <w:rPr>
          <w:bCs/>
          <w:i/>
          <w:iCs/>
          <w:sz w:val="22"/>
        </w:rPr>
        <w:t xml:space="preserve"> </w:t>
      </w:r>
      <w:r w:rsidRPr="00CA3836">
        <w:rPr>
          <w:bCs/>
          <w:iCs/>
          <w:sz w:val="22"/>
        </w:rPr>
        <w:t xml:space="preserve">gene products (562 </w:t>
      </w:r>
      <w:proofErr w:type="spellStart"/>
      <w:r w:rsidRPr="00CA3836">
        <w:rPr>
          <w:bCs/>
          <w:iCs/>
          <w:sz w:val="22"/>
        </w:rPr>
        <w:t>bp</w:t>
      </w:r>
      <w:proofErr w:type="spellEnd"/>
      <w:r w:rsidRPr="00CA3836">
        <w:rPr>
          <w:bCs/>
          <w:iCs/>
          <w:sz w:val="22"/>
        </w:rPr>
        <w:t>) representing the exon 1 coding region were amplified from the</w:t>
      </w:r>
      <w:r w:rsidRPr="00CA3836">
        <w:rPr>
          <w:rFonts w:hint="eastAsia"/>
          <w:bCs/>
          <w:iCs/>
          <w:sz w:val="22"/>
        </w:rPr>
        <w:t xml:space="preserve"> </w:t>
      </w:r>
      <w:r w:rsidRPr="00CA3836">
        <w:rPr>
          <w:bCs/>
          <w:iCs/>
          <w:sz w:val="22"/>
        </w:rPr>
        <w:t>+/+ and +/</w:t>
      </w:r>
      <w:proofErr w:type="spellStart"/>
      <w:r w:rsidRPr="00CA3836">
        <w:rPr>
          <w:bCs/>
          <w:iCs/>
          <w:sz w:val="22"/>
        </w:rPr>
        <w:t>cir</w:t>
      </w:r>
      <w:proofErr w:type="spellEnd"/>
      <w:r w:rsidRPr="00CA3836">
        <w:rPr>
          <w:bCs/>
          <w:iCs/>
          <w:sz w:val="22"/>
        </w:rPr>
        <w:t xml:space="preserve"> mice DNA, but not from </w:t>
      </w:r>
      <w:proofErr w:type="spellStart"/>
      <w:r w:rsidRPr="00CA3836">
        <w:rPr>
          <w:bCs/>
          <w:iCs/>
          <w:sz w:val="22"/>
        </w:rPr>
        <w:t>cir</w:t>
      </w:r>
      <w:proofErr w:type="spellEnd"/>
      <w:r w:rsidRPr="00CA3836">
        <w:rPr>
          <w:bCs/>
          <w:iCs/>
          <w:sz w:val="22"/>
        </w:rPr>
        <w:t>/</w:t>
      </w:r>
      <w:proofErr w:type="spellStart"/>
      <w:r w:rsidRPr="00CA3836">
        <w:rPr>
          <w:bCs/>
          <w:iCs/>
          <w:sz w:val="22"/>
        </w:rPr>
        <w:t>cir</w:t>
      </w:r>
      <w:proofErr w:type="spellEnd"/>
      <w:r w:rsidRPr="00CA3836">
        <w:rPr>
          <w:bCs/>
          <w:iCs/>
          <w:sz w:val="22"/>
        </w:rPr>
        <w:t xml:space="preserve"> mice DNA. Sizes of molecular standards are indicated on the left (in </w:t>
      </w:r>
      <w:proofErr w:type="spellStart"/>
      <w:r w:rsidRPr="00CA3836">
        <w:rPr>
          <w:bCs/>
          <w:iCs/>
          <w:sz w:val="22"/>
        </w:rPr>
        <w:t>bp</w:t>
      </w:r>
      <w:proofErr w:type="spellEnd"/>
      <w:r w:rsidRPr="00CA3836">
        <w:rPr>
          <w:bCs/>
          <w:iCs/>
          <w:sz w:val="22"/>
        </w:rPr>
        <w:t>).</w:t>
      </w:r>
    </w:p>
    <w:p w:rsidR="00CA3836" w:rsidRPr="00EB7345" w:rsidRDefault="00CA3836" w:rsidP="00EB7345">
      <w:pPr>
        <w:spacing w:line="480" w:lineRule="auto"/>
        <w:rPr>
          <w:rFonts w:eastAsia="Gulim"/>
          <w:sz w:val="16"/>
          <w:szCs w:val="16"/>
        </w:rPr>
      </w:pPr>
    </w:p>
    <w:p w:rsidR="00CA3836" w:rsidRPr="006A437B" w:rsidRDefault="00EB7345" w:rsidP="00CA3836">
      <w:pPr>
        <w:spacing w:line="480" w:lineRule="auto"/>
        <w:rPr>
          <w:b/>
          <w:sz w:val="22"/>
        </w:rPr>
      </w:pPr>
      <w:proofErr w:type="gramStart"/>
      <w:r>
        <w:rPr>
          <w:b/>
          <w:sz w:val="22"/>
        </w:rPr>
        <w:t>Supplementary fig</w:t>
      </w:r>
      <w:r w:rsidRPr="00CA3836">
        <w:rPr>
          <w:b/>
          <w:sz w:val="22"/>
        </w:rPr>
        <w:t xml:space="preserve">. </w:t>
      </w:r>
      <w:r>
        <w:rPr>
          <w:b/>
          <w:sz w:val="22"/>
        </w:rPr>
        <w:t>2.</w:t>
      </w:r>
      <w:proofErr w:type="gramEnd"/>
      <w:r>
        <w:rPr>
          <w:b/>
          <w:sz w:val="22"/>
        </w:rPr>
        <w:t xml:space="preserve"> </w:t>
      </w:r>
      <w:r w:rsidR="00CA3836" w:rsidRPr="006A437B">
        <w:rPr>
          <w:b/>
          <w:sz w:val="22"/>
        </w:rPr>
        <w:t xml:space="preserve">Expression of </w:t>
      </w:r>
      <w:proofErr w:type="spellStart"/>
      <w:r w:rsidR="00CA3836" w:rsidRPr="006A437B">
        <w:rPr>
          <w:b/>
          <w:sz w:val="22"/>
        </w:rPr>
        <w:t>CaBPs</w:t>
      </w:r>
      <w:proofErr w:type="spellEnd"/>
      <w:r w:rsidR="00CA3836" w:rsidRPr="006A437B">
        <w:rPr>
          <w:b/>
          <w:sz w:val="22"/>
        </w:rPr>
        <w:t xml:space="preserve"> in SOC of circling mice </w:t>
      </w:r>
    </w:p>
    <w:p w:rsidR="00CA3836" w:rsidRPr="006A437B" w:rsidRDefault="00EB7345" w:rsidP="00CA3836">
      <w:pPr>
        <w:adjustRightInd w:val="0"/>
        <w:snapToGrid w:val="0"/>
        <w:spacing w:line="480" w:lineRule="auto"/>
        <w:rPr>
          <w:bCs/>
          <w:iCs/>
          <w:sz w:val="22"/>
        </w:rPr>
      </w:pPr>
      <w:r>
        <w:rPr>
          <w:rFonts w:eastAsia="Gulim"/>
          <w:b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68166</wp:posOffset>
            </wp:positionV>
            <wp:extent cx="2295013" cy="1470075"/>
            <wp:effectExtent l="0" t="0" r="0" b="0"/>
            <wp:wrapTight wrapText="bothSides">
              <wp:wrapPolygon edited="0">
                <wp:start x="0" y="0"/>
                <wp:lineTo x="0" y="21273"/>
                <wp:lineTo x="21337" y="21273"/>
                <wp:lineTo x="21337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data 2 _WB-CaBPs graph.t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" t="6283" r="7880" b="5142"/>
                    <a:stretch/>
                  </pic:blipFill>
                  <pic:spPr bwMode="auto">
                    <a:xfrm>
                      <a:off x="0" y="0"/>
                      <a:ext cx="2295013" cy="147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3836" w:rsidRPr="006A437B">
        <w:rPr>
          <w:bCs/>
          <w:iCs/>
          <w:sz w:val="22"/>
        </w:rPr>
        <w:t>Western blot analysis was used to detect the ex</w:t>
      </w:r>
      <w:r w:rsidR="00CA3836">
        <w:rPr>
          <w:bCs/>
          <w:iCs/>
          <w:sz w:val="22"/>
        </w:rPr>
        <w:t>p</w:t>
      </w:r>
      <w:r w:rsidR="00CA3836" w:rsidRPr="006A437B">
        <w:rPr>
          <w:bCs/>
          <w:iCs/>
          <w:sz w:val="22"/>
        </w:rPr>
        <w:t xml:space="preserve">ressions of </w:t>
      </w:r>
      <w:proofErr w:type="spellStart"/>
      <w:r w:rsidR="00CA3836" w:rsidRPr="006A437B">
        <w:rPr>
          <w:bCs/>
          <w:iCs/>
          <w:sz w:val="22"/>
        </w:rPr>
        <w:t>CaBPs</w:t>
      </w:r>
      <w:proofErr w:type="spellEnd"/>
      <w:r w:rsidR="00CA3836" w:rsidRPr="006A437B">
        <w:rPr>
          <w:bCs/>
          <w:iCs/>
          <w:sz w:val="22"/>
        </w:rPr>
        <w:t xml:space="preserve"> in homogenates of brain stem region containing SOC in P16 +/+, +/</w:t>
      </w:r>
      <w:proofErr w:type="spellStart"/>
      <w:r w:rsidR="00CA3836" w:rsidRPr="006A437B">
        <w:rPr>
          <w:bCs/>
          <w:iCs/>
          <w:sz w:val="22"/>
        </w:rPr>
        <w:t>cir</w:t>
      </w:r>
      <w:proofErr w:type="spellEnd"/>
      <w:r w:rsidR="00CA3836" w:rsidRPr="006A437B">
        <w:rPr>
          <w:bCs/>
          <w:iCs/>
          <w:sz w:val="22"/>
        </w:rPr>
        <w:t xml:space="preserve">, and </w:t>
      </w:r>
      <w:proofErr w:type="spellStart"/>
      <w:r w:rsidR="00CA3836" w:rsidRPr="006A437B">
        <w:rPr>
          <w:bCs/>
          <w:iCs/>
          <w:sz w:val="22"/>
        </w:rPr>
        <w:t>cir</w:t>
      </w:r>
      <w:proofErr w:type="spellEnd"/>
      <w:r w:rsidR="00CA3836" w:rsidRPr="006A437B">
        <w:rPr>
          <w:bCs/>
          <w:iCs/>
          <w:sz w:val="22"/>
        </w:rPr>
        <w:t>/</w:t>
      </w:r>
      <w:proofErr w:type="spellStart"/>
      <w:r w:rsidR="00CA3836" w:rsidRPr="006A437B">
        <w:rPr>
          <w:bCs/>
          <w:iCs/>
          <w:sz w:val="22"/>
        </w:rPr>
        <w:t>cir</w:t>
      </w:r>
      <w:proofErr w:type="spellEnd"/>
      <w:r w:rsidR="00CA3836" w:rsidRPr="006A437B">
        <w:rPr>
          <w:bCs/>
          <w:iCs/>
          <w:sz w:val="22"/>
        </w:rPr>
        <w:t xml:space="preserve"> mice. The expression levels of </w:t>
      </w:r>
      <w:proofErr w:type="spellStart"/>
      <w:r w:rsidR="00CA3836" w:rsidRPr="006A437B">
        <w:rPr>
          <w:bCs/>
          <w:iCs/>
          <w:sz w:val="22"/>
        </w:rPr>
        <w:t>CaBPs</w:t>
      </w:r>
      <w:proofErr w:type="spellEnd"/>
      <w:r w:rsidR="00CA3836" w:rsidRPr="006A437B">
        <w:rPr>
          <w:bCs/>
          <w:iCs/>
          <w:sz w:val="22"/>
        </w:rPr>
        <w:t xml:space="preserve"> were quantified with the Image Studio software (Li-</w:t>
      </w:r>
      <w:proofErr w:type="spellStart"/>
      <w:r w:rsidR="00CA3836" w:rsidRPr="006A437B">
        <w:rPr>
          <w:bCs/>
          <w:iCs/>
          <w:sz w:val="22"/>
        </w:rPr>
        <w:t>Cor</w:t>
      </w:r>
      <w:proofErr w:type="spellEnd"/>
      <w:r w:rsidR="00CA3836" w:rsidRPr="006A437B">
        <w:rPr>
          <w:bCs/>
          <w:iCs/>
          <w:sz w:val="22"/>
        </w:rPr>
        <w:t xml:space="preserve">, USA). Statistical analysis was carried out by one-way ANOVA with Bonferroni's post-hoc test using </w:t>
      </w:r>
      <w:proofErr w:type="spellStart"/>
      <w:r w:rsidR="00CA3836" w:rsidRPr="006A437B">
        <w:rPr>
          <w:bCs/>
          <w:iCs/>
          <w:sz w:val="22"/>
        </w:rPr>
        <w:t>GraphPad</w:t>
      </w:r>
      <w:proofErr w:type="spellEnd"/>
      <w:r w:rsidR="00CA3836" w:rsidRPr="006A437B">
        <w:rPr>
          <w:bCs/>
          <w:iCs/>
          <w:sz w:val="22"/>
        </w:rPr>
        <w:t xml:space="preserve"> Prism (</w:t>
      </w:r>
      <w:proofErr w:type="spellStart"/>
      <w:r w:rsidR="00CA3836" w:rsidRPr="006A437B">
        <w:rPr>
          <w:bCs/>
          <w:iCs/>
          <w:sz w:val="22"/>
        </w:rPr>
        <w:t>GraphPad</w:t>
      </w:r>
      <w:proofErr w:type="spellEnd"/>
      <w:r w:rsidR="00CA3836" w:rsidRPr="006A437B">
        <w:rPr>
          <w:bCs/>
          <w:iCs/>
          <w:sz w:val="22"/>
        </w:rPr>
        <w:t xml:space="preserve"> Software, USA). </w:t>
      </w:r>
      <w:proofErr w:type="gramStart"/>
      <w:r w:rsidR="00CA3836" w:rsidRPr="0055625C">
        <w:rPr>
          <w:bCs/>
          <w:i/>
          <w:iCs/>
          <w:sz w:val="22"/>
        </w:rPr>
        <w:t>p</w:t>
      </w:r>
      <w:proofErr w:type="gramEnd"/>
      <w:r w:rsidR="00CA3836" w:rsidRPr="006A437B">
        <w:rPr>
          <w:bCs/>
          <w:iCs/>
          <w:sz w:val="22"/>
        </w:rPr>
        <w:t xml:space="preserve">&lt; 0.05 was considered significant. </w:t>
      </w:r>
      <w:r w:rsidR="0055625C">
        <w:rPr>
          <w:bCs/>
          <w:iCs/>
          <w:sz w:val="22"/>
        </w:rPr>
        <w:t xml:space="preserve">Values are </w:t>
      </w:r>
      <w:proofErr w:type="spellStart"/>
      <w:r w:rsidR="0055625C">
        <w:rPr>
          <w:bCs/>
          <w:iCs/>
          <w:sz w:val="22"/>
        </w:rPr>
        <w:t>mean</w:t>
      </w:r>
      <w:r w:rsidR="00CA3836" w:rsidRPr="006A437B">
        <w:rPr>
          <w:bCs/>
          <w:iCs/>
          <w:sz w:val="22"/>
        </w:rPr>
        <w:t>±SD</w:t>
      </w:r>
      <w:proofErr w:type="spellEnd"/>
      <w:r w:rsidR="00CA3836" w:rsidRPr="006A437B">
        <w:rPr>
          <w:bCs/>
          <w:iCs/>
          <w:sz w:val="22"/>
        </w:rPr>
        <w:t xml:space="preserve"> (n=6). *</w:t>
      </w:r>
      <w:r w:rsidR="00CA3836" w:rsidRPr="0055625C">
        <w:rPr>
          <w:bCs/>
          <w:i/>
          <w:iCs/>
          <w:sz w:val="22"/>
        </w:rPr>
        <w:t>p</w:t>
      </w:r>
      <w:r w:rsidR="00CA3836" w:rsidRPr="006A437B">
        <w:rPr>
          <w:bCs/>
          <w:iCs/>
          <w:sz w:val="22"/>
        </w:rPr>
        <w:t>&lt;0.05, **</w:t>
      </w:r>
      <w:r w:rsidR="00CA3836" w:rsidRPr="0055625C">
        <w:rPr>
          <w:bCs/>
          <w:i/>
          <w:iCs/>
          <w:sz w:val="22"/>
        </w:rPr>
        <w:t>p</w:t>
      </w:r>
      <w:r w:rsidR="00CA3836" w:rsidRPr="006A437B">
        <w:rPr>
          <w:bCs/>
          <w:iCs/>
          <w:sz w:val="22"/>
        </w:rPr>
        <w:t>&lt;0.01, and ***</w:t>
      </w:r>
      <w:r w:rsidR="00CA3836" w:rsidRPr="0055625C">
        <w:rPr>
          <w:bCs/>
          <w:i/>
          <w:iCs/>
          <w:sz w:val="22"/>
        </w:rPr>
        <w:t>p</w:t>
      </w:r>
      <w:r w:rsidR="00CA3836" w:rsidRPr="006A437B">
        <w:rPr>
          <w:bCs/>
          <w:iCs/>
          <w:sz w:val="22"/>
        </w:rPr>
        <w:t>&lt;0.001 compared with +/+ mice.</w:t>
      </w:r>
    </w:p>
    <w:p w:rsidR="00A66AAA" w:rsidRPr="00CA3836" w:rsidRDefault="00A66AAA" w:rsidP="00A66AAA">
      <w:pPr>
        <w:adjustRightInd w:val="0"/>
        <w:snapToGrid w:val="0"/>
        <w:spacing w:line="480" w:lineRule="auto"/>
        <w:ind w:firstLine="288"/>
        <w:jc w:val="both"/>
        <w:rPr>
          <w:rFonts w:ascii="Arial" w:hAnsi="Arial" w:cs="Arial"/>
          <w:sz w:val="22"/>
          <w:szCs w:val="22"/>
        </w:rPr>
      </w:pPr>
    </w:p>
    <w:p w:rsidR="00382836" w:rsidRDefault="00382836"/>
    <w:sectPr w:rsidR="00382836" w:rsidSect="00D26F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52" w:rsidRDefault="00182052" w:rsidP="00340C87">
      <w:r>
        <w:separator/>
      </w:r>
    </w:p>
  </w:endnote>
  <w:endnote w:type="continuationSeparator" w:id="0">
    <w:p w:rsidR="00182052" w:rsidRDefault="00182052" w:rsidP="0034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87" w:rsidRDefault="00340C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24686"/>
      <w:docPartObj>
        <w:docPartGallery w:val="Page Numbers (Bottom of Page)"/>
        <w:docPartUnique/>
      </w:docPartObj>
    </w:sdtPr>
    <w:sdtEndPr/>
    <w:sdtContent>
      <w:p w:rsidR="00340C87" w:rsidRDefault="00340C8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45C" w:rsidRPr="00BA445C">
          <w:rPr>
            <w:noProof/>
            <w:lang w:val="ko-KR"/>
          </w:rPr>
          <w:t>2</w:t>
        </w:r>
        <w:r>
          <w:fldChar w:fldCharType="end"/>
        </w:r>
      </w:p>
    </w:sdtContent>
  </w:sdt>
  <w:p w:rsidR="00340C87" w:rsidRDefault="00340C8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87" w:rsidRDefault="00340C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52" w:rsidRDefault="00182052" w:rsidP="00340C87">
      <w:r>
        <w:separator/>
      </w:r>
    </w:p>
  </w:footnote>
  <w:footnote w:type="continuationSeparator" w:id="0">
    <w:p w:rsidR="00182052" w:rsidRDefault="00182052" w:rsidP="0034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87" w:rsidRDefault="00340C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87" w:rsidRDefault="00340C8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87" w:rsidRDefault="00340C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59E8"/>
    <w:multiLevelType w:val="multilevel"/>
    <w:tmpl w:val="B598F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AA"/>
    <w:rsid w:val="00037079"/>
    <w:rsid w:val="00092BBD"/>
    <w:rsid w:val="00182052"/>
    <w:rsid w:val="00340C87"/>
    <w:rsid w:val="00382836"/>
    <w:rsid w:val="0055625C"/>
    <w:rsid w:val="00676145"/>
    <w:rsid w:val="00A66AAA"/>
    <w:rsid w:val="00BA445C"/>
    <w:rsid w:val="00BE5C24"/>
    <w:rsid w:val="00CA3836"/>
    <w:rsid w:val="00D26F5A"/>
    <w:rsid w:val="00DC215D"/>
    <w:rsid w:val="00DC4ED4"/>
    <w:rsid w:val="00EB73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AAA"/>
    <w:pPr>
      <w:spacing w:after="0"/>
    </w:pPr>
    <w:rPr>
      <w:rFonts w:ascii="Times New Roman" w:eastAsia="Batang" w:hAnsi="Times New Roman" w:cs="Times New Roman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25C"/>
    <w:pPr>
      <w:ind w:leftChars="400" w:left="800"/>
    </w:pPr>
  </w:style>
  <w:style w:type="paragraph" w:styleId="Kopfzeile">
    <w:name w:val="header"/>
    <w:basedOn w:val="Standard"/>
    <w:link w:val="KopfzeileZchn"/>
    <w:uiPriority w:val="99"/>
    <w:unhideWhenUsed/>
    <w:rsid w:val="00340C87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40C87"/>
    <w:rPr>
      <w:rFonts w:ascii="Times New Roman" w:eastAsia="Batang" w:hAnsi="Times New Roman" w:cs="Times New Roman"/>
      <w:lang w:eastAsia="ko-KR"/>
    </w:rPr>
  </w:style>
  <w:style w:type="paragraph" w:styleId="Fuzeile">
    <w:name w:val="footer"/>
    <w:basedOn w:val="Standard"/>
    <w:link w:val="FuzeileZchn"/>
    <w:uiPriority w:val="99"/>
    <w:unhideWhenUsed/>
    <w:rsid w:val="00340C87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340C87"/>
    <w:rPr>
      <w:rFonts w:ascii="Times New Roman" w:eastAsia="Batang" w:hAnsi="Times New Roman" w:cs="Times New Roman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AAA"/>
    <w:pPr>
      <w:spacing w:after="0"/>
    </w:pPr>
    <w:rPr>
      <w:rFonts w:ascii="Times New Roman" w:eastAsia="Batang" w:hAnsi="Times New Roman" w:cs="Times New Roman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25C"/>
    <w:pPr>
      <w:ind w:leftChars="400" w:left="800"/>
    </w:pPr>
  </w:style>
  <w:style w:type="paragraph" w:styleId="Kopfzeile">
    <w:name w:val="header"/>
    <w:basedOn w:val="Standard"/>
    <w:link w:val="KopfzeileZchn"/>
    <w:uiPriority w:val="99"/>
    <w:unhideWhenUsed/>
    <w:rsid w:val="00340C87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40C87"/>
    <w:rPr>
      <w:rFonts w:ascii="Times New Roman" w:eastAsia="Batang" w:hAnsi="Times New Roman" w:cs="Times New Roman"/>
      <w:lang w:eastAsia="ko-KR"/>
    </w:rPr>
  </w:style>
  <w:style w:type="paragraph" w:styleId="Fuzeile">
    <w:name w:val="footer"/>
    <w:basedOn w:val="Standard"/>
    <w:link w:val="FuzeileZchn"/>
    <w:uiPriority w:val="99"/>
    <w:unhideWhenUsed/>
    <w:rsid w:val="00340C87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340C87"/>
    <w:rPr>
      <w:rFonts w:ascii="Times New Roman" w:eastAsia="Batang" w:hAnsi="Times New Roman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E861-7223-45D9-A9AC-4029DC39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2694</Characters>
  <Application>Microsoft Office Word</Application>
  <DocSecurity>0</DocSecurity>
  <Lines>22</Lines>
  <Paragraphs>6</Paragraphs>
  <ScaleCrop>false</ScaleCrop>
  <Company>RWMP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Dhirajonu Maskey</dc:creator>
  <cp:keywords/>
  <dc:description/>
  <cp:lastModifiedBy>naefp</cp:lastModifiedBy>
  <cp:revision>11</cp:revision>
  <dcterms:created xsi:type="dcterms:W3CDTF">2016-04-06T10:25:00Z</dcterms:created>
  <dcterms:modified xsi:type="dcterms:W3CDTF">2017-08-04T12:52:00Z</dcterms:modified>
</cp:coreProperties>
</file>