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B774" w14:textId="3A81E099" w:rsidR="006B4E76" w:rsidRPr="00487373" w:rsidRDefault="006B4E76" w:rsidP="00402B13">
      <w:pPr>
        <w:pStyle w:val="PSHeading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7373">
        <w:rPr>
          <w:rFonts w:ascii="Times New Roman" w:hAnsi="Times New Roman" w:cs="Times New Roman"/>
          <w:sz w:val="20"/>
          <w:szCs w:val="20"/>
        </w:rPr>
        <w:t>Supplementary tables and figures</w:t>
      </w:r>
    </w:p>
    <w:p w14:paraId="04E2E464" w14:textId="77777777" w:rsidR="006B4E76" w:rsidRPr="00487373" w:rsidRDefault="006B4E76" w:rsidP="00402B13">
      <w:pPr>
        <w:pStyle w:val="PSHeading2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0F607E90" w14:textId="77777777" w:rsidR="006B4E76" w:rsidRPr="00487373" w:rsidRDefault="006B4E76" w:rsidP="00402B13">
      <w:pPr>
        <w:pStyle w:val="PSHeading2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Supplementary Table S1.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Major inclusion and exclusion criteria for each study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65"/>
      </w:tblGrid>
      <w:tr w:rsidR="006B4E76" w:rsidRPr="00487373" w14:paraId="5F5C2B45" w14:textId="77777777" w:rsidTr="009F2670">
        <w:tc>
          <w:tcPr>
            <w:tcW w:w="9061" w:type="dxa"/>
            <w:gridSpan w:val="2"/>
          </w:tcPr>
          <w:p w14:paraId="03E41091" w14:textId="77777777" w:rsidR="006B4E76" w:rsidRPr="00487373" w:rsidRDefault="006B4E76" w:rsidP="00A93B5D">
            <w:pPr>
              <w:pStyle w:val="PSTextX1space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Inclusion criteria</w:t>
            </w:r>
          </w:p>
        </w:tc>
      </w:tr>
      <w:tr w:rsidR="006B4E76" w:rsidRPr="00487373" w14:paraId="11B39C6D" w14:textId="77777777" w:rsidTr="009F2670">
        <w:tc>
          <w:tcPr>
            <w:tcW w:w="1696" w:type="dxa"/>
          </w:tcPr>
          <w:p w14:paraId="6DF4D06D" w14:textId="77777777" w:rsidR="006B4E76" w:rsidRPr="00487373" w:rsidRDefault="006B4E76" w:rsidP="00A93B5D">
            <w:pPr>
              <w:pStyle w:val="PSTextX1space"/>
              <w:tabs>
                <w:tab w:val="left" w:pos="454"/>
              </w:tabs>
              <w:spacing w:before="0" w:after="120"/>
              <w:ind w:left="596" w:hanging="596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All studies</w:t>
            </w:r>
          </w:p>
        </w:tc>
        <w:tc>
          <w:tcPr>
            <w:tcW w:w="7365" w:type="dxa"/>
          </w:tcPr>
          <w:p w14:paraId="63ECE80C" w14:textId="10E26C1F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adults with a diagnosis of adult-onset rheumatoid arthritis (RA) as defined by the American College of Rheumatology/European League Against Rheumatism 2010 criteria for the classification of </w:t>
            </w:r>
            <w:proofErr w:type="spellStart"/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</w:t>
            </w:r>
            <w:r w:rsidR="00C67934" w:rsidRPr="00A93B5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ja-JP"/>
              </w:rPr>
              <w:t>a</w:t>
            </w:r>
            <w:proofErr w:type="spellEnd"/>
          </w:p>
          <w:p w14:paraId="128EF758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moderately to severely active RA defined as the presence of ≥6/68 tender joints and ≥6/66 swollen joints</w:t>
            </w:r>
          </w:p>
        </w:tc>
      </w:tr>
      <w:tr w:rsidR="006B4E76" w:rsidRPr="00487373" w14:paraId="0523DD36" w14:textId="77777777" w:rsidTr="009F2670">
        <w:tc>
          <w:tcPr>
            <w:tcW w:w="1696" w:type="dxa"/>
          </w:tcPr>
          <w:p w14:paraId="3284B094" w14:textId="77777777" w:rsidR="006B4E76" w:rsidRPr="00487373" w:rsidRDefault="006B4E76" w:rsidP="00A93B5D">
            <w:pPr>
              <w:pStyle w:val="PSTextX1space"/>
              <w:tabs>
                <w:tab w:val="left" w:pos="454"/>
              </w:tabs>
              <w:spacing w:before="0" w:after="120"/>
              <w:ind w:left="596" w:hanging="596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RA-BEGIN</w:t>
            </w:r>
          </w:p>
        </w:tc>
        <w:tc>
          <w:tcPr>
            <w:tcW w:w="7365" w:type="dxa"/>
          </w:tcPr>
          <w:p w14:paraId="2776F356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previously had no or limited treatment with methotrexate, and no treatment with other conventional synthetic DMARDs</w:t>
            </w:r>
          </w:p>
          <w:p w14:paraId="1961EE5B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previously had no prior biologic disease-modifying antirheumatic drug (DMARD) use</w:t>
            </w:r>
          </w:p>
          <w:p w14:paraId="5D01D0CE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were rheumatoid factor or anti-cyclic citrullinated peptide antibody positive</w:t>
            </w:r>
          </w:p>
          <w:p w14:paraId="29B44E12" w14:textId="77777777" w:rsidR="006B4E76" w:rsidRPr="00487373" w:rsidRDefault="006B4E76" w:rsidP="00A93B5D">
            <w:pPr>
              <w:pStyle w:val="SOTxt1"/>
              <w:spacing w:after="144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had an hsCRP (high-sensitivity C-reactive protein) measurement </w:t>
            </w: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br/>
              <w:t>≥1.2 x the upper limit of normal</w:t>
            </w:r>
          </w:p>
        </w:tc>
      </w:tr>
      <w:tr w:rsidR="006B4E76" w:rsidRPr="00487373" w14:paraId="5A5062F2" w14:textId="77777777" w:rsidTr="009F2670">
        <w:tc>
          <w:tcPr>
            <w:tcW w:w="1696" w:type="dxa"/>
          </w:tcPr>
          <w:p w14:paraId="4BEA1DD5" w14:textId="77777777" w:rsidR="006B4E76" w:rsidRPr="00487373" w:rsidRDefault="006B4E76" w:rsidP="00A93B5D">
            <w:pPr>
              <w:pStyle w:val="PSTextX1space"/>
              <w:tabs>
                <w:tab w:val="left" w:pos="454"/>
              </w:tabs>
              <w:spacing w:before="0" w:after="120"/>
              <w:ind w:left="596" w:hanging="596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RA-BEAM</w:t>
            </w:r>
          </w:p>
        </w:tc>
        <w:tc>
          <w:tcPr>
            <w:tcW w:w="7365" w:type="dxa"/>
          </w:tcPr>
          <w:p w14:paraId="6F875D93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an inadequate response to methotrexate</w:t>
            </w:r>
          </w:p>
          <w:p w14:paraId="371DD181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background methotrexate therapy remained stable</w:t>
            </w:r>
          </w:p>
          <w:p w14:paraId="0DFB1A82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previously had no prior biologic DMARD use</w:t>
            </w:r>
          </w:p>
          <w:p w14:paraId="75349C21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at least 3 joint erosions, or at least 1 joint erosion and were rheumatoid factor or anti-CCP antibody positive</w:t>
            </w:r>
          </w:p>
          <w:p w14:paraId="7E5692F3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an hsCRP measurement of ≥6 mg/L</w:t>
            </w:r>
          </w:p>
        </w:tc>
      </w:tr>
      <w:tr w:rsidR="006B4E76" w:rsidRPr="00487373" w14:paraId="2BA7F706" w14:textId="77777777" w:rsidTr="009F2670">
        <w:tc>
          <w:tcPr>
            <w:tcW w:w="1696" w:type="dxa"/>
          </w:tcPr>
          <w:p w14:paraId="58F0C2B1" w14:textId="77777777" w:rsidR="006B4E76" w:rsidRPr="00487373" w:rsidRDefault="006B4E76" w:rsidP="00A93B5D">
            <w:pPr>
              <w:pStyle w:val="PSTextX1space"/>
              <w:tabs>
                <w:tab w:val="left" w:pos="454"/>
              </w:tabs>
              <w:spacing w:before="0" w:after="120"/>
              <w:ind w:left="596" w:hanging="596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RA-BUILD</w:t>
            </w:r>
          </w:p>
        </w:tc>
        <w:tc>
          <w:tcPr>
            <w:tcW w:w="7365" w:type="dxa"/>
          </w:tcPr>
          <w:p w14:paraId="2769E5E8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an inadequate response or were intolerant to ≥1 conventional synthetic DMARD</w:t>
            </w:r>
          </w:p>
          <w:p w14:paraId="24A5B473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background conventional synthetic DMARD therapy remained stable</w:t>
            </w:r>
          </w:p>
          <w:p w14:paraId="040857FA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previously had no prior biologic DMARD use</w:t>
            </w:r>
          </w:p>
          <w:p w14:paraId="4F23CE23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had an </w:t>
            </w:r>
            <w:proofErr w:type="spellStart"/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hs</w:t>
            </w:r>
            <w:proofErr w:type="spellEnd"/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-CRP measurement ≥1.2 x the upper limit of normal</w:t>
            </w:r>
          </w:p>
        </w:tc>
      </w:tr>
      <w:tr w:rsidR="006B4E76" w:rsidRPr="00487373" w14:paraId="42AB9EE5" w14:textId="77777777" w:rsidTr="009F2670">
        <w:tc>
          <w:tcPr>
            <w:tcW w:w="1696" w:type="dxa"/>
          </w:tcPr>
          <w:p w14:paraId="65BC60A4" w14:textId="77777777" w:rsidR="006B4E76" w:rsidRPr="00487373" w:rsidRDefault="006B4E76" w:rsidP="00A93B5D">
            <w:pPr>
              <w:pStyle w:val="PSTextX1space"/>
              <w:tabs>
                <w:tab w:val="left" w:pos="454"/>
              </w:tabs>
              <w:spacing w:before="0" w:after="120"/>
              <w:ind w:left="596" w:hanging="596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RA-BEACON</w:t>
            </w:r>
          </w:p>
        </w:tc>
        <w:tc>
          <w:tcPr>
            <w:tcW w:w="7365" w:type="dxa"/>
          </w:tcPr>
          <w:p w14:paraId="06D46E04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failed treatment at an approved dose with ≥1 biologic tumor necrosis factor inhibitor (experienced insufficient efficacy or were intolerant to treatment)</w:t>
            </w:r>
          </w:p>
          <w:p w14:paraId="1E8D3B4A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were</w:t>
            </w:r>
            <w:proofErr w:type="spellEnd"/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receiving stable doses of background conventional synthetic DMARD therapy</w:t>
            </w:r>
          </w:p>
          <w:p w14:paraId="2B284353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had an hsCRP measurement &gt;1 x the upper limit of normal</w:t>
            </w:r>
          </w:p>
        </w:tc>
      </w:tr>
      <w:tr w:rsidR="006B4E76" w:rsidRPr="00487373" w14:paraId="683FE55D" w14:textId="77777777" w:rsidTr="009F2670">
        <w:tc>
          <w:tcPr>
            <w:tcW w:w="9061" w:type="dxa"/>
            <w:gridSpan w:val="2"/>
          </w:tcPr>
          <w:p w14:paraId="4CFB8591" w14:textId="77777777" w:rsidR="006B4E76" w:rsidRPr="00487373" w:rsidRDefault="006B4E76" w:rsidP="00A93B5D">
            <w:pPr>
              <w:pStyle w:val="SOTxt1"/>
              <w:numPr>
                <w:ilvl w:val="0"/>
                <w:numId w:val="0"/>
              </w:numPr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Exclusion criteria</w:t>
            </w:r>
          </w:p>
        </w:tc>
      </w:tr>
      <w:tr w:rsidR="006B4E76" w:rsidRPr="00487373" w14:paraId="64C374A1" w14:textId="77777777" w:rsidTr="009F2670">
        <w:tc>
          <w:tcPr>
            <w:tcW w:w="1696" w:type="dxa"/>
          </w:tcPr>
          <w:p w14:paraId="764F0AE1" w14:textId="77777777" w:rsidR="006B4E76" w:rsidRPr="00487373" w:rsidRDefault="006B4E76" w:rsidP="00A93B5D">
            <w:pPr>
              <w:pStyle w:val="PSTextX1space"/>
              <w:tabs>
                <w:tab w:val="left" w:pos="454"/>
              </w:tabs>
              <w:spacing w:before="0" w:after="120"/>
              <w:ind w:left="596" w:hanging="596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All studies</w:t>
            </w:r>
          </w:p>
        </w:tc>
        <w:tc>
          <w:tcPr>
            <w:tcW w:w="7365" w:type="dxa"/>
          </w:tcPr>
          <w:p w14:paraId="516161BB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specific abnormal laboratory results, including</w:t>
            </w:r>
          </w:p>
          <w:p w14:paraId="1FEF36DA" w14:textId="77777777" w:rsidR="006B4E76" w:rsidRPr="00487373" w:rsidRDefault="006B4E76" w:rsidP="00A93B5D">
            <w:pPr>
              <w:pStyle w:val="SOTxt1"/>
              <w:numPr>
                <w:ilvl w:val="1"/>
                <w:numId w:val="1"/>
              </w:numPr>
              <w:tabs>
                <w:tab w:val="num" w:pos="1026"/>
              </w:tabs>
              <w:spacing w:before="0" w:after="120"/>
              <w:ind w:left="1026" w:hanging="284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aspartate aminotransferase or alanine aminotransferase level &gt;1.5 times the upper limit of normal</w:t>
            </w:r>
          </w:p>
          <w:p w14:paraId="3717FC99" w14:textId="77777777" w:rsidR="006B4E76" w:rsidRPr="00487373" w:rsidRDefault="006B4E76" w:rsidP="00A93B5D">
            <w:pPr>
              <w:pStyle w:val="SOTxt1"/>
              <w:numPr>
                <w:ilvl w:val="1"/>
                <w:numId w:val="1"/>
              </w:numPr>
              <w:tabs>
                <w:tab w:val="num" w:pos="1026"/>
              </w:tabs>
              <w:spacing w:before="0" w:after="120"/>
              <w:ind w:left="1026" w:hanging="284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total bilirubin ≥1.5 times the upper limit of normal</w:t>
            </w:r>
          </w:p>
          <w:p w14:paraId="2E424449" w14:textId="77777777" w:rsidR="006B4E76" w:rsidRPr="00487373" w:rsidRDefault="006B4E76" w:rsidP="00A93B5D">
            <w:pPr>
              <w:pStyle w:val="SOTxt1"/>
              <w:numPr>
                <w:ilvl w:val="1"/>
                <w:numId w:val="1"/>
              </w:numPr>
              <w:tabs>
                <w:tab w:val="num" w:pos="1026"/>
              </w:tabs>
              <w:spacing w:before="0" w:after="120"/>
              <w:ind w:left="1026" w:hanging="284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neutropenia (absolute neutrophil count &lt;1200 cells/µL)</w:t>
            </w:r>
          </w:p>
          <w:p w14:paraId="3F428208" w14:textId="77777777" w:rsidR="006B4E76" w:rsidRPr="00487373" w:rsidRDefault="006B4E76" w:rsidP="00A93B5D">
            <w:pPr>
              <w:pStyle w:val="SOTxt1"/>
              <w:numPr>
                <w:ilvl w:val="1"/>
                <w:numId w:val="1"/>
              </w:numPr>
              <w:tabs>
                <w:tab w:val="num" w:pos="1026"/>
              </w:tabs>
              <w:spacing w:before="0" w:after="120"/>
              <w:ind w:left="1026" w:hanging="284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thrombocytopenia (platelet count &lt;100,000/µL)</w:t>
            </w:r>
          </w:p>
          <w:p w14:paraId="75833AC1" w14:textId="77777777" w:rsidR="006B4E76" w:rsidRPr="00487373" w:rsidRDefault="006B4E76" w:rsidP="00A93B5D">
            <w:pPr>
              <w:pStyle w:val="SOTxt1"/>
              <w:numPr>
                <w:ilvl w:val="1"/>
                <w:numId w:val="1"/>
              </w:numPr>
              <w:tabs>
                <w:tab w:val="num" w:pos="1026"/>
              </w:tabs>
              <w:spacing w:before="0" w:after="120"/>
              <w:ind w:left="1026" w:hanging="284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estimated glomerular filtration rate &lt;40 mL/min/1.73m</w:t>
            </w:r>
            <w:r w:rsidRPr="0048737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ja-JP"/>
              </w:rPr>
              <w:t>2</w:t>
            </w: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(estimated using the Modification of Diet in Renal Disease equation)</w:t>
            </w:r>
          </w:p>
          <w:p w14:paraId="4671F3C0" w14:textId="77777777" w:rsidR="006B4E76" w:rsidRPr="00487373" w:rsidRDefault="006B4E76" w:rsidP="00402B13">
            <w:pPr>
              <w:pStyle w:val="SOTxt1"/>
              <w:spacing w:before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current or recent clinically significant comorbidity, including infection</w:t>
            </w:r>
          </w:p>
          <w:p w14:paraId="1CA0ED7C" w14:textId="77777777" w:rsidR="006B4E76" w:rsidRPr="00487373" w:rsidRDefault="006B4E76" w:rsidP="00A93B5D">
            <w:pPr>
              <w:pStyle w:val="SOTxt1"/>
              <w:spacing w:before="0" w:after="12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evidence of latent tuberculosis, unless patients completed ≥4 weeks of appropriate treatment before randomization</w:t>
            </w:r>
          </w:p>
        </w:tc>
      </w:tr>
    </w:tbl>
    <w:p w14:paraId="6B598734" w14:textId="2A6668EE" w:rsidR="006B4E76" w:rsidRPr="00487373" w:rsidRDefault="00C67934" w:rsidP="00402B13">
      <w:pPr>
        <w:pStyle w:val="SOTxt1"/>
        <w:numPr>
          <w:ilvl w:val="0"/>
          <w:numId w:val="0"/>
        </w:numPr>
        <w:spacing w:after="120"/>
        <w:rPr>
          <w:sz w:val="20"/>
          <w:szCs w:val="20"/>
          <w:lang w:val="en-US" w:eastAsia="ja-JP"/>
        </w:rPr>
        <w:sectPr w:rsidR="006B4E76" w:rsidRPr="00487373" w:rsidSect="00402B13">
          <w:footerReference w:type="default" r:id="rId8"/>
          <w:pgSz w:w="11907" w:h="16840" w:code="9"/>
          <w:pgMar w:top="1134" w:right="1418" w:bottom="1134" w:left="1418" w:header="0" w:footer="0" w:gutter="0"/>
          <w:cols w:space="708"/>
          <w:docGrid w:linePitch="360"/>
        </w:sectPr>
      </w:pPr>
      <w:r w:rsidRPr="000B1474">
        <w:rPr>
          <w:rFonts w:ascii="Times New Roman" w:hAnsi="Times New Roman" w:cs="Times New Roman"/>
          <w:sz w:val="20"/>
          <w:szCs w:val="20"/>
          <w:vertAlign w:val="superscript"/>
          <w:lang w:val="en-US" w:eastAsia="ja-JP"/>
        </w:rPr>
        <w:t>a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Aletaha D, </w:t>
      </w:r>
      <w:proofErr w:type="spellStart"/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Neogi</w:t>
      </w:r>
      <w:proofErr w:type="spellEnd"/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T, </w:t>
      </w:r>
      <w:proofErr w:type="spellStart"/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Silman</w:t>
      </w:r>
      <w:proofErr w:type="spellEnd"/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AJ, et al. 2010 Rheumatoid arthritis classification criteria: An American College of Rheumatology/European League Against Rheumatism collaborative initiative. Ann Rheum Dis 2010; 69: 1580-1588.</w:t>
      </w:r>
      <w:r w:rsidR="006B4E76" w:rsidRPr="00487373">
        <w:rPr>
          <w:sz w:val="20"/>
          <w:szCs w:val="20"/>
          <w:lang w:val="en-US" w:eastAsia="ja-JP"/>
        </w:rPr>
        <w:br w:type="page"/>
      </w:r>
    </w:p>
    <w:p w14:paraId="64A4B6EC" w14:textId="77777777" w:rsidR="006B4E76" w:rsidRPr="00487373" w:rsidRDefault="006B4E76" w:rsidP="000B1474">
      <w:pPr>
        <w:spacing w:after="120"/>
        <w:rPr>
          <w:rFonts w:eastAsia="ＭＳ 明朝"/>
          <w:sz w:val="20"/>
          <w:szCs w:val="20"/>
        </w:rPr>
      </w:pPr>
      <w:r w:rsidRPr="00487373">
        <w:rPr>
          <w:rFonts w:eastAsia="ＭＳ 明朝"/>
          <w:b/>
          <w:sz w:val="20"/>
          <w:szCs w:val="20"/>
          <w:lang w:val="en-US"/>
        </w:rPr>
        <w:lastRenderedPageBreak/>
        <w:t xml:space="preserve">Supplementary </w:t>
      </w:r>
      <w:r w:rsidRPr="00487373">
        <w:rPr>
          <w:rFonts w:eastAsia="ＭＳ 明朝"/>
          <w:b/>
          <w:sz w:val="20"/>
          <w:szCs w:val="20"/>
        </w:rPr>
        <w:t xml:space="preserve">Table S2. </w:t>
      </w:r>
      <w:r w:rsidRPr="00A93B5D">
        <w:rPr>
          <w:rFonts w:eastAsia="ＭＳ 明朝"/>
          <w:sz w:val="20"/>
          <w:szCs w:val="20"/>
        </w:rPr>
        <w:t>Summary of</w:t>
      </w:r>
      <w:r w:rsidRPr="00A93B5D">
        <w:rPr>
          <w:rFonts w:eastAsia="ＭＳ 明朝"/>
          <w:sz w:val="20"/>
          <w:szCs w:val="20"/>
          <w:lang w:eastAsia="ja-JP"/>
        </w:rPr>
        <w:t xml:space="preserve"> ACR</w:t>
      </w:r>
      <w:r w:rsidRPr="00A93B5D">
        <w:rPr>
          <w:rFonts w:eastAsia="ＭＳ 明朝"/>
          <w:sz w:val="20"/>
          <w:szCs w:val="20"/>
        </w:rPr>
        <w:t xml:space="preserve"> measures</w:t>
      </w:r>
      <w:r w:rsidRPr="00A93B5D">
        <w:rPr>
          <w:rFonts w:eastAsia="ＭＳ 明朝"/>
          <w:sz w:val="20"/>
          <w:szCs w:val="20"/>
          <w:lang w:eastAsia="ja-JP"/>
        </w:rPr>
        <w:t xml:space="preserve"> for Japanese patients in RA-BEGIN at Weeks 24 and 52</w:t>
      </w:r>
    </w:p>
    <w:tbl>
      <w:tblPr>
        <w:tblStyle w:val="TableGrid1"/>
        <w:tblW w:w="4443" w:type="pct"/>
        <w:tblLook w:val="04A0" w:firstRow="1" w:lastRow="0" w:firstColumn="1" w:lastColumn="0" w:noHBand="0" w:noVBand="1"/>
      </w:tblPr>
      <w:tblGrid>
        <w:gridCol w:w="3128"/>
        <w:gridCol w:w="1216"/>
        <w:gridCol w:w="1660"/>
        <w:gridCol w:w="1994"/>
        <w:gridCol w:w="307"/>
        <w:gridCol w:w="1622"/>
        <w:gridCol w:w="1507"/>
        <w:gridCol w:w="2018"/>
      </w:tblGrid>
      <w:tr w:rsidR="006B4E76" w:rsidRPr="00487373" w14:paraId="13F3E784" w14:textId="77777777" w:rsidTr="000B1474">
        <w:trPr>
          <w:cantSplit/>
          <w:tblHeader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A5E44" w14:textId="67F7C4DD" w:rsidR="006B4E76" w:rsidRPr="00487373" w:rsidRDefault="00F17D9F" w:rsidP="000B1474">
            <w:pPr>
              <w:spacing w:before="0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Variable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F2B1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Week 24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43F9C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916FD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Week 52</w:t>
            </w:r>
          </w:p>
        </w:tc>
      </w:tr>
      <w:tr w:rsidR="006B4E76" w:rsidRPr="00487373" w14:paraId="4EFD096D" w14:textId="77777777" w:rsidTr="000B1474">
        <w:trPr>
          <w:cantSplit/>
          <w:tblHeader/>
        </w:trPr>
        <w:tc>
          <w:tcPr>
            <w:tcW w:w="1163" w:type="pct"/>
            <w:tcBorders>
              <w:top w:val="nil"/>
              <w:left w:val="nil"/>
              <w:right w:val="nil"/>
            </w:tcBorders>
          </w:tcPr>
          <w:p w14:paraId="0F05733F" w14:textId="1FB11823" w:rsidR="006B4E76" w:rsidRPr="00487373" w:rsidRDefault="006B4E76" w:rsidP="000B1474">
            <w:pPr>
              <w:spacing w:before="0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2E58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MTX</w:t>
            </w:r>
          </w:p>
          <w:p w14:paraId="58CBEA8B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 = 36)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1BE6C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</w:t>
            </w:r>
          </w:p>
          <w:p w14:paraId="52230C9A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(N=29)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741D8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 + MTX</w:t>
            </w:r>
          </w:p>
          <w:p w14:paraId="1C95C367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 = 39)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8760848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87F09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MTX</w:t>
            </w:r>
          </w:p>
          <w:p w14:paraId="639E3DA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  <w:lang w:eastAsia="en-US"/>
              </w:rPr>
              <w:t>(N = 36)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12C01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</w:t>
            </w:r>
          </w:p>
          <w:p w14:paraId="4FF1FC8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  <w:lang w:eastAsia="en-US"/>
              </w:rPr>
              <w:t>(N=29)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0A80C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 + MTX</w:t>
            </w:r>
          </w:p>
          <w:p w14:paraId="29EB9D4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  <w:lang w:eastAsia="en-US"/>
              </w:rPr>
              <w:t>(N = 39)</w:t>
            </w:r>
          </w:p>
        </w:tc>
      </w:tr>
      <w:tr w:rsidR="006B4E76" w:rsidRPr="00487373" w14:paraId="0C9B935F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7EA0" w14:textId="77777777" w:rsidR="006B4E76" w:rsidRPr="00487373" w:rsidRDefault="006B4E76" w:rsidP="000B1474">
            <w:pPr>
              <w:pStyle w:val="PSTextX1space"/>
              <w:spacing w:befor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ACR20 </w:t>
            </w: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Pr="00487373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rate, NRI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9ACC5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5E9F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9D5D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D8DD852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08BF9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67C3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07282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6B4E76" w:rsidRPr="00487373" w14:paraId="1D4A5C24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15018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Number (%) of patients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857A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25 (69)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F9494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21 (72)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C3E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 xml:space="preserve">28 </w:t>
            </w:r>
            <w:r w:rsidRPr="00487373">
              <w:rPr>
                <w:rFonts w:eastAsia="MSMincho"/>
                <w:sz w:val="20"/>
                <w:szCs w:val="20"/>
                <w:lang w:eastAsia="ja-JP"/>
              </w:rPr>
              <w:t>(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72)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422EB84D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3DD6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23 (6</w:t>
            </w:r>
            <w:r w:rsidRPr="00487373">
              <w:rPr>
                <w:rFonts w:eastAsia="CourierNew,Bold"/>
                <w:bCs/>
                <w:sz w:val="20"/>
                <w:szCs w:val="20"/>
                <w:lang w:eastAsia="ja-JP"/>
              </w:rPr>
              <w:t>4</w:t>
            </w: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E08BE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20 (69)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23E3C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28 (7</w:t>
            </w:r>
            <w:r w:rsidRPr="00487373">
              <w:rPr>
                <w:rFonts w:eastAsia="CourierNew,Bold"/>
                <w:bCs/>
                <w:sz w:val="20"/>
                <w:szCs w:val="20"/>
                <w:lang w:eastAsia="ja-JP"/>
              </w:rPr>
              <w:t>2</w:t>
            </w: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6B4E76" w:rsidRPr="00487373" w14:paraId="4F6245A6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8A79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MTX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230B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23BB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.794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826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.824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77C51EC6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A9A13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A664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.668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1BD9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.465</w:t>
            </w:r>
          </w:p>
        </w:tc>
      </w:tr>
      <w:tr w:rsidR="006B4E76" w:rsidRPr="00487373" w14:paraId="7313827E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C7DA" w14:textId="77777777" w:rsidR="006B4E76" w:rsidRPr="00487373" w:rsidRDefault="006B4E76" w:rsidP="000B1474">
            <w:pPr>
              <w:pStyle w:val="PSTextX1space"/>
              <w:spacing w:befor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eastAsia="ＭＳ 明朝" w:hAnsi="Times New Roman" w:cs="Times New Roman"/>
                <w:sz w:val="20"/>
                <w:szCs w:val="20"/>
              </w:rPr>
              <w:t>ACR50 response rate, NRI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A1CD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2ABC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5279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229E68A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1C45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384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613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6B4E76" w:rsidRPr="00487373" w14:paraId="1102015E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218FA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Number (%) of patients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51CBD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 xml:space="preserve">20 </w:t>
            </w:r>
            <w:r w:rsidRPr="00487373">
              <w:rPr>
                <w:rFonts w:eastAsia="MSMincho"/>
                <w:sz w:val="20"/>
                <w:szCs w:val="20"/>
                <w:lang w:eastAsia="ja-JP"/>
              </w:rPr>
              <w:t>(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56)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C6A69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16 (55)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AF96A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21 (54)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783F24FB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AA58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13 (36)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C0DE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15 (5</w:t>
            </w:r>
            <w:r w:rsidRPr="00487373">
              <w:rPr>
                <w:rFonts w:eastAsia="CourierNew,Bold"/>
                <w:bCs/>
                <w:sz w:val="20"/>
                <w:szCs w:val="20"/>
                <w:lang w:eastAsia="ja-JP"/>
              </w:rPr>
              <w:t>2</w:t>
            </w: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E8C1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25 (64)</w:t>
            </w:r>
          </w:p>
        </w:tc>
      </w:tr>
      <w:tr w:rsidR="006B4E76" w:rsidRPr="00487373" w14:paraId="10A5D4F3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310B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MTX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27D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57F4E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.970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88EA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.883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B3E279E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8B1F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02357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.210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89CD8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.017</w:t>
            </w:r>
          </w:p>
        </w:tc>
      </w:tr>
      <w:tr w:rsidR="006B4E76" w:rsidRPr="00487373" w14:paraId="7A522BB8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36E2" w14:textId="77777777" w:rsidR="006B4E76" w:rsidRPr="00487373" w:rsidRDefault="006B4E76" w:rsidP="000B1474">
            <w:pPr>
              <w:pStyle w:val="PSTextX1space"/>
              <w:spacing w:befor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eastAsia="ＭＳ 明朝" w:hAnsi="Times New Roman" w:cs="Times New Roman"/>
                <w:sz w:val="20"/>
                <w:szCs w:val="20"/>
              </w:rPr>
              <w:t>ACR70 response rate, NRI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565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92F95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05A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5D6BA231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19A8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EC11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1E3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6B4E76" w:rsidRPr="00487373" w14:paraId="01B63A7A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1D97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Number (%) of patients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00B7D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11 (3</w:t>
            </w:r>
            <w:r w:rsidRPr="00487373">
              <w:rPr>
                <w:rFonts w:eastAsia="MSMincho"/>
                <w:sz w:val="20"/>
                <w:szCs w:val="20"/>
                <w:lang w:eastAsia="en-US"/>
              </w:rPr>
              <w:t>1</w:t>
            </w:r>
            <w:r w:rsidRPr="00487373">
              <w:rPr>
                <w:rFonts w:eastAsia="MSMincho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87E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 xml:space="preserve">15 </w:t>
            </w:r>
            <w:r w:rsidRPr="00487373">
              <w:rPr>
                <w:rFonts w:eastAsia="MSMincho"/>
                <w:sz w:val="20"/>
                <w:szCs w:val="20"/>
                <w:lang w:eastAsia="ja-JP"/>
              </w:rPr>
              <w:t>(</w:t>
            </w:r>
            <w:r w:rsidRPr="00487373">
              <w:rPr>
                <w:rFonts w:eastAsia="ＭＳ 明朝"/>
                <w:sz w:val="20"/>
                <w:szCs w:val="20"/>
                <w:lang w:eastAsia="en-US"/>
              </w:rPr>
              <w:t>5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2)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E24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 xml:space="preserve">19 </w:t>
            </w:r>
            <w:r w:rsidRPr="00487373">
              <w:rPr>
                <w:rFonts w:eastAsia="MSMincho"/>
                <w:sz w:val="20"/>
                <w:szCs w:val="20"/>
                <w:lang w:eastAsia="ja-JP"/>
              </w:rPr>
              <w:t>(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4</w:t>
            </w:r>
            <w:r w:rsidRPr="00487373">
              <w:rPr>
                <w:rFonts w:eastAsia="ＭＳ 明朝"/>
                <w:sz w:val="20"/>
                <w:szCs w:val="20"/>
                <w:lang w:eastAsia="en-US"/>
              </w:rPr>
              <w:t>9</w:t>
            </w:r>
            <w:r w:rsidRPr="00487373">
              <w:rPr>
                <w:rFonts w:eastAsia="MSMincho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6BD6F33D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E4F57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10 (2</w:t>
            </w:r>
            <w:r w:rsidRPr="00487373">
              <w:rPr>
                <w:rFonts w:eastAsia="CourierNew,Bold"/>
                <w:bCs/>
                <w:sz w:val="20"/>
                <w:szCs w:val="20"/>
                <w:lang w:eastAsia="ja-JP"/>
              </w:rPr>
              <w:t>8</w:t>
            </w: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90E6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9 (31)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AEA9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19 (4</w:t>
            </w:r>
            <w:r w:rsidRPr="00487373">
              <w:rPr>
                <w:rFonts w:eastAsia="CourierNew,Bold"/>
                <w:bCs/>
                <w:sz w:val="20"/>
                <w:szCs w:val="20"/>
                <w:lang w:eastAsia="ja-JP"/>
              </w:rPr>
              <w:t>9</w:t>
            </w: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6B4E76" w:rsidRPr="00487373" w14:paraId="4150BE99" w14:textId="77777777" w:rsidTr="000B1474">
        <w:trPr>
          <w:trHeight w:val="397"/>
        </w:trPr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E0CD2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MTX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EBE77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DB478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.086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1463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.112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0B307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11325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8592B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.776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1A196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.066</w:t>
            </w:r>
          </w:p>
        </w:tc>
      </w:tr>
    </w:tbl>
    <w:p w14:paraId="6F7C40F2" w14:textId="4D2A497F" w:rsidR="006B4E76" w:rsidRPr="00487373" w:rsidRDefault="006B4E76" w:rsidP="00941D51">
      <w:pPr>
        <w:tabs>
          <w:tab w:val="center" w:pos="4320"/>
          <w:tab w:val="right" w:pos="8640"/>
        </w:tabs>
        <w:spacing w:after="120"/>
        <w:ind w:right="1388"/>
        <w:rPr>
          <w:rFonts w:eastAsia="ＭＳ 明朝"/>
          <w:sz w:val="20"/>
          <w:szCs w:val="20"/>
        </w:rPr>
      </w:pPr>
      <w:r w:rsidRPr="00487373">
        <w:rPr>
          <w:rFonts w:eastAsia="ＭＳ 明朝"/>
          <w:sz w:val="20"/>
          <w:szCs w:val="20"/>
          <w:lang w:eastAsia="ja-JP"/>
        </w:rPr>
        <w:t>ACR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American College of Rheumatology; ACR20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American College of Rheumatology 20% improvement;</w:t>
      </w:r>
      <w:r w:rsidRPr="00487373">
        <w:rPr>
          <w:sz w:val="20"/>
          <w:szCs w:val="20"/>
        </w:rPr>
        <w:t xml:space="preserve"> </w:t>
      </w:r>
      <w:r w:rsidRPr="00487373">
        <w:rPr>
          <w:rFonts w:eastAsia="ＭＳ 明朝"/>
          <w:sz w:val="20"/>
          <w:szCs w:val="20"/>
          <w:lang w:eastAsia="ja-JP"/>
        </w:rPr>
        <w:t>ACR50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American College of Rheumatology 50% improvement;</w:t>
      </w:r>
      <w:r w:rsidRPr="00487373">
        <w:rPr>
          <w:sz w:val="20"/>
          <w:szCs w:val="20"/>
        </w:rPr>
        <w:t xml:space="preserve"> </w:t>
      </w:r>
      <w:r w:rsidRPr="00487373">
        <w:rPr>
          <w:rFonts w:eastAsia="ＭＳ 明朝"/>
          <w:sz w:val="20"/>
          <w:szCs w:val="20"/>
          <w:lang w:eastAsia="ja-JP"/>
        </w:rPr>
        <w:t>ACR70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American College of Rheumatology 70% improvement; BARI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baricitinib; MTX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methotrexate; NRI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non-responder imputation.</w:t>
      </w:r>
      <w:r w:rsidRPr="00487373">
        <w:rPr>
          <w:sz w:val="20"/>
          <w:szCs w:val="20"/>
          <w:lang w:val="en-US" w:eastAsia="ja-JP"/>
        </w:rPr>
        <w:br w:type="page"/>
      </w:r>
      <w:r w:rsidRPr="00487373">
        <w:rPr>
          <w:rFonts w:eastAsia="ＭＳ 明朝"/>
          <w:b/>
          <w:sz w:val="20"/>
          <w:szCs w:val="20"/>
          <w:lang w:val="en-US"/>
        </w:rPr>
        <w:lastRenderedPageBreak/>
        <w:t xml:space="preserve">Supplementary </w:t>
      </w:r>
      <w:r w:rsidRPr="00487373">
        <w:rPr>
          <w:rFonts w:eastAsia="ＭＳ 明朝"/>
          <w:b/>
          <w:sz w:val="20"/>
          <w:szCs w:val="20"/>
        </w:rPr>
        <w:t xml:space="preserve">Table S3. </w:t>
      </w:r>
      <w:r w:rsidRPr="00A93B5D">
        <w:rPr>
          <w:rFonts w:eastAsia="ＭＳ 明朝"/>
          <w:sz w:val="20"/>
          <w:szCs w:val="20"/>
        </w:rPr>
        <w:t>Summary of</w:t>
      </w:r>
      <w:r w:rsidRPr="00A93B5D">
        <w:rPr>
          <w:rFonts w:eastAsia="ＭＳ 明朝"/>
          <w:sz w:val="20"/>
          <w:szCs w:val="20"/>
          <w:lang w:eastAsia="ja-JP"/>
        </w:rPr>
        <w:t xml:space="preserve"> ACR</w:t>
      </w:r>
      <w:r w:rsidRPr="00A93B5D">
        <w:rPr>
          <w:rFonts w:eastAsia="ＭＳ 明朝"/>
          <w:sz w:val="20"/>
          <w:szCs w:val="20"/>
        </w:rPr>
        <w:t xml:space="preserve"> measures</w:t>
      </w:r>
      <w:r w:rsidRPr="00A93B5D">
        <w:rPr>
          <w:rFonts w:eastAsia="ＭＳ 明朝"/>
          <w:sz w:val="20"/>
          <w:szCs w:val="20"/>
          <w:lang w:eastAsia="ja-JP"/>
        </w:rPr>
        <w:t xml:space="preserve"> for the Japanese patients in RA-BEAM at Weeks 12, 24 and 52</w:t>
      </w:r>
    </w:p>
    <w:tbl>
      <w:tblPr>
        <w:tblStyle w:val="TableGrid1"/>
        <w:tblW w:w="4707" w:type="pct"/>
        <w:tblLook w:val="04A0" w:firstRow="1" w:lastRow="0" w:firstColumn="1" w:lastColumn="0" w:noHBand="0" w:noVBand="1"/>
      </w:tblPr>
      <w:tblGrid>
        <w:gridCol w:w="3063"/>
        <w:gridCol w:w="1260"/>
        <w:gridCol w:w="1297"/>
        <w:gridCol w:w="1300"/>
        <w:gridCol w:w="291"/>
        <w:gridCol w:w="1217"/>
        <w:gridCol w:w="1522"/>
        <w:gridCol w:w="1300"/>
        <w:gridCol w:w="257"/>
        <w:gridCol w:w="1365"/>
        <w:gridCol w:w="1379"/>
      </w:tblGrid>
      <w:tr w:rsidR="006B4E76" w:rsidRPr="00487373" w14:paraId="066CDA25" w14:textId="77777777" w:rsidTr="000B1474">
        <w:trPr>
          <w:cantSplit/>
          <w:trHeight w:val="397"/>
          <w:tblHeader/>
        </w:trPr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4679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9615F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Week 12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695D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EB6B6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Week 24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4560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4682A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Week 52</w:t>
            </w:r>
          </w:p>
        </w:tc>
      </w:tr>
      <w:tr w:rsidR="006B4E76" w:rsidRPr="00487373" w14:paraId="11F48562" w14:textId="77777777" w:rsidTr="000B1474">
        <w:trPr>
          <w:cantSplit/>
          <w:trHeight w:val="397"/>
          <w:tblHeader/>
        </w:trPr>
        <w:tc>
          <w:tcPr>
            <w:tcW w:w="1075" w:type="pct"/>
            <w:tcBorders>
              <w:top w:val="nil"/>
              <w:left w:val="nil"/>
              <w:right w:val="nil"/>
            </w:tcBorders>
          </w:tcPr>
          <w:p w14:paraId="18F96A7A" w14:textId="77777777" w:rsidR="006B4E76" w:rsidRPr="00487373" w:rsidRDefault="006B4E76" w:rsidP="000B1474">
            <w:pPr>
              <w:spacing w:before="0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Variable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6842B" w14:textId="77777777" w:rsidR="006B4E76" w:rsidRPr="00487373" w:rsidRDefault="006B4E76" w:rsidP="000B1474">
            <w:pPr>
              <w:pStyle w:val="PSTextX1space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PBO</w:t>
            </w:r>
          </w:p>
          <w:p w14:paraId="64B921C9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(N=93)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216C1" w14:textId="77777777" w:rsidR="006B4E76" w:rsidRPr="00487373" w:rsidRDefault="006B4E76" w:rsidP="000B1474">
            <w:pPr>
              <w:pStyle w:val="PSTextX1space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BARI 4-mg</w:t>
            </w:r>
          </w:p>
          <w:p w14:paraId="413FB1D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(N=93)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5989C" w14:textId="77777777" w:rsidR="006B4E76" w:rsidRPr="00487373" w:rsidRDefault="006B4E76" w:rsidP="000B1474">
            <w:pPr>
              <w:pStyle w:val="PSTextX1space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  <w:p w14:paraId="5D0C71E9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(N=63)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417ADE4C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EDD9B" w14:textId="77777777" w:rsidR="006B4E76" w:rsidRPr="00487373" w:rsidRDefault="006B4E76" w:rsidP="000B1474">
            <w:pPr>
              <w:pStyle w:val="PSTextX1space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PBO</w:t>
            </w:r>
          </w:p>
          <w:p w14:paraId="4C784E89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(N=93)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9C5B2" w14:textId="77777777" w:rsidR="006B4E76" w:rsidRPr="00487373" w:rsidRDefault="006B4E76" w:rsidP="000B1474">
            <w:pPr>
              <w:pStyle w:val="PSTextX1space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BARI 4-mg</w:t>
            </w:r>
          </w:p>
          <w:p w14:paraId="7AD21507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(N=93)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A5CD" w14:textId="77777777" w:rsidR="006B4E76" w:rsidRPr="00487373" w:rsidRDefault="006B4E76" w:rsidP="000B1474">
            <w:pPr>
              <w:pStyle w:val="PSTextX1space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  <w:p w14:paraId="374E97D8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(N=63)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4024C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90CBA" w14:textId="77777777" w:rsidR="006B4E76" w:rsidRPr="00487373" w:rsidRDefault="006B4E76" w:rsidP="000B1474">
            <w:pPr>
              <w:pStyle w:val="PSTextX1space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BARI 4-mg</w:t>
            </w:r>
          </w:p>
          <w:p w14:paraId="43EA23B9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(N=93)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9361E" w14:textId="77777777" w:rsidR="006B4E76" w:rsidRPr="00487373" w:rsidRDefault="006B4E76" w:rsidP="000B1474">
            <w:pPr>
              <w:pStyle w:val="PSTextX1space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  <w:p w14:paraId="474DE26F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(N=63)</w:t>
            </w:r>
          </w:p>
        </w:tc>
      </w:tr>
      <w:tr w:rsidR="006B4E76" w:rsidRPr="00487373" w14:paraId="1986FD8C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B7E5" w14:textId="77777777" w:rsidR="006B4E76" w:rsidRPr="00487373" w:rsidRDefault="006B4E76" w:rsidP="000B1474">
            <w:pPr>
              <w:pStyle w:val="PSTextX1space"/>
              <w:spacing w:befor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ACR20 </w:t>
            </w: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Pr="00487373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rate, NRI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74CE57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CCD1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F43A3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6A69B0BC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DFFF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0FD71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47D51B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74CCB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9D55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DB7E3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6B4E76" w:rsidRPr="00487373" w14:paraId="46A6FA33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A259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Number (%) of patients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1CE7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  <w:lang w:eastAsia="en-US"/>
              </w:rPr>
              <w:t>32</w:t>
            </w:r>
            <w:r w:rsidRPr="00487373">
              <w:rPr>
                <w:sz w:val="20"/>
                <w:szCs w:val="20"/>
                <w:lang w:eastAsia="ja-JP"/>
              </w:rPr>
              <w:t xml:space="preserve"> </w:t>
            </w:r>
            <w:r w:rsidRPr="00487373">
              <w:rPr>
                <w:rFonts w:eastAsia="MSMincho"/>
                <w:sz w:val="20"/>
                <w:szCs w:val="20"/>
                <w:lang w:eastAsia="ja-JP"/>
              </w:rPr>
              <w:t>(</w:t>
            </w:r>
            <w:r w:rsidRPr="00487373">
              <w:rPr>
                <w:sz w:val="20"/>
                <w:szCs w:val="20"/>
                <w:lang w:eastAsia="en-US"/>
              </w:rPr>
              <w:t>34</w:t>
            </w:r>
            <w:r w:rsidRPr="00487373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FAB54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  <w:lang w:eastAsia="en-US"/>
              </w:rPr>
              <w:t>62</w:t>
            </w:r>
            <w:r w:rsidRPr="00487373">
              <w:rPr>
                <w:sz w:val="20"/>
                <w:szCs w:val="20"/>
                <w:lang w:eastAsia="ja-JP"/>
              </w:rPr>
              <w:t xml:space="preserve"> (67)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6E17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38 (60)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61D82126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A2DF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sz w:val="20"/>
                <w:szCs w:val="20"/>
              </w:rPr>
              <w:t>28 (30)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065A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sz w:val="20"/>
                <w:szCs w:val="20"/>
              </w:rPr>
              <w:t>70 (75)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6D28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43 (68)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75CB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B3B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</w:rPr>
              <w:t>65 (</w:t>
            </w:r>
            <w:r w:rsidRPr="00487373">
              <w:rPr>
                <w:sz w:val="20"/>
                <w:szCs w:val="20"/>
                <w:lang w:eastAsia="ja-JP"/>
              </w:rPr>
              <w:t>70</w:t>
            </w:r>
            <w:r w:rsidRPr="00487373">
              <w:rPr>
                <w:sz w:val="20"/>
                <w:szCs w:val="20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DAC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</w:rPr>
              <w:t>39 (6</w:t>
            </w:r>
            <w:r w:rsidRPr="00487373">
              <w:rPr>
                <w:sz w:val="20"/>
                <w:szCs w:val="20"/>
                <w:lang w:eastAsia="ja-JP"/>
              </w:rPr>
              <w:t>2</w:t>
            </w:r>
            <w:r w:rsidRPr="00487373">
              <w:rPr>
                <w:sz w:val="20"/>
                <w:szCs w:val="20"/>
              </w:rPr>
              <w:t>)</w:t>
            </w:r>
          </w:p>
        </w:tc>
      </w:tr>
      <w:tr w:rsidR="006B4E76" w:rsidRPr="00487373" w14:paraId="6AED1A32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5970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PBO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C82C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1973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25F9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.002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5BDA8916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03B5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141E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82D0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.001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3D1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081A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8D36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</w:tr>
      <w:tr w:rsidR="006B4E76" w:rsidRPr="00487373" w14:paraId="05338BFD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D83E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ADA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8189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5BC1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.435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E60A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3B3DC8D4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3386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B7298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.339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2609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E1A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172A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.311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D5DC8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</w:tr>
      <w:tr w:rsidR="006B4E76" w:rsidRPr="00487373" w14:paraId="185984D3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E2395" w14:textId="77777777" w:rsidR="006B4E76" w:rsidRPr="00487373" w:rsidRDefault="006B4E76" w:rsidP="000B1474">
            <w:pPr>
              <w:pStyle w:val="PSTextX1space"/>
              <w:spacing w:befor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eastAsia="ＭＳ 明朝" w:hAnsi="Times New Roman" w:cs="Times New Roman"/>
                <w:sz w:val="20"/>
                <w:szCs w:val="20"/>
              </w:rPr>
              <w:t>ACR50 response rate, NRI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C738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A31C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34FF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78F613F1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807A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4CE5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1A6E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270F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472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D7A5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6B4E76" w:rsidRPr="00487373" w14:paraId="1A8D39F3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48C0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Number (%) of patients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CD2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</w:rPr>
              <w:t>14 (15)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73F6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</w:rPr>
              <w:t>44 (47)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5958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</w:rPr>
              <w:t>19 (30)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78FB488D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B4348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sz w:val="20"/>
                <w:szCs w:val="20"/>
              </w:rPr>
              <w:t>19 (20)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F6F3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sz w:val="20"/>
                <w:szCs w:val="20"/>
              </w:rPr>
              <w:t>50 (5</w:t>
            </w:r>
            <w:r w:rsidRPr="00487373">
              <w:rPr>
                <w:sz w:val="20"/>
                <w:szCs w:val="20"/>
                <w:lang w:eastAsia="ja-JP"/>
              </w:rPr>
              <w:t>4</w:t>
            </w:r>
            <w:r w:rsidRPr="00487373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A14B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sz w:val="20"/>
                <w:szCs w:val="20"/>
              </w:rPr>
              <w:t>33 (52)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8BF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6FA1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</w:rPr>
              <w:t>57 (61)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641B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sz w:val="20"/>
                <w:szCs w:val="20"/>
              </w:rPr>
              <w:t>32 (5</w:t>
            </w:r>
            <w:r w:rsidRPr="00487373">
              <w:rPr>
                <w:sz w:val="20"/>
                <w:szCs w:val="20"/>
                <w:lang w:eastAsia="ja-JP"/>
              </w:rPr>
              <w:t>1</w:t>
            </w:r>
            <w:r w:rsidRPr="00487373">
              <w:rPr>
                <w:sz w:val="20"/>
                <w:szCs w:val="20"/>
              </w:rPr>
              <w:t>)</w:t>
            </w:r>
          </w:p>
        </w:tc>
      </w:tr>
      <w:tr w:rsidR="006B4E76" w:rsidRPr="00487373" w14:paraId="2727D6B0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E676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PBO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05C5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4CA8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86B2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.022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1EDD4750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8A13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D5B7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AD03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.001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F3CA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E5F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5F9D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</w:tr>
      <w:tr w:rsidR="006B4E76" w:rsidRPr="00487373" w14:paraId="585769E2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F0CF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ADA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A0AFF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8B4A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.038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67A2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MSMincho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64946BD8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2DF1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3352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.867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902D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01D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5EE1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.194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C12A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</w:tr>
      <w:tr w:rsidR="006B4E76" w:rsidRPr="00487373" w14:paraId="214EF887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E63C" w14:textId="77777777" w:rsidR="006B4E76" w:rsidRPr="00487373" w:rsidRDefault="006B4E76" w:rsidP="000B1474">
            <w:pPr>
              <w:pStyle w:val="PSTextX1space"/>
              <w:spacing w:befor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eastAsia="ＭＳ 明朝" w:hAnsi="Times New Roman" w:cs="Times New Roman"/>
                <w:sz w:val="20"/>
                <w:szCs w:val="20"/>
              </w:rPr>
              <w:t>ACR70 response rate, NRI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4B3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3D8B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0AD7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3A0AF835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E48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7EEF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6EA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5EEC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C594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C973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6B4E76" w:rsidRPr="00487373" w14:paraId="2756CB5F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10BE9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Number (%) of patients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E4AD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1 (1)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A494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15 (16)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5928A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15 (24)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38AA1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1BCE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8 (9)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7518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33 (35)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E998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18 (29)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737D2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57B1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41 (44)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20A6D" w14:textId="77777777" w:rsidR="006B4E76" w:rsidRPr="00487373" w:rsidRDefault="006B4E76" w:rsidP="000B1474">
            <w:pPr>
              <w:spacing w:before="0"/>
              <w:jc w:val="center"/>
              <w:rPr>
                <w:sz w:val="20"/>
                <w:szCs w:val="20"/>
              </w:rPr>
            </w:pPr>
            <w:r w:rsidRPr="00487373">
              <w:rPr>
                <w:sz w:val="20"/>
                <w:szCs w:val="20"/>
              </w:rPr>
              <w:t>23 (37)</w:t>
            </w:r>
          </w:p>
        </w:tc>
      </w:tr>
      <w:tr w:rsidR="006B4E76" w:rsidRPr="00487373" w14:paraId="333DAA1C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B1D6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PBO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2CAA" w14:textId="77777777" w:rsidR="006B4E76" w:rsidRPr="00487373" w:rsidRDefault="006B4E76" w:rsidP="000B1474">
            <w:pPr>
              <w:spacing w:before="0"/>
              <w:jc w:val="center"/>
              <w:rPr>
                <w:rFonts w:eastAsia="MSMincho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725D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363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.001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6C4EEE45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7AFC0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14C4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9001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.002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41FF4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7FD8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881D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</w:tr>
      <w:tr w:rsidR="006B4E76" w:rsidRPr="00487373" w14:paraId="2DAFA48D" w14:textId="77777777" w:rsidTr="000B1474">
        <w:trPr>
          <w:trHeight w:val="397"/>
        </w:trPr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3CB63" w14:textId="77777777" w:rsidR="006B4E76" w:rsidRPr="00487373" w:rsidRDefault="006B4E76" w:rsidP="000B1474">
            <w:pPr>
              <w:pStyle w:val="PSTextX1space"/>
              <w:tabs>
                <w:tab w:val="left" w:pos="647"/>
              </w:tabs>
              <w:spacing w:before="0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87373">
              <w:rPr>
                <w:rFonts w:ascii="Times New Roman" w:hAnsi="Times New Roman" w:cs="Times New Roman"/>
                <w:sz w:val="20"/>
                <w:szCs w:val="20"/>
              </w:rPr>
              <w:t>P-value vs ADA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E7F4B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60A0E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.301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CA29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5423C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ABC0E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D5122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.468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E5C57" w14:textId="77777777" w:rsidR="006B4E76" w:rsidRPr="00487373" w:rsidRDefault="006B4E76" w:rsidP="000B1474">
            <w:pPr>
              <w:spacing w:before="0"/>
              <w:jc w:val="center"/>
              <w:rPr>
                <w:rFonts w:eastAsia="CourierNew,Bold"/>
                <w:bCs/>
                <w:sz w:val="20"/>
                <w:szCs w:val="20"/>
                <w:lang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97162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FBF80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.437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277ED" w14:textId="77777777" w:rsidR="006B4E76" w:rsidRPr="00487373" w:rsidRDefault="006B4E76" w:rsidP="000B1474">
            <w:pPr>
              <w:spacing w:before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—</w:t>
            </w:r>
          </w:p>
        </w:tc>
      </w:tr>
    </w:tbl>
    <w:p w14:paraId="46488CD0" w14:textId="16EA557B" w:rsidR="006B4E76" w:rsidRPr="00487373" w:rsidRDefault="006B4E76" w:rsidP="00401013">
      <w:pPr>
        <w:tabs>
          <w:tab w:val="center" w:pos="4320"/>
          <w:tab w:val="right" w:pos="8640"/>
        </w:tabs>
        <w:ind w:right="537"/>
        <w:rPr>
          <w:rFonts w:eastAsia="ＭＳ 明朝"/>
          <w:sz w:val="20"/>
          <w:szCs w:val="20"/>
          <w:lang w:eastAsia="ja-JP"/>
        </w:rPr>
      </w:pPr>
      <w:r w:rsidRPr="00487373">
        <w:rPr>
          <w:rFonts w:eastAsia="ＭＳ 明朝"/>
          <w:sz w:val="20"/>
          <w:szCs w:val="20"/>
          <w:lang w:eastAsia="ja-JP"/>
        </w:rPr>
        <w:t>ACR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American College of Rheumatology; ACR20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American College of Rheumatology 20% improvement;</w:t>
      </w:r>
      <w:r w:rsidRPr="00487373">
        <w:rPr>
          <w:sz w:val="20"/>
          <w:szCs w:val="20"/>
        </w:rPr>
        <w:t xml:space="preserve"> </w:t>
      </w:r>
      <w:r w:rsidRPr="00487373">
        <w:rPr>
          <w:rFonts w:eastAsia="ＭＳ 明朝"/>
          <w:sz w:val="20"/>
          <w:szCs w:val="20"/>
          <w:lang w:eastAsia="ja-JP"/>
        </w:rPr>
        <w:t>ACR50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American College of Rheumatology 50% improvement;</w:t>
      </w:r>
      <w:r w:rsidRPr="00487373">
        <w:rPr>
          <w:sz w:val="20"/>
          <w:szCs w:val="20"/>
        </w:rPr>
        <w:t xml:space="preserve"> </w:t>
      </w:r>
      <w:r w:rsidRPr="00487373">
        <w:rPr>
          <w:rFonts w:eastAsia="ＭＳ 明朝"/>
          <w:sz w:val="20"/>
          <w:szCs w:val="20"/>
          <w:lang w:eastAsia="ja-JP"/>
        </w:rPr>
        <w:t>ACR70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American College of Rheumatology 70% improvement; </w:t>
      </w:r>
      <w:bookmarkStart w:id="0" w:name="OLE_LINK5"/>
      <w:r w:rsidRPr="00487373">
        <w:rPr>
          <w:rFonts w:eastAsia="ＭＳ 明朝"/>
          <w:sz w:val="20"/>
          <w:szCs w:val="20"/>
          <w:lang w:eastAsia="ja-JP"/>
        </w:rPr>
        <w:t>ADA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adalimumab; BARI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baricitinib; NRI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non-responder imputation; PBO</w:t>
      </w:r>
      <w:r w:rsidR="003709C3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placebo</w:t>
      </w:r>
      <w:bookmarkEnd w:id="0"/>
      <w:r w:rsidRPr="00487373">
        <w:rPr>
          <w:rFonts w:eastAsia="ＭＳ 明朝"/>
          <w:sz w:val="20"/>
          <w:szCs w:val="20"/>
          <w:lang w:eastAsia="ja-JP"/>
        </w:rPr>
        <w:t>.</w:t>
      </w:r>
    </w:p>
    <w:p w14:paraId="684EEE5D" w14:textId="77777777" w:rsidR="006B4E76" w:rsidRPr="00487373" w:rsidRDefault="006B4E76" w:rsidP="000B1474">
      <w:pPr>
        <w:rPr>
          <w:rFonts w:eastAsia="ＭＳ 明朝"/>
          <w:sz w:val="20"/>
          <w:szCs w:val="20"/>
          <w:lang w:eastAsia="ja-JP"/>
        </w:rPr>
      </w:pPr>
      <w:r w:rsidRPr="00487373">
        <w:rPr>
          <w:rFonts w:eastAsia="ＭＳ 明朝"/>
          <w:sz w:val="20"/>
          <w:szCs w:val="20"/>
          <w:lang w:eastAsia="ja-JP"/>
        </w:rPr>
        <w:br w:type="page"/>
      </w:r>
    </w:p>
    <w:p w14:paraId="371B47B8" w14:textId="77777777" w:rsidR="006B4E76" w:rsidRPr="00487373" w:rsidRDefault="006B4E76" w:rsidP="000B1474">
      <w:pPr>
        <w:spacing w:after="120"/>
        <w:rPr>
          <w:rFonts w:eastAsia="ＭＳ 明朝"/>
          <w:sz w:val="20"/>
          <w:szCs w:val="20"/>
        </w:rPr>
      </w:pPr>
      <w:r w:rsidRPr="00487373">
        <w:rPr>
          <w:rFonts w:eastAsia="ＭＳ 明朝"/>
          <w:b/>
          <w:sz w:val="20"/>
          <w:szCs w:val="20"/>
          <w:lang w:val="en-US" w:eastAsia="ja-JP"/>
        </w:rPr>
        <w:lastRenderedPageBreak/>
        <w:t xml:space="preserve">Supplementary </w:t>
      </w:r>
      <w:r w:rsidRPr="00487373">
        <w:rPr>
          <w:rFonts w:eastAsia="ＭＳ 明朝"/>
          <w:b/>
          <w:sz w:val="20"/>
          <w:szCs w:val="20"/>
        </w:rPr>
        <w:t xml:space="preserve">Table </w:t>
      </w:r>
      <w:r w:rsidRPr="00487373">
        <w:rPr>
          <w:rFonts w:eastAsia="ＭＳ 明朝"/>
          <w:b/>
          <w:sz w:val="20"/>
          <w:szCs w:val="20"/>
          <w:lang w:eastAsia="ja-JP"/>
        </w:rPr>
        <w:t>S4</w:t>
      </w:r>
      <w:r w:rsidRPr="00487373">
        <w:rPr>
          <w:rFonts w:eastAsia="ＭＳ 明朝"/>
          <w:sz w:val="20"/>
          <w:szCs w:val="20"/>
        </w:rPr>
        <w:t>.</w:t>
      </w:r>
      <w:r w:rsidRPr="00487373">
        <w:rPr>
          <w:rFonts w:eastAsia="ＭＳ 明朝"/>
          <w:b/>
          <w:sz w:val="20"/>
          <w:szCs w:val="20"/>
        </w:rPr>
        <w:t xml:space="preserve"> </w:t>
      </w:r>
      <w:r w:rsidRPr="00A93B5D">
        <w:rPr>
          <w:rFonts w:eastAsia="ＭＳ 明朝"/>
          <w:sz w:val="20"/>
          <w:szCs w:val="20"/>
        </w:rPr>
        <w:t>Laboratory data based on CTCAE grades for Japanese patients in studies RA-BEGIN and RA-B</w:t>
      </w:r>
      <w:r w:rsidRPr="00A93B5D">
        <w:rPr>
          <w:rFonts w:eastAsia="ＭＳ 明朝"/>
          <w:sz w:val="20"/>
          <w:szCs w:val="20"/>
          <w:lang w:eastAsia="ja-JP"/>
        </w:rPr>
        <w:t>EAM</w:t>
      </w:r>
    </w:p>
    <w:tbl>
      <w:tblPr>
        <w:tblW w:w="14708" w:type="dxa"/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1276"/>
        <w:gridCol w:w="1304"/>
        <w:gridCol w:w="236"/>
        <w:gridCol w:w="1012"/>
        <w:gridCol w:w="1304"/>
        <w:gridCol w:w="1105"/>
        <w:gridCol w:w="257"/>
        <w:gridCol w:w="1304"/>
        <w:gridCol w:w="1132"/>
      </w:tblGrid>
      <w:tr w:rsidR="006B4E76" w:rsidRPr="00487373" w14:paraId="626BB939" w14:textId="77777777" w:rsidTr="008B05D6">
        <w:trPr>
          <w:trHeight w:val="391"/>
          <w:tblHeader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14:paraId="2C9B20D5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</w:tcBorders>
            <w:vAlign w:val="center"/>
          </w:tcPr>
          <w:p w14:paraId="56474DB0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RA-BEGIN, Weeks 0–52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87C4FA1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vAlign w:val="center"/>
          </w:tcPr>
          <w:p w14:paraId="24077C2D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RA-BEAM, Weeks 0–24</w:t>
            </w:r>
          </w:p>
        </w:tc>
        <w:tc>
          <w:tcPr>
            <w:tcW w:w="257" w:type="dxa"/>
            <w:tcBorders>
              <w:top w:val="single" w:sz="4" w:space="0" w:color="auto"/>
            </w:tcBorders>
          </w:tcPr>
          <w:p w14:paraId="4E339606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14:paraId="2C0F4F8E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RA-BEAM, Weeks 0–52</w:t>
            </w:r>
          </w:p>
        </w:tc>
      </w:tr>
      <w:tr w:rsidR="006B4E76" w:rsidRPr="00487373" w14:paraId="0012F437" w14:textId="77777777" w:rsidTr="008B05D6">
        <w:trPr>
          <w:trHeight w:val="665"/>
          <w:tblHeader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59ADBA37" w14:textId="6268F3CC" w:rsidR="006B4E76" w:rsidRPr="00487373" w:rsidRDefault="006B4E76" w:rsidP="000B1474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 xml:space="preserve">Variable (maximum grade </w:t>
            </w:r>
            <w:proofErr w:type="spellStart"/>
            <w:r w:rsidRPr="00487373">
              <w:rPr>
                <w:rFonts w:eastAsia="ＭＳ 明朝"/>
                <w:sz w:val="20"/>
                <w:szCs w:val="20"/>
              </w:rPr>
              <w:t>postbaseline</w:t>
            </w:r>
            <w:r w:rsidR="00D6222F">
              <w:rPr>
                <w:rFonts w:eastAsia="ＭＳ 明朝"/>
                <w:sz w:val="20"/>
                <w:szCs w:val="20"/>
                <w:vertAlign w:val="superscript"/>
              </w:rPr>
              <w:t>a</w:t>
            </w:r>
            <w:proofErr w:type="spellEnd"/>
            <w:r w:rsidR="00D6222F" w:rsidRPr="00487373">
              <w:rPr>
                <w:rFonts w:eastAsia="ＭＳ 明朝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A924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MTX</w:t>
            </w:r>
          </w:p>
          <w:p w14:paraId="04DED021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 = 36)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33D0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</w:t>
            </w:r>
          </w:p>
          <w:p w14:paraId="1147AAC0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(N=29)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E48B7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 + MTX</w:t>
            </w:r>
          </w:p>
          <w:p w14:paraId="72E85A76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 = 39)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E353BB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0184E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PBO</w:t>
            </w:r>
          </w:p>
          <w:p w14:paraId="06814D58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(N=93)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0D6C0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</w:t>
            </w:r>
          </w:p>
          <w:p w14:paraId="4EBB5CEA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(N=93)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85CB2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ADA</w:t>
            </w:r>
          </w:p>
          <w:p w14:paraId="6138CA6A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(N=63)</w:t>
            </w: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5ABA35B9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5A8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</w:t>
            </w:r>
          </w:p>
          <w:p w14:paraId="419623A4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(N=93)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21A9A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ADA</w:t>
            </w:r>
          </w:p>
          <w:p w14:paraId="78235F7B" w14:textId="77777777" w:rsidR="006B4E76" w:rsidRPr="00487373" w:rsidRDefault="006B4E76" w:rsidP="000B147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(N=63)</w:t>
            </w:r>
          </w:p>
        </w:tc>
      </w:tr>
      <w:tr w:rsidR="006B4E76" w:rsidRPr="00487373" w14:paraId="2332A176" w14:textId="77777777" w:rsidTr="008B05D6">
        <w:trPr>
          <w:trHeight w:val="397"/>
        </w:trPr>
        <w:tc>
          <w:tcPr>
            <w:tcW w:w="1470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F7F46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Hemoglobin, n (%)</w:t>
            </w:r>
          </w:p>
        </w:tc>
      </w:tr>
      <w:tr w:rsidR="006B4E76" w:rsidRPr="00487373" w14:paraId="15B41E6C" w14:textId="77777777" w:rsidTr="008B05D6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14:paraId="6868E4E3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1: ≥10 to &lt;12 (F) or ≥10 to &lt;13.5 (M) g/dL</w:t>
            </w:r>
          </w:p>
        </w:tc>
        <w:tc>
          <w:tcPr>
            <w:tcW w:w="992" w:type="dxa"/>
            <w:vAlign w:val="center"/>
          </w:tcPr>
          <w:p w14:paraId="1B21BB1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8 (22)</w:t>
            </w:r>
          </w:p>
        </w:tc>
        <w:tc>
          <w:tcPr>
            <w:tcW w:w="1276" w:type="dxa"/>
            <w:vAlign w:val="center"/>
          </w:tcPr>
          <w:p w14:paraId="78127CE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7 (24)</w:t>
            </w:r>
          </w:p>
        </w:tc>
        <w:tc>
          <w:tcPr>
            <w:tcW w:w="1304" w:type="dxa"/>
            <w:vAlign w:val="center"/>
          </w:tcPr>
          <w:p w14:paraId="784D8752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5 (13)</w:t>
            </w:r>
          </w:p>
        </w:tc>
        <w:tc>
          <w:tcPr>
            <w:tcW w:w="236" w:type="dxa"/>
          </w:tcPr>
          <w:p w14:paraId="514D4EF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DDC705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17 (18)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CF96E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17 (18)</w:t>
            </w:r>
          </w:p>
        </w:tc>
        <w:tc>
          <w:tcPr>
            <w:tcW w:w="1105" w:type="dxa"/>
            <w:vAlign w:val="center"/>
          </w:tcPr>
          <w:p w14:paraId="32DDAE3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10 (16)</w:t>
            </w:r>
          </w:p>
        </w:tc>
        <w:tc>
          <w:tcPr>
            <w:tcW w:w="257" w:type="dxa"/>
          </w:tcPr>
          <w:p w14:paraId="7D71E6B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5AE1B0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20 (22)</w:t>
            </w:r>
          </w:p>
        </w:tc>
        <w:tc>
          <w:tcPr>
            <w:tcW w:w="1132" w:type="dxa"/>
            <w:vAlign w:val="center"/>
          </w:tcPr>
          <w:p w14:paraId="534EEBA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11 (17)</w:t>
            </w:r>
          </w:p>
        </w:tc>
      </w:tr>
      <w:tr w:rsidR="006B4E76" w:rsidRPr="00487373" w14:paraId="25C7C8F1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39FFCF28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2: ≥8.0 to &lt;10 g/dL</w:t>
            </w:r>
          </w:p>
        </w:tc>
        <w:tc>
          <w:tcPr>
            <w:tcW w:w="992" w:type="dxa"/>
            <w:vAlign w:val="center"/>
          </w:tcPr>
          <w:p w14:paraId="25BAF4A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3 (8)</w:t>
            </w:r>
          </w:p>
        </w:tc>
        <w:tc>
          <w:tcPr>
            <w:tcW w:w="1276" w:type="dxa"/>
            <w:vAlign w:val="center"/>
          </w:tcPr>
          <w:p w14:paraId="1049145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4 (14)</w:t>
            </w:r>
          </w:p>
        </w:tc>
        <w:tc>
          <w:tcPr>
            <w:tcW w:w="1304" w:type="dxa"/>
            <w:vAlign w:val="center"/>
          </w:tcPr>
          <w:p w14:paraId="5E9F489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9 (23)</w:t>
            </w:r>
          </w:p>
        </w:tc>
        <w:tc>
          <w:tcPr>
            <w:tcW w:w="236" w:type="dxa"/>
          </w:tcPr>
          <w:p w14:paraId="1FB0BF0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A9CE77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 (8)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680F4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6(6)</w:t>
            </w:r>
          </w:p>
        </w:tc>
        <w:tc>
          <w:tcPr>
            <w:tcW w:w="1105" w:type="dxa"/>
            <w:vAlign w:val="center"/>
          </w:tcPr>
          <w:p w14:paraId="431FE5B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5 (8)</w:t>
            </w:r>
          </w:p>
        </w:tc>
        <w:tc>
          <w:tcPr>
            <w:tcW w:w="257" w:type="dxa"/>
          </w:tcPr>
          <w:p w14:paraId="39BCC18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958166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8 (9)</w:t>
            </w:r>
          </w:p>
        </w:tc>
        <w:tc>
          <w:tcPr>
            <w:tcW w:w="1132" w:type="dxa"/>
            <w:vAlign w:val="center"/>
          </w:tcPr>
          <w:p w14:paraId="6361460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5 (8)</w:t>
            </w:r>
          </w:p>
        </w:tc>
      </w:tr>
      <w:tr w:rsidR="006B4E76" w:rsidRPr="00487373" w14:paraId="5747233C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7C7495F2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3: ≥6.5 to &lt;8.0 g/dL</w:t>
            </w:r>
          </w:p>
        </w:tc>
        <w:tc>
          <w:tcPr>
            <w:tcW w:w="992" w:type="dxa"/>
            <w:vAlign w:val="center"/>
          </w:tcPr>
          <w:p w14:paraId="1FA9614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276" w:type="dxa"/>
            <w:vAlign w:val="center"/>
          </w:tcPr>
          <w:p w14:paraId="4006682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50D6FF0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6301AAD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204065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 (1)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75458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50FA004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21EA47F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3D6A45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4C6B9BD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6B8BE070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5F1F863E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4: &lt;6.5 g/dL</w:t>
            </w:r>
          </w:p>
        </w:tc>
        <w:tc>
          <w:tcPr>
            <w:tcW w:w="992" w:type="dxa"/>
            <w:vAlign w:val="center"/>
          </w:tcPr>
          <w:p w14:paraId="576DE35F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2DB88E1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1C30461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02FD1D7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35F706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6754D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7A2F9D6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0FB5EFE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1C0499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58D481F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312F1AB0" w14:textId="77777777" w:rsidTr="00156914">
        <w:trPr>
          <w:trHeight w:val="397"/>
        </w:trPr>
        <w:tc>
          <w:tcPr>
            <w:tcW w:w="14708" w:type="dxa"/>
            <w:gridSpan w:val="11"/>
            <w:shd w:val="clear" w:color="auto" w:fill="auto"/>
            <w:vAlign w:val="center"/>
          </w:tcPr>
          <w:p w14:paraId="702E097E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Neutrophils, n (%)</w:t>
            </w:r>
          </w:p>
        </w:tc>
      </w:tr>
      <w:tr w:rsidR="006B4E76" w:rsidRPr="00487373" w14:paraId="10C91BFD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771FABC6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1: ≥1500 to &lt;2000 cells/µL</w:t>
            </w:r>
          </w:p>
        </w:tc>
        <w:tc>
          <w:tcPr>
            <w:tcW w:w="992" w:type="dxa"/>
            <w:vAlign w:val="center"/>
          </w:tcPr>
          <w:p w14:paraId="150DC2F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6 (17)</w:t>
            </w:r>
          </w:p>
        </w:tc>
        <w:tc>
          <w:tcPr>
            <w:tcW w:w="1276" w:type="dxa"/>
            <w:vAlign w:val="center"/>
          </w:tcPr>
          <w:p w14:paraId="4BFD574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7 (24)</w:t>
            </w:r>
          </w:p>
        </w:tc>
        <w:tc>
          <w:tcPr>
            <w:tcW w:w="1304" w:type="dxa"/>
            <w:vAlign w:val="center"/>
          </w:tcPr>
          <w:p w14:paraId="5109CE3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bookmarkStart w:id="1" w:name="_GoBack"/>
            <w:bookmarkEnd w:id="1"/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4 (10)</w:t>
            </w:r>
          </w:p>
        </w:tc>
        <w:tc>
          <w:tcPr>
            <w:tcW w:w="236" w:type="dxa"/>
          </w:tcPr>
          <w:p w14:paraId="003970F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6AEC0A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 (2)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212D6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10 (11)</w:t>
            </w:r>
          </w:p>
        </w:tc>
        <w:tc>
          <w:tcPr>
            <w:tcW w:w="1105" w:type="dxa"/>
            <w:vAlign w:val="center"/>
          </w:tcPr>
          <w:p w14:paraId="38D841E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 (11)</w:t>
            </w:r>
          </w:p>
        </w:tc>
        <w:tc>
          <w:tcPr>
            <w:tcW w:w="257" w:type="dxa"/>
          </w:tcPr>
          <w:p w14:paraId="5B661C0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74F21B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11 (12)</w:t>
            </w:r>
          </w:p>
        </w:tc>
        <w:tc>
          <w:tcPr>
            <w:tcW w:w="1132" w:type="dxa"/>
            <w:vAlign w:val="center"/>
          </w:tcPr>
          <w:p w14:paraId="31CC96F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6 (10)</w:t>
            </w:r>
          </w:p>
        </w:tc>
      </w:tr>
      <w:tr w:rsidR="006B4E76" w:rsidRPr="00487373" w14:paraId="23564C77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0E43759B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2: ≥1000 to &lt;1500 cells/µL</w:t>
            </w:r>
          </w:p>
        </w:tc>
        <w:tc>
          <w:tcPr>
            <w:tcW w:w="992" w:type="dxa"/>
            <w:vAlign w:val="center"/>
          </w:tcPr>
          <w:p w14:paraId="4D0373B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2 (6)</w:t>
            </w:r>
          </w:p>
        </w:tc>
        <w:tc>
          <w:tcPr>
            <w:tcW w:w="1276" w:type="dxa"/>
            <w:vAlign w:val="center"/>
          </w:tcPr>
          <w:p w14:paraId="187B9E2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3 (10)</w:t>
            </w:r>
          </w:p>
        </w:tc>
        <w:tc>
          <w:tcPr>
            <w:tcW w:w="1304" w:type="dxa"/>
            <w:vAlign w:val="center"/>
          </w:tcPr>
          <w:p w14:paraId="596F3A7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36" w:type="dxa"/>
          </w:tcPr>
          <w:p w14:paraId="1B231AE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CCC262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E060E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 (2)</w:t>
            </w:r>
          </w:p>
        </w:tc>
        <w:tc>
          <w:tcPr>
            <w:tcW w:w="1105" w:type="dxa"/>
            <w:vAlign w:val="center"/>
          </w:tcPr>
          <w:p w14:paraId="70F2B41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3 (5)</w:t>
            </w:r>
          </w:p>
        </w:tc>
        <w:tc>
          <w:tcPr>
            <w:tcW w:w="257" w:type="dxa"/>
          </w:tcPr>
          <w:p w14:paraId="29F2DFD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58147A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4 (4)</w:t>
            </w:r>
          </w:p>
        </w:tc>
        <w:tc>
          <w:tcPr>
            <w:tcW w:w="1132" w:type="dxa"/>
            <w:vAlign w:val="center"/>
          </w:tcPr>
          <w:p w14:paraId="2BA63BF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5 (8)</w:t>
            </w:r>
          </w:p>
        </w:tc>
      </w:tr>
      <w:tr w:rsidR="006B4E76" w:rsidRPr="00487373" w14:paraId="3BD64A1E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40C048BF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3: ≥500 to &lt;1000 cells/µL</w:t>
            </w:r>
          </w:p>
        </w:tc>
        <w:tc>
          <w:tcPr>
            <w:tcW w:w="992" w:type="dxa"/>
            <w:vAlign w:val="center"/>
          </w:tcPr>
          <w:p w14:paraId="2BB3A739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2622F566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262D0CAB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294BC1F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A5C929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6FB83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54FAF34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3A53570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A3DE9B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243C640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2E5F2C3C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26E6381E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4: &lt;500 cells/µL cells/µL</w:t>
            </w:r>
          </w:p>
        </w:tc>
        <w:tc>
          <w:tcPr>
            <w:tcW w:w="992" w:type="dxa"/>
            <w:vAlign w:val="center"/>
          </w:tcPr>
          <w:p w14:paraId="69039ADB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4A58BA18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48E81232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0A0EDC1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71DFC4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630F4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774EADB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206C821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DC81A4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00A3FE4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2C823BF0" w14:textId="77777777" w:rsidTr="00156914">
        <w:trPr>
          <w:trHeight w:val="397"/>
        </w:trPr>
        <w:tc>
          <w:tcPr>
            <w:tcW w:w="14708" w:type="dxa"/>
            <w:gridSpan w:val="11"/>
            <w:shd w:val="clear" w:color="auto" w:fill="auto"/>
            <w:vAlign w:val="center"/>
          </w:tcPr>
          <w:p w14:paraId="1430BAFD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Lymphocytes, n (%)</w:t>
            </w:r>
          </w:p>
        </w:tc>
      </w:tr>
      <w:tr w:rsidR="006B4E76" w:rsidRPr="00487373" w14:paraId="37D47C2B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1B4234FA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1: ≥800 to &lt;1100 cells/mm</w:t>
            </w:r>
            <w:r w:rsidRPr="00487373">
              <w:rPr>
                <w:rFonts w:eastAsia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55F7214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6 (17)</w:t>
            </w:r>
          </w:p>
        </w:tc>
        <w:tc>
          <w:tcPr>
            <w:tcW w:w="1276" w:type="dxa"/>
            <w:vAlign w:val="center"/>
          </w:tcPr>
          <w:p w14:paraId="04C4FA8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5 (17)</w:t>
            </w:r>
          </w:p>
        </w:tc>
        <w:tc>
          <w:tcPr>
            <w:tcW w:w="1304" w:type="dxa"/>
            <w:vAlign w:val="center"/>
          </w:tcPr>
          <w:p w14:paraId="13CABDC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5 (13)</w:t>
            </w:r>
          </w:p>
        </w:tc>
        <w:tc>
          <w:tcPr>
            <w:tcW w:w="236" w:type="dxa"/>
          </w:tcPr>
          <w:p w14:paraId="63DFDE8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E699DD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18 (19)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D91A0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13 (14)</w:t>
            </w:r>
          </w:p>
        </w:tc>
        <w:tc>
          <w:tcPr>
            <w:tcW w:w="1105" w:type="dxa"/>
            <w:vAlign w:val="center"/>
          </w:tcPr>
          <w:p w14:paraId="27C9092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 (11)</w:t>
            </w:r>
          </w:p>
        </w:tc>
        <w:tc>
          <w:tcPr>
            <w:tcW w:w="257" w:type="dxa"/>
          </w:tcPr>
          <w:p w14:paraId="6670683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15A0FE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21 (23)</w:t>
            </w:r>
          </w:p>
        </w:tc>
        <w:tc>
          <w:tcPr>
            <w:tcW w:w="1132" w:type="dxa"/>
            <w:vAlign w:val="center"/>
          </w:tcPr>
          <w:p w14:paraId="772093D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5 (8)</w:t>
            </w:r>
          </w:p>
        </w:tc>
      </w:tr>
      <w:tr w:rsidR="006B4E76" w:rsidRPr="00487373" w14:paraId="120AF84F" w14:textId="77777777" w:rsidTr="008B05D6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14:paraId="6DAC5390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2: ≥500 to &lt;800 cells/mm</w:t>
            </w:r>
            <w:r w:rsidRPr="00487373">
              <w:rPr>
                <w:rFonts w:eastAsia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070EA24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4 (11)</w:t>
            </w:r>
          </w:p>
        </w:tc>
        <w:tc>
          <w:tcPr>
            <w:tcW w:w="1276" w:type="dxa"/>
            <w:vAlign w:val="center"/>
          </w:tcPr>
          <w:p w14:paraId="5773D45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304" w:type="dxa"/>
            <w:vAlign w:val="center"/>
          </w:tcPr>
          <w:p w14:paraId="11A6961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6 (15)</w:t>
            </w:r>
          </w:p>
        </w:tc>
        <w:tc>
          <w:tcPr>
            <w:tcW w:w="236" w:type="dxa"/>
          </w:tcPr>
          <w:p w14:paraId="3ED944A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02A9E8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12 (13)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10197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8 (9)</w:t>
            </w:r>
          </w:p>
        </w:tc>
        <w:tc>
          <w:tcPr>
            <w:tcW w:w="1105" w:type="dxa"/>
            <w:vAlign w:val="center"/>
          </w:tcPr>
          <w:p w14:paraId="7AAE29E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4 (6)</w:t>
            </w:r>
          </w:p>
        </w:tc>
        <w:tc>
          <w:tcPr>
            <w:tcW w:w="257" w:type="dxa"/>
          </w:tcPr>
          <w:p w14:paraId="068A289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D44AA3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14 (15)</w:t>
            </w:r>
          </w:p>
        </w:tc>
        <w:tc>
          <w:tcPr>
            <w:tcW w:w="1132" w:type="dxa"/>
            <w:vAlign w:val="center"/>
          </w:tcPr>
          <w:p w14:paraId="4E43972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8 (13)</w:t>
            </w:r>
          </w:p>
        </w:tc>
      </w:tr>
      <w:tr w:rsidR="006B4E76" w:rsidRPr="00487373" w14:paraId="49013559" w14:textId="77777777" w:rsidTr="008B05D6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14:paraId="49E49E34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3: ≥200 to &lt;500 cells/mm</w:t>
            </w:r>
            <w:r w:rsidRPr="00487373">
              <w:rPr>
                <w:rFonts w:eastAsia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629610D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3 (8)</w:t>
            </w:r>
          </w:p>
        </w:tc>
        <w:tc>
          <w:tcPr>
            <w:tcW w:w="1276" w:type="dxa"/>
            <w:vAlign w:val="center"/>
          </w:tcPr>
          <w:p w14:paraId="32122F0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304" w:type="dxa"/>
            <w:vAlign w:val="center"/>
          </w:tcPr>
          <w:p w14:paraId="7EA1F3B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3 (8)</w:t>
            </w:r>
          </w:p>
        </w:tc>
        <w:tc>
          <w:tcPr>
            <w:tcW w:w="236" w:type="dxa"/>
          </w:tcPr>
          <w:p w14:paraId="261039E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7894AC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6 (6)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06663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 (2)</w:t>
            </w:r>
          </w:p>
        </w:tc>
        <w:tc>
          <w:tcPr>
            <w:tcW w:w="1105" w:type="dxa"/>
            <w:vAlign w:val="center"/>
          </w:tcPr>
          <w:p w14:paraId="158B64F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1FACC7D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27B963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3 (3)</w:t>
            </w:r>
          </w:p>
        </w:tc>
        <w:tc>
          <w:tcPr>
            <w:tcW w:w="1132" w:type="dxa"/>
            <w:vAlign w:val="center"/>
          </w:tcPr>
          <w:p w14:paraId="1A3D9EC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2BE5FD9D" w14:textId="77777777" w:rsidTr="00156914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14:paraId="4E68773D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4: &lt;200 cells/mm</w:t>
            </w:r>
            <w:r w:rsidRPr="00487373">
              <w:rPr>
                <w:rFonts w:eastAsia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18B34C2F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317E6591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590B31E2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1D858C8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76C362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66A20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6563C0C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3EE7C6C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CC2498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248C0D4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61784546" w14:textId="77777777" w:rsidTr="00156914">
        <w:trPr>
          <w:trHeight w:val="397"/>
        </w:trPr>
        <w:tc>
          <w:tcPr>
            <w:tcW w:w="14708" w:type="dxa"/>
            <w:gridSpan w:val="11"/>
            <w:shd w:val="clear" w:color="auto" w:fill="auto"/>
            <w:vAlign w:val="center"/>
          </w:tcPr>
          <w:p w14:paraId="313F38F1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</w:rPr>
              <w:t>Platelets, n (%)</w:t>
            </w:r>
          </w:p>
        </w:tc>
      </w:tr>
      <w:tr w:rsidR="006B4E76" w:rsidRPr="00487373" w14:paraId="03F0BEFF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5E067275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1: ≥75,000/mm</w:t>
            </w:r>
            <w:r w:rsidRPr="00487373">
              <w:rPr>
                <w:rFonts w:eastAsia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3861DF2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76" w:type="dxa"/>
            <w:vAlign w:val="center"/>
          </w:tcPr>
          <w:p w14:paraId="1DBA9D2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304" w:type="dxa"/>
            <w:vAlign w:val="center"/>
          </w:tcPr>
          <w:p w14:paraId="1B2CC88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236" w:type="dxa"/>
          </w:tcPr>
          <w:p w14:paraId="20159C3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816B42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3 (3)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0A5BF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3 (3)</w:t>
            </w:r>
          </w:p>
        </w:tc>
        <w:tc>
          <w:tcPr>
            <w:tcW w:w="1105" w:type="dxa"/>
            <w:vAlign w:val="center"/>
          </w:tcPr>
          <w:p w14:paraId="1A77E3B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4 (6)</w:t>
            </w:r>
          </w:p>
        </w:tc>
        <w:tc>
          <w:tcPr>
            <w:tcW w:w="257" w:type="dxa"/>
          </w:tcPr>
          <w:p w14:paraId="0466843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BEA40E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3 (3)</w:t>
            </w:r>
          </w:p>
        </w:tc>
        <w:tc>
          <w:tcPr>
            <w:tcW w:w="1132" w:type="dxa"/>
            <w:vAlign w:val="center"/>
          </w:tcPr>
          <w:p w14:paraId="14C9272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 (11)</w:t>
            </w:r>
          </w:p>
        </w:tc>
      </w:tr>
      <w:tr w:rsidR="006B4E76" w:rsidRPr="00487373" w14:paraId="37BE0B0B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45DBE15A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2: ≥50,000 to &lt;75,000 cells/mm</w:t>
            </w:r>
            <w:r w:rsidRPr="00487373">
              <w:rPr>
                <w:rFonts w:eastAsia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1F6113B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6A3D002E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413CDC39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56D945A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8530F4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7E2CA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6483C0E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2D8D687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4EE712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6A78CF8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655B2B69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10BA63CA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3: 25,000 to &lt;50,000 cells/mm</w:t>
            </w:r>
            <w:r w:rsidRPr="00487373">
              <w:rPr>
                <w:rFonts w:eastAsia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5992F81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7644CE5D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48ADCC95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4E8E414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26B0FC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48BD4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219215E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7C5FE35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5A23E7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3C42AFB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16525623" w14:textId="77777777" w:rsidTr="00156914">
        <w:trPr>
          <w:trHeight w:val="39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59D3CA0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4: &lt;25,000 cells/mm</w:t>
            </w:r>
            <w:r w:rsidRPr="00487373">
              <w:rPr>
                <w:rFonts w:eastAsia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2BAC0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736395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FC01934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93C41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BAC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849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56E303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2F3D464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CBE4C3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B7EB0D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164C4698" w14:textId="77777777" w:rsidTr="00156914">
        <w:trPr>
          <w:trHeight w:val="397"/>
        </w:trPr>
        <w:tc>
          <w:tcPr>
            <w:tcW w:w="1470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F3B21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lastRenderedPageBreak/>
              <w:t>Elevated alanine aminotransferase, n (%)</w:t>
            </w:r>
          </w:p>
        </w:tc>
      </w:tr>
      <w:tr w:rsidR="006B4E76" w:rsidRPr="00487373" w14:paraId="10CB1893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073CF463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1: &gt;ULN and ≤2.5 × ULN</w:t>
            </w:r>
          </w:p>
        </w:tc>
        <w:tc>
          <w:tcPr>
            <w:tcW w:w="992" w:type="dxa"/>
            <w:vAlign w:val="center"/>
          </w:tcPr>
          <w:p w14:paraId="4878322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7 (19)</w:t>
            </w:r>
          </w:p>
        </w:tc>
        <w:tc>
          <w:tcPr>
            <w:tcW w:w="1276" w:type="dxa"/>
            <w:vAlign w:val="center"/>
          </w:tcPr>
          <w:p w14:paraId="4629319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5 (17)</w:t>
            </w:r>
          </w:p>
        </w:tc>
        <w:tc>
          <w:tcPr>
            <w:tcW w:w="1304" w:type="dxa"/>
            <w:vAlign w:val="center"/>
          </w:tcPr>
          <w:p w14:paraId="355FB6B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11 (28)</w:t>
            </w:r>
          </w:p>
        </w:tc>
        <w:tc>
          <w:tcPr>
            <w:tcW w:w="236" w:type="dxa"/>
          </w:tcPr>
          <w:p w14:paraId="33F1239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4EEDF3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12 (13)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F579B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20 (22)</w:t>
            </w:r>
          </w:p>
        </w:tc>
        <w:tc>
          <w:tcPr>
            <w:tcW w:w="1105" w:type="dxa"/>
            <w:vAlign w:val="center"/>
          </w:tcPr>
          <w:p w14:paraId="564B920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16 (25)</w:t>
            </w:r>
          </w:p>
        </w:tc>
        <w:tc>
          <w:tcPr>
            <w:tcW w:w="257" w:type="dxa"/>
          </w:tcPr>
          <w:p w14:paraId="2C2D54D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21C3DC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22 (24)</w:t>
            </w:r>
          </w:p>
        </w:tc>
        <w:tc>
          <w:tcPr>
            <w:tcW w:w="1132" w:type="dxa"/>
            <w:vAlign w:val="center"/>
          </w:tcPr>
          <w:p w14:paraId="7079EEC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19 (30)</w:t>
            </w:r>
          </w:p>
        </w:tc>
      </w:tr>
      <w:tr w:rsidR="006B4E76" w:rsidRPr="00487373" w14:paraId="42FB19DE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5A7A7AAB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2: &gt;2.5 × ULN and ≤5 × ULN</w:t>
            </w:r>
          </w:p>
        </w:tc>
        <w:tc>
          <w:tcPr>
            <w:tcW w:w="992" w:type="dxa"/>
            <w:vAlign w:val="center"/>
          </w:tcPr>
          <w:p w14:paraId="27C0E5F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3 (8)</w:t>
            </w:r>
          </w:p>
        </w:tc>
        <w:tc>
          <w:tcPr>
            <w:tcW w:w="1276" w:type="dxa"/>
            <w:vAlign w:val="center"/>
          </w:tcPr>
          <w:p w14:paraId="2E42E12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56C4D71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7 (18)</w:t>
            </w:r>
          </w:p>
        </w:tc>
        <w:tc>
          <w:tcPr>
            <w:tcW w:w="236" w:type="dxa"/>
          </w:tcPr>
          <w:p w14:paraId="587C1DC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C8EB99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72204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 (8)</w:t>
            </w:r>
          </w:p>
        </w:tc>
        <w:tc>
          <w:tcPr>
            <w:tcW w:w="1105" w:type="dxa"/>
            <w:vAlign w:val="center"/>
          </w:tcPr>
          <w:p w14:paraId="074D48D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5 (8)</w:t>
            </w:r>
          </w:p>
        </w:tc>
        <w:tc>
          <w:tcPr>
            <w:tcW w:w="257" w:type="dxa"/>
          </w:tcPr>
          <w:p w14:paraId="3AF136E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2D415F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10 (11)</w:t>
            </w:r>
          </w:p>
        </w:tc>
        <w:tc>
          <w:tcPr>
            <w:tcW w:w="1132" w:type="dxa"/>
            <w:vAlign w:val="center"/>
          </w:tcPr>
          <w:p w14:paraId="2D5C24C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5 (8)</w:t>
            </w:r>
          </w:p>
        </w:tc>
      </w:tr>
      <w:tr w:rsidR="006B4E76" w:rsidRPr="00487373" w14:paraId="5F430C1C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361C2900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3: &gt;5 × ULN and ≤20 × ULN</w:t>
            </w:r>
          </w:p>
        </w:tc>
        <w:tc>
          <w:tcPr>
            <w:tcW w:w="992" w:type="dxa"/>
            <w:vAlign w:val="center"/>
          </w:tcPr>
          <w:p w14:paraId="715DA62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276" w:type="dxa"/>
            <w:vAlign w:val="center"/>
          </w:tcPr>
          <w:p w14:paraId="30BD5A5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6B3F08B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236" w:type="dxa"/>
          </w:tcPr>
          <w:p w14:paraId="6C3EBAF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D973EB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4DDA1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3BB51FA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2E8C9F4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3C7AE4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 (1)</w:t>
            </w:r>
          </w:p>
        </w:tc>
        <w:tc>
          <w:tcPr>
            <w:tcW w:w="1132" w:type="dxa"/>
            <w:vAlign w:val="center"/>
          </w:tcPr>
          <w:p w14:paraId="7E74BB5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53751A10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2A34676A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4: &gt;20 × ULN</w:t>
            </w:r>
          </w:p>
        </w:tc>
        <w:tc>
          <w:tcPr>
            <w:tcW w:w="992" w:type="dxa"/>
            <w:vAlign w:val="center"/>
          </w:tcPr>
          <w:p w14:paraId="37700DCC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60CE1F1A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5E8C1A09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36" w:type="dxa"/>
          </w:tcPr>
          <w:p w14:paraId="3FCFB33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E1A5C8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C9F4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20583B4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73E687E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DF9825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180A052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1407C706" w14:textId="77777777" w:rsidTr="008B05D6">
        <w:trPr>
          <w:trHeight w:val="397"/>
        </w:trPr>
        <w:tc>
          <w:tcPr>
            <w:tcW w:w="14708" w:type="dxa"/>
            <w:gridSpan w:val="11"/>
            <w:shd w:val="clear" w:color="auto" w:fill="auto"/>
            <w:vAlign w:val="center"/>
          </w:tcPr>
          <w:p w14:paraId="4E75B0AD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Creatinine, n (%)</w:t>
            </w:r>
          </w:p>
        </w:tc>
      </w:tr>
      <w:tr w:rsidR="006B4E76" w:rsidRPr="00487373" w14:paraId="7FECAB21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096AF36C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1: &gt;ULN and ≤1.5 × ULN</w:t>
            </w:r>
          </w:p>
        </w:tc>
        <w:tc>
          <w:tcPr>
            <w:tcW w:w="992" w:type="dxa"/>
            <w:vAlign w:val="center"/>
          </w:tcPr>
          <w:p w14:paraId="6709193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276" w:type="dxa"/>
            <w:vAlign w:val="center"/>
          </w:tcPr>
          <w:p w14:paraId="6319993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304" w:type="dxa"/>
            <w:vAlign w:val="center"/>
          </w:tcPr>
          <w:p w14:paraId="6818AAD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155E4F8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E1E811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 (1)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4BBB1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1B54D90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2117284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070145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36CA09F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484F1C5C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356E1ADB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2: &gt;1.5 × ULN and ≤3 × ULN</w:t>
            </w:r>
          </w:p>
        </w:tc>
        <w:tc>
          <w:tcPr>
            <w:tcW w:w="992" w:type="dxa"/>
            <w:vAlign w:val="center"/>
          </w:tcPr>
          <w:p w14:paraId="5C0925CA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65FB953D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7F9943B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36" w:type="dxa"/>
          </w:tcPr>
          <w:p w14:paraId="35C7954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4B7924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7459F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77ABD88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169DB82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BAEDAE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3E11B4B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2C61514A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1DFFD8A1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3: &gt;3 × ULN and ≤6 × ULN</w:t>
            </w:r>
          </w:p>
        </w:tc>
        <w:tc>
          <w:tcPr>
            <w:tcW w:w="992" w:type="dxa"/>
            <w:vAlign w:val="center"/>
          </w:tcPr>
          <w:p w14:paraId="7B265ED8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0A1173D1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5A94C96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36" w:type="dxa"/>
          </w:tcPr>
          <w:p w14:paraId="18FF624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869891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BE298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514AF90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4440601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4B3A81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2B45B5E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13068196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2C7857F4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4: &gt;6 × ULN</w:t>
            </w:r>
          </w:p>
        </w:tc>
        <w:tc>
          <w:tcPr>
            <w:tcW w:w="992" w:type="dxa"/>
            <w:vAlign w:val="center"/>
          </w:tcPr>
          <w:p w14:paraId="1FD2FDD7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7C60DE8B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2B46789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36" w:type="dxa"/>
          </w:tcPr>
          <w:p w14:paraId="498D7A6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39D555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E01D4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11D141B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23D286B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E86B24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7073516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2C89978F" w14:textId="77777777" w:rsidTr="008B05D6">
        <w:trPr>
          <w:trHeight w:val="397"/>
        </w:trPr>
        <w:tc>
          <w:tcPr>
            <w:tcW w:w="14708" w:type="dxa"/>
            <w:gridSpan w:val="11"/>
            <w:shd w:val="clear" w:color="auto" w:fill="auto"/>
          </w:tcPr>
          <w:p w14:paraId="7BA60E90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Creatine kinase, n (%)</w:t>
            </w:r>
          </w:p>
        </w:tc>
      </w:tr>
      <w:tr w:rsidR="006B4E76" w:rsidRPr="00487373" w14:paraId="085089F9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35881C7F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1: &gt;ULN and ≤2.5 × ULN</w:t>
            </w:r>
          </w:p>
        </w:tc>
        <w:tc>
          <w:tcPr>
            <w:tcW w:w="992" w:type="dxa"/>
            <w:vAlign w:val="center"/>
          </w:tcPr>
          <w:p w14:paraId="41B9FBE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276" w:type="dxa"/>
            <w:vAlign w:val="center"/>
          </w:tcPr>
          <w:p w14:paraId="170240A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12 (41)</w:t>
            </w:r>
          </w:p>
        </w:tc>
        <w:tc>
          <w:tcPr>
            <w:tcW w:w="1304" w:type="dxa"/>
            <w:vAlign w:val="center"/>
          </w:tcPr>
          <w:p w14:paraId="4C77688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10 (26)</w:t>
            </w:r>
          </w:p>
        </w:tc>
        <w:tc>
          <w:tcPr>
            <w:tcW w:w="236" w:type="dxa"/>
          </w:tcPr>
          <w:p w14:paraId="1BF1509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3AE8DE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5 (5)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85810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26 (28)</w:t>
            </w:r>
          </w:p>
        </w:tc>
        <w:tc>
          <w:tcPr>
            <w:tcW w:w="1105" w:type="dxa"/>
            <w:vAlign w:val="center"/>
          </w:tcPr>
          <w:p w14:paraId="5EB2A06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13 (21)</w:t>
            </w:r>
          </w:p>
        </w:tc>
        <w:tc>
          <w:tcPr>
            <w:tcW w:w="257" w:type="dxa"/>
          </w:tcPr>
          <w:p w14:paraId="05C1AE7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24E295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32 (34)</w:t>
            </w:r>
          </w:p>
        </w:tc>
        <w:tc>
          <w:tcPr>
            <w:tcW w:w="1132" w:type="dxa"/>
            <w:vAlign w:val="center"/>
          </w:tcPr>
          <w:p w14:paraId="3B96192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14 (22)</w:t>
            </w:r>
          </w:p>
        </w:tc>
      </w:tr>
      <w:tr w:rsidR="006B4E76" w:rsidRPr="00487373" w14:paraId="3538D455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14C9D8E5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2: &gt;2.5 × ULN and ≤5 × ULN</w:t>
            </w:r>
          </w:p>
        </w:tc>
        <w:tc>
          <w:tcPr>
            <w:tcW w:w="992" w:type="dxa"/>
            <w:vAlign w:val="center"/>
          </w:tcPr>
          <w:p w14:paraId="1E928EF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276" w:type="dxa"/>
            <w:vAlign w:val="center"/>
          </w:tcPr>
          <w:p w14:paraId="7782DE3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304" w:type="dxa"/>
            <w:vAlign w:val="center"/>
          </w:tcPr>
          <w:p w14:paraId="72949B7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3 (8)</w:t>
            </w:r>
          </w:p>
        </w:tc>
        <w:tc>
          <w:tcPr>
            <w:tcW w:w="236" w:type="dxa"/>
          </w:tcPr>
          <w:p w14:paraId="4A1CB47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A45094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82023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 (1)</w:t>
            </w:r>
          </w:p>
        </w:tc>
        <w:tc>
          <w:tcPr>
            <w:tcW w:w="1105" w:type="dxa"/>
            <w:vAlign w:val="center"/>
          </w:tcPr>
          <w:p w14:paraId="779D04B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5DCB253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560951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 (2)</w:t>
            </w:r>
          </w:p>
        </w:tc>
        <w:tc>
          <w:tcPr>
            <w:tcW w:w="1132" w:type="dxa"/>
            <w:vAlign w:val="center"/>
          </w:tcPr>
          <w:p w14:paraId="754362F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 (2)</w:t>
            </w:r>
          </w:p>
        </w:tc>
      </w:tr>
      <w:tr w:rsidR="006B4E76" w:rsidRPr="00487373" w14:paraId="508692BD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60368DAE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3: &gt;5 × ULN and ≤10 × ULN</w:t>
            </w:r>
          </w:p>
        </w:tc>
        <w:tc>
          <w:tcPr>
            <w:tcW w:w="992" w:type="dxa"/>
            <w:vAlign w:val="center"/>
          </w:tcPr>
          <w:p w14:paraId="27E62D0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276" w:type="dxa"/>
            <w:vAlign w:val="center"/>
          </w:tcPr>
          <w:p w14:paraId="4459E65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 (3)</w:t>
            </w:r>
          </w:p>
        </w:tc>
        <w:tc>
          <w:tcPr>
            <w:tcW w:w="1304" w:type="dxa"/>
            <w:vAlign w:val="center"/>
          </w:tcPr>
          <w:p w14:paraId="47E77DE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dxa"/>
          </w:tcPr>
          <w:p w14:paraId="16D644B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516D7A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5B095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67821DE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14:paraId="05C1215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D2825C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683EE93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5D300E21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55B844BC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Grade 4: &gt;10 × ULN</w:t>
            </w:r>
          </w:p>
        </w:tc>
        <w:tc>
          <w:tcPr>
            <w:tcW w:w="992" w:type="dxa"/>
            <w:vAlign w:val="center"/>
          </w:tcPr>
          <w:p w14:paraId="1931C59A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25766E9A" w14:textId="77777777" w:rsidR="006B4E76" w:rsidRPr="00487373" w:rsidRDefault="006B4E76" w:rsidP="008B05D6">
            <w:pPr>
              <w:jc w:val="center"/>
              <w:rPr>
                <w:rFonts w:eastAsia="CourierNew,Bold"/>
                <w:bCs/>
                <w:sz w:val="20"/>
                <w:szCs w:val="20"/>
                <w:lang w:val="en-US" w:eastAsia="en-US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4B7DD2A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36" w:type="dxa"/>
          </w:tcPr>
          <w:p w14:paraId="3506254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7D211B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FEF81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30807D4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 (2)</w:t>
            </w:r>
          </w:p>
        </w:tc>
        <w:tc>
          <w:tcPr>
            <w:tcW w:w="257" w:type="dxa"/>
          </w:tcPr>
          <w:p w14:paraId="4C53988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E0EB38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5509348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 (2)</w:t>
            </w:r>
          </w:p>
        </w:tc>
      </w:tr>
      <w:tr w:rsidR="006B4E76" w:rsidRPr="00487373" w14:paraId="2FE6E4DF" w14:textId="77777777" w:rsidTr="008B05D6">
        <w:trPr>
          <w:trHeight w:val="397"/>
        </w:trPr>
        <w:tc>
          <w:tcPr>
            <w:tcW w:w="14708" w:type="dxa"/>
            <w:gridSpan w:val="11"/>
            <w:shd w:val="clear" w:color="auto" w:fill="auto"/>
          </w:tcPr>
          <w:p w14:paraId="179AFCF4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LDL cholesterol,</w:t>
            </w:r>
            <w:r w:rsidRPr="00487373" w:rsidDel="00162F38">
              <w:rPr>
                <w:rFonts w:eastAsia="ＭＳ 明朝"/>
                <w:sz w:val="20"/>
                <w:szCs w:val="20"/>
                <w:vertAlign w:val="superscript"/>
              </w:rPr>
              <w:t xml:space="preserve"> </w:t>
            </w:r>
            <w:r w:rsidRPr="00487373">
              <w:rPr>
                <w:rFonts w:eastAsia="Calibri"/>
                <w:sz w:val="20"/>
                <w:szCs w:val="20"/>
              </w:rPr>
              <w:t>n/N-obs (%)</w:t>
            </w:r>
          </w:p>
        </w:tc>
      </w:tr>
      <w:tr w:rsidR="006B4E76" w:rsidRPr="00487373" w14:paraId="19C17D5C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47E71CBF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Increased by category at maximum to near optimal: ≥100 to &lt;130 mg/dL</w:t>
            </w:r>
          </w:p>
        </w:tc>
        <w:tc>
          <w:tcPr>
            <w:tcW w:w="992" w:type="dxa"/>
            <w:vAlign w:val="center"/>
          </w:tcPr>
          <w:p w14:paraId="0846AE2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9/34 (26)</w:t>
            </w:r>
          </w:p>
        </w:tc>
        <w:tc>
          <w:tcPr>
            <w:tcW w:w="1276" w:type="dxa"/>
            <w:vAlign w:val="center"/>
          </w:tcPr>
          <w:p w14:paraId="1A93845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3/27 (11)</w:t>
            </w:r>
          </w:p>
        </w:tc>
        <w:tc>
          <w:tcPr>
            <w:tcW w:w="1304" w:type="dxa"/>
            <w:vAlign w:val="center"/>
          </w:tcPr>
          <w:p w14:paraId="2849526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9/38 (24)</w:t>
            </w:r>
          </w:p>
        </w:tc>
        <w:tc>
          <w:tcPr>
            <w:tcW w:w="236" w:type="dxa"/>
          </w:tcPr>
          <w:p w14:paraId="1FEB0DD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77FA5F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7/82 (9)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0E9D9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9/85 (11)</w:t>
            </w:r>
          </w:p>
        </w:tc>
        <w:tc>
          <w:tcPr>
            <w:tcW w:w="1105" w:type="dxa"/>
            <w:vAlign w:val="center"/>
          </w:tcPr>
          <w:p w14:paraId="26BF9D4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11/58 (19)</w:t>
            </w:r>
          </w:p>
        </w:tc>
        <w:tc>
          <w:tcPr>
            <w:tcW w:w="257" w:type="dxa"/>
          </w:tcPr>
          <w:p w14:paraId="2002030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83A6FD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11/85 (13)</w:t>
            </w:r>
          </w:p>
        </w:tc>
        <w:tc>
          <w:tcPr>
            <w:tcW w:w="1132" w:type="dxa"/>
            <w:vAlign w:val="center"/>
          </w:tcPr>
          <w:p w14:paraId="44E17E9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11/58 (19)</w:t>
            </w:r>
          </w:p>
        </w:tc>
      </w:tr>
      <w:tr w:rsidR="006B4E76" w:rsidRPr="00487373" w14:paraId="0911285D" w14:textId="77777777" w:rsidTr="00156914">
        <w:trPr>
          <w:trHeight w:val="397"/>
        </w:trPr>
        <w:tc>
          <w:tcPr>
            <w:tcW w:w="4786" w:type="dxa"/>
            <w:shd w:val="clear" w:color="auto" w:fill="auto"/>
          </w:tcPr>
          <w:p w14:paraId="2EF2EF7D" w14:textId="77777777" w:rsidR="006B4E76" w:rsidRPr="00487373" w:rsidRDefault="006B4E76" w:rsidP="008B05D6">
            <w:pPr>
              <w:keepNext/>
              <w:keepLines/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Increased by category at maximum to borderline high: ≥130 to &lt;160 mg/dL</w:t>
            </w:r>
          </w:p>
        </w:tc>
        <w:tc>
          <w:tcPr>
            <w:tcW w:w="992" w:type="dxa"/>
            <w:vAlign w:val="center"/>
          </w:tcPr>
          <w:p w14:paraId="38DA69A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8/34 (24)</w:t>
            </w:r>
          </w:p>
        </w:tc>
        <w:tc>
          <w:tcPr>
            <w:tcW w:w="1276" w:type="dxa"/>
            <w:vAlign w:val="center"/>
          </w:tcPr>
          <w:p w14:paraId="2E14CE7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9/27 (33)</w:t>
            </w:r>
          </w:p>
        </w:tc>
        <w:tc>
          <w:tcPr>
            <w:tcW w:w="1304" w:type="dxa"/>
            <w:vAlign w:val="center"/>
          </w:tcPr>
          <w:p w14:paraId="6F41830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8/38 (21)</w:t>
            </w:r>
          </w:p>
        </w:tc>
        <w:tc>
          <w:tcPr>
            <w:tcW w:w="236" w:type="dxa"/>
          </w:tcPr>
          <w:p w14:paraId="3F4D38B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085270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4/82 (5)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374F5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29/85 (34)</w:t>
            </w:r>
          </w:p>
        </w:tc>
        <w:tc>
          <w:tcPr>
            <w:tcW w:w="1105" w:type="dxa"/>
            <w:vAlign w:val="center"/>
          </w:tcPr>
          <w:p w14:paraId="67EBE35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10/58 (17)</w:t>
            </w:r>
          </w:p>
        </w:tc>
        <w:tc>
          <w:tcPr>
            <w:tcW w:w="257" w:type="dxa"/>
          </w:tcPr>
          <w:p w14:paraId="5F7CA06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B223A3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27/85 (32)</w:t>
            </w:r>
          </w:p>
        </w:tc>
        <w:tc>
          <w:tcPr>
            <w:tcW w:w="1132" w:type="dxa"/>
            <w:vAlign w:val="center"/>
          </w:tcPr>
          <w:p w14:paraId="7B1FABD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16/58 (28)</w:t>
            </w:r>
          </w:p>
        </w:tc>
      </w:tr>
      <w:tr w:rsidR="006B4E76" w:rsidRPr="00487373" w14:paraId="1B2B7902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72461AA0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Increased by category at maximum to high: ≥160 to &lt;190 mg/dL</w:t>
            </w:r>
          </w:p>
        </w:tc>
        <w:tc>
          <w:tcPr>
            <w:tcW w:w="992" w:type="dxa"/>
            <w:vAlign w:val="center"/>
          </w:tcPr>
          <w:p w14:paraId="067857B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1/34 (3)</w:t>
            </w:r>
          </w:p>
        </w:tc>
        <w:tc>
          <w:tcPr>
            <w:tcW w:w="1276" w:type="dxa"/>
            <w:vAlign w:val="center"/>
          </w:tcPr>
          <w:p w14:paraId="51CA27C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7/27 (26)</w:t>
            </w:r>
          </w:p>
        </w:tc>
        <w:tc>
          <w:tcPr>
            <w:tcW w:w="1304" w:type="dxa"/>
            <w:vAlign w:val="center"/>
          </w:tcPr>
          <w:p w14:paraId="5363DEE5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7/38 (18)</w:t>
            </w:r>
          </w:p>
        </w:tc>
        <w:tc>
          <w:tcPr>
            <w:tcW w:w="236" w:type="dxa"/>
          </w:tcPr>
          <w:p w14:paraId="396AD17B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1F330C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4/82 (5)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A40F7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9/85 (11)</w:t>
            </w:r>
          </w:p>
        </w:tc>
        <w:tc>
          <w:tcPr>
            <w:tcW w:w="1105" w:type="dxa"/>
            <w:vAlign w:val="center"/>
          </w:tcPr>
          <w:p w14:paraId="25F371F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5/58 (9)</w:t>
            </w:r>
          </w:p>
        </w:tc>
        <w:tc>
          <w:tcPr>
            <w:tcW w:w="257" w:type="dxa"/>
          </w:tcPr>
          <w:p w14:paraId="07683A99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49CAA9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11/85 (13)</w:t>
            </w:r>
          </w:p>
        </w:tc>
        <w:tc>
          <w:tcPr>
            <w:tcW w:w="1132" w:type="dxa"/>
            <w:vAlign w:val="center"/>
          </w:tcPr>
          <w:p w14:paraId="494946B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7/58 (12)</w:t>
            </w:r>
          </w:p>
        </w:tc>
      </w:tr>
      <w:tr w:rsidR="006B4E76" w:rsidRPr="00487373" w14:paraId="0D1B0945" w14:textId="77777777" w:rsidTr="008B05D6">
        <w:trPr>
          <w:trHeight w:val="39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DCE0BFA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Increased by category at maximum to very high: ≥190 mg/dL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AE764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2/34 (6)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FB359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4/27 (15)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744A2F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2/38 (5)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2DFE1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A3A1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0/82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4180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10/85 (12)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BEA351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2/58 (3)</w:t>
            </w: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33043CF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4A4197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12/85 (14)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670B6A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2/58 (3)</w:t>
            </w:r>
          </w:p>
        </w:tc>
      </w:tr>
      <w:tr w:rsidR="006B4E76" w:rsidRPr="00487373" w14:paraId="567386CD" w14:textId="77777777" w:rsidTr="008B05D6">
        <w:trPr>
          <w:trHeight w:val="397"/>
        </w:trPr>
        <w:tc>
          <w:tcPr>
            <w:tcW w:w="1470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13F5A2E" w14:textId="77777777" w:rsidR="006B4E76" w:rsidRPr="00487373" w:rsidRDefault="006B4E76" w:rsidP="008B05D6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</w:rPr>
              <w:lastRenderedPageBreak/>
              <w:t xml:space="preserve">HDL cholesterol, </w:t>
            </w:r>
            <w:r w:rsidRPr="00487373">
              <w:rPr>
                <w:rFonts w:eastAsia="Calibri"/>
                <w:sz w:val="20"/>
                <w:szCs w:val="20"/>
              </w:rPr>
              <w:t>n/N-obs (%)</w:t>
            </w:r>
          </w:p>
        </w:tc>
      </w:tr>
      <w:tr w:rsidR="006B4E76" w:rsidRPr="00487373" w14:paraId="4F930074" w14:textId="77777777" w:rsidTr="008B05D6">
        <w:trPr>
          <w:trHeight w:val="397"/>
        </w:trPr>
        <w:tc>
          <w:tcPr>
            <w:tcW w:w="4786" w:type="dxa"/>
            <w:shd w:val="clear" w:color="auto" w:fill="auto"/>
          </w:tcPr>
          <w:p w14:paraId="29075C7D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Decreased by category at minimum to normal: ≥40 to &lt;60 mg/dL</w:t>
            </w:r>
          </w:p>
        </w:tc>
        <w:tc>
          <w:tcPr>
            <w:tcW w:w="992" w:type="dxa"/>
            <w:vAlign w:val="center"/>
          </w:tcPr>
          <w:p w14:paraId="1A73DE1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4/34 (12)</w:t>
            </w:r>
          </w:p>
        </w:tc>
        <w:tc>
          <w:tcPr>
            <w:tcW w:w="1276" w:type="dxa"/>
            <w:vAlign w:val="center"/>
          </w:tcPr>
          <w:p w14:paraId="6A1CA293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0/27</w:t>
            </w:r>
          </w:p>
        </w:tc>
        <w:tc>
          <w:tcPr>
            <w:tcW w:w="1304" w:type="dxa"/>
            <w:vAlign w:val="center"/>
          </w:tcPr>
          <w:p w14:paraId="6795C967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1/38 (3)</w:t>
            </w:r>
          </w:p>
        </w:tc>
        <w:tc>
          <w:tcPr>
            <w:tcW w:w="236" w:type="dxa"/>
          </w:tcPr>
          <w:p w14:paraId="785C52C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8DF83E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7/89 (8)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D38A4A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1/90 (1)</w:t>
            </w:r>
          </w:p>
        </w:tc>
        <w:tc>
          <w:tcPr>
            <w:tcW w:w="1105" w:type="dxa"/>
            <w:vAlign w:val="center"/>
          </w:tcPr>
          <w:p w14:paraId="2B6CDECC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2/61 (3)</w:t>
            </w:r>
          </w:p>
        </w:tc>
        <w:tc>
          <w:tcPr>
            <w:tcW w:w="257" w:type="dxa"/>
          </w:tcPr>
          <w:p w14:paraId="0AAC0E8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5B545E8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2/90 (2)</w:t>
            </w:r>
          </w:p>
        </w:tc>
        <w:tc>
          <w:tcPr>
            <w:tcW w:w="1132" w:type="dxa"/>
            <w:vAlign w:val="center"/>
          </w:tcPr>
          <w:p w14:paraId="16477CF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6/61 (10)</w:t>
            </w:r>
          </w:p>
        </w:tc>
      </w:tr>
      <w:tr w:rsidR="006B4E76" w:rsidRPr="00487373" w14:paraId="2112F8B5" w14:textId="77777777" w:rsidTr="008B05D6">
        <w:trPr>
          <w:trHeight w:val="39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585365C" w14:textId="77777777" w:rsidR="006B4E76" w:rsidRPr="00487373" w:rsidRDefault="006B4E76" w:rsidP="008B05D6">
            <w:pPr>
              <w:tabs>
                <w:tab w:val="left" w:pos="285"/>
              </w:tabs>
              <w:ind w:left="318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Decreased by category at minimum to low: &lt;40 mg/dL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83478D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0/34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5CEE26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0/27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5290072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CourierNew,Bold"/>
                <w:bCs/>
                <w:sz w:val="20"/>
                <w:szCs w:val="20"/>
                <w:lang w:val="en-US" w:eastAsia="en-US"/>
              </w:rPr>
              <w:t>1/38 (3)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2EAA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20A2E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2/89 (2)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D289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0/90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B8A9380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1/61 (2)</w:t>
            </w: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4E497854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39A1EC1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0/90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A9AD60F" w14:textId="77777777" w:rsidR="006B4E76" w:rsidRPr="00487373" w:rsidRDefault="006B4E76" w:rsidP="008B05D6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1/61 (2)</w:t>
            </w:r>
          </w:p>
        </w:tc>
      </w:tr>
    </w:tbl>
    <w:p w14:paraId="390BFF83" w14:textId="77777777" w:rsidR="00384BD2" w:rsidRDefault="00384BD2" w:rsidP="00401013">
      <w:pPr>
        <w:ind w:right="-738"/>
        <w:rPr>
          <w:rFonts w:eastAsia="ＭＳ 明朝"/>
          <w:sz w:val="20"/>
          <w:szCs w:val="20"/>
          <w:lang w:eastAsia="ja-JP"/>
        </w:rPr>
      </w:pPr>
      <w:r w:rsidRPr="00487373">
        <w:rPr>
          <w:rFonts w:eastAsia="ＭＳ 明朝"/>
          <w:sz w:val="20"/>
          <w:szCs w:val="20"/>
          <w:lang w:eastAsia="ja-JP"/>
        </w:rPr>
        <w:t>ADA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adalimumab; BARI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baricitinib; CTCA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Common Terminology Criteria for Adverse Events; F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female; HDL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high-density lipoprotein; LDL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low-density lipoprotein; M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male; MTX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methotrexate; N-obs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number of patients in the analysis; PBO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placebo; ULN</w:t>
      </w:r>
      <w:r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upper limit of normal.</w:t>
      </w:r>
    </w:p>
    <w:p w14:paraId="07866AF7" w14:textId="77777777" w:rsidR="008B05D6" w:rsidRDefault="008B05D6" w:rsidP="008B05D6">
      <w:pPr>
        <w:ind w:right="964"/>
        <w:rPr>
          <w:rFonts w:eastAsia="ＭＳ 明朝"/>
          <w:sz w:val="20"/>
          <w:szCs w:val="20"/>
          <w:lang w:eastAsia="ja-JP"/>
        </w:rPr>
      </w:pPr>
    </w:p>
    <w:p w14:paraId="4AF5645F" w14:textId="35C90732" w:rsidR="006B4E76" w:rsidRPr="00487373" w:rsidRDefault="00C90258" w:rsidP="008B05D6">
      <w:pPr>
        <w:ind w:right="964"/>
        <w:rPr>
          <w:rFonts w:eastAsia="ＭＳ 明朝"/>
          <w:b/>
          <w:sz w:val="20"/>
          <w:szCs w:val="20"/>
          <w:lang w:val="en-US" w:eastAsia="ja-JP"/>
        </w:rPr>
      </w:pPr>
      <w:proofErr w:type="gramStart"/>
      <w:r w:rsidRPr="00A93B5D">
        <w:rPr>
          <w:rFonts w:eastAsia="ＭＳ 明朝"/>
          <w:sz w:val="20"/>
          <w:szCs w:val="20"/>
          <w:vertAlign w:val="superscript"/>
          <w:lang w:eastAsia="ja-JP"/>
        </w:rPr>
        <w:t>a</w:t>
      </w:r>
      <w:proofErr w:type="gramEnd"/>
      <w:r w:rsidR="006B4E76" w:rsidRPr="00487373">
        <w:rPr>
          <w:rFonts w:eastAsia="ＭＳ 明朝"/>
          <w:sz w:val="20"/>
          <w:szCs w:val="20"/>
          <w:lang w:eastAsia="ja-JP"/>
        </w:rPr>
        <w:t> Unless otherwise specified, data represent maximum grade postbaseline for patients who had an increase in category from baseline.</w:t>
      </w:r>
      <w:r w:rsidR="006B4E76" w:rsidRPr="00487373">
        <w:rPr>
          <w:rFonts w:eastAsia="ＭＳ 明朝"/>
          <w:sz w:val="20"/>
          <w:szCs w:val="20"/>
          <w:lang w:val="en-US" w:eastAsia="ja-JP"/>
        </w:rPr>
        <w:br w:type="page"/>
      </w:r>
    </w:p>
    <w:p w14:paraId="43185EE3" w14:textId="77777777" w:rsidR="006B4E76" w:rsidRPr="00487373" w:rsidRDefault="006B4E76" w:rsidP="00487373">
      <w:pPr>
        <w:spacing w:line="480" w:lineRule="auto"/>
        <w:rPr>
          <w:rFonts w:eastAsia="ＭＳ 明朝"/>
          <w:b/>
          <w:sz w:val="20"/>
          <w:szCs w:val="20"/>
          <w:lang w:val="en-US" w:eastAsia="ja-JP"/>
        </w:rPr>
      </w:pPr>
      <w:r w:rsidRPr="00487373">
        <w:rPr>
          <w:rFonts w:eastAsia="ＭＳ 明朝"/>
          <w:b/>
          <w:sz w:val="20"/>
          <w:szCs w:val="20"/>
          <w:lang w:val="en-US" w:eastAsia="ja-JP"/>
        </w:rPr>
        <w:lastRenderedPageBreak/>
        <w:t xml:space="preserve">Supplementary Table S5. </w:t>
      </w:r>
      <w:r w:rsidRPr="00A93B5D">
        <w:rPr>
          <w:rFonts w:eastAsia="ＭＳ 明朝"/>
          <w:sz w:val="20"/>
          <w:szCs w:val="20"/>
          <w:lang w:val="en-US" w:eastAsia="ja-JP"/>
        </w:rPr>
        <w:t>Safety summary for RA-BUILD and RA-BEACON</w:t>
      </w:r>
    </w:p>
    <w:tbl>
      <w:tblPr>
        <w:tblW w:w="10321" w:type="dxa"/>
        <w:tblLayout w:type="fixed"/>
        <w:tblLook w:val="01E0" w:firstRow="1" w:lastRow="1" w:firstColumn="1" w:lastColumn="1" w:noHBand="0" w:noVBand="0"/>
      </w:tblPr>
      <w:tblGrid>
        <w:gridCol w:w="2261"/>
        <w:gridCol w:w="1304"/>
        <w:gridCol w:w="1304"/>
        <w:gridCol w:w="1304"/>
        <w:gridCol w:w="236"/>
        <w:gridCol w:w="1304"/>
        <w:gridCol w:w="1304"/>
        <w:gridCol w:w="1304"/>
      </w:tblGrid>
      <w:tr w:rsidR="006B4E76" w:rsidRPr="00487373" w14:paraId="471E85A4" w14:textId="77777777" w:rsidTr="009F2670">
        <w:trPr>
          <w:trHeight w:val="391"/>
        </w:trPr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14:paraId="18FD0428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  <w:vAlign w:val="center"/>
          </w:tcPr>
          <w:p w14:paraId="3D953644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</w:rPr>
              <w:t>RA-B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UILD</w:t>
            </w:r>
            <w:r w:rsidRPr="00487373">
              <w:rPr>
                <w:rFonts w:eastAsia="ＭＳ 明朝"/>
                <w:sz w:val="20"/>
                <w:szCs w:val="20"/>
              </w:rPr>
              <w:t>, Weeks 0–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04FB056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  <w:vAlign w:val="center"/>
          </w:tcPr>
          <w:p w14:paraId="2C2CA0B8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RA-BE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ACON</w:t>
            </w:r>
            <w:r w:rsidRPr="00487373">
              <w:rPr>
                <w:rFonts w:eastAsia="ＭＳ 明朝"/>
                <w:sz w:val="20"/>
                <w:szCs w:val="20"/>
              </w:rPr>
              <w:t>, Weeks 0–24</w:t>
            </w:r>
          </w:p>
        </w:tc>
      </w:tr>
      <w:tr w:rsidR="006B4E76" w:rsidRPr="00487373" w14:paraId="6B3A8348" w14:textId="77777777" w:rsidTr="009F2670">
        <w:trPr>
          <w:trHeight w:val="665"/>
        </w:trPr>
        <w:tc>
          <w:tcPr>
            <w:tcW w:w="2261" w:type="dxa"/>
            <w:vAlign w:val="center"/>
          </w:tcPr>
          <w:p w14:paraId="78F9B366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Variable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1E64538E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PBO</w:t>
            </w:r>
          </w:p>
          <w:p w14:paraId="09E64009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8</w:t>
            </w:r>
            <w:r w:rsidRPr="00487373">
              <w:rPr>
                <w:rFonts w:eastAsia="ＭＳ 明朝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61335DC1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2-mg</w:t>
            </w:r>
          </w:p>
          <w:p w14:paraId="0AA08FB5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6</w:t>
            </w:r>
            <w:r w:rsidRPr="00487373">
              <w:rPr>
                <w:rFonts w:eastAsia="ＭＳ 明朝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4CB5B705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</w:t>
            </w:r>
          </w:p>
          <w:p w14:paraId="723B115B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(N=7)</w:t>
            </w:r>
          </w:p>
        </w:tc>
        <w:tc>
          <w:tcPr>
            <w:tcW w:w="236" w:type="dxa"/>
          </w:tcPr>
          <w:p w14:paraId="5F15C864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61B599BD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PBO</w:t>
            </w:r>
          </w:p>
          <w:p w14:paraId="0ED7D9B4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6</w:t>
            </w:r>
            <w:r w:rsidRPr="00487373">
              <w:rPr>
                <w:rFonts w:eastAsia="ＭＳ 明朝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09C79367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 xml:space="preserve">BARI 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2</w:t>
            </w:r>
            <w:r w:rsidRPr="00487373">
              <w:rPr>
                <w:rFonts w:eastAsia="ＭＳ 明朝"/>
                <w:sz w:val="20"/>
                <w:szCs w:val="20"/>
              </w:rPr>
              <w:t>-mg</w:t>
            </w:r>
          </w:p>
          <w:p w14:paraId="486E950F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6</w:t>
            </w:r>
            <w:r w:rsidRPr="00487373">
              <w:rPr>
                <w:rFonts w:eastAsia="ＭＳ 明朝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55593498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BARI 4-mg</w:t>
            </w:r>
          </w:p>
          <w:p w14:paraId="5A438462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(N=</w:t>
            </w:r>
            <w:r w:rsidRPr="00487373">
              <w:rPr>
                <w:rFonts w:eastAsia="ＭＳ 明朝"/>
                <w:sz w:val="20"/>
                <w:szCs w:val="20"/>
                <w:lang w:eastAsia="ja-JP"/>
              </w:rPr>
              <w:t>8</w:t>
            </w:r>
            <w:r w:rsidRPr="00487373">
              <w:rPr>
                <w:rFonts w:eastAsia="ＭＳ 明朝"/>
                <w:sz w:val="20"/>
                <w:szCs w:val="20"/>
              </w:rPr>
              <w:t>)</w:t>
            </w:r>
          </w:p>
        </w:tc>
      </w:tr>
      <w:tr w:rsidR="006B4E76" w:rsidRPr="00487373" w14:paraId="52BBF9EF" w14:textId="77777777" w:rsidTr="009F2670">
        <w:trPr>
          <w:trHeight w:val="334"/>
        </w:trPr>
        <w:tc>
          <w:tcPr>
            <w:tcW w:w="2261" w:type="dxa"/>
            <w:shd w:val="clear" w:color="auto" w:fill="auto"/>
            <w:vAlign w:val="center"/>
          </w:tcPr>
          <w:p w14:paraId="3ECB5FA3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SAEs</w:t>
            </w:r>
          </w:p>
        </w:tc>
        <w:tc>
          <w:tcPr>
            <w:tcW w:w="1304" w:type="dxa"/>
            <w:vAlign w:val="bottom"/>
          </w:tcPr>
          <w:p w14:paraId="1B20BB12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bottom"/>
          </w:tcPr>
          <w:p w14:paraId="51B5669F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bottom"/>
          </w:tcPr>
          <w:p w14:paraId="372ECDBC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1 (14)</w:t>
            </w:r>
          </w:p>
        </w:tc>
        <w:tc>
          <w:tcPr>
            <w:tcW w:w="236" w:type="dxa"/>
            <w:vAlign w:val="bottom"/>
          </w:tcPr>
          <w:p w14:paraId="19977553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27CA454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  <w:lang w:eastAsia="ja-JP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2B906AD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bottom"/>
          </w:tcPr>
          <w:p w14:paraId="6F4204B8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0</w:t>
            </w:r>
          </w:p>
        </w:tc>
      </w:tr>
      <w:tr w:rsidR="006B4E76" w:rsidRPr="00487373" w14:paraId="77601E56" w14:textId="77777777" w:rsidTr="009F2670">
        <w:trPr>
          <w:trHeight w:val="334"/>
        </w:trPr>
        <w:tc>
          <w:tcPr>
            <w:tcW w:w="2261" w:type="dxa"/>
            <w:shd w:val="clear" w:color="auto" w:fill="auto"/>
            <w:vAlign w:val="center"/>
          </w:tcPr>
          <w:p w14:paraId="10701FAB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TEAEs</w:t>
            </w:r>
          </w:p>
        </w:tc>
        <w:tc>
          <w:tcPr>
            <w:tcW w:w="1304" w:type="dxa"/>
            <w:vAlign w:val="center"/>
          </w:tcPr>
          <w:p w14:paraId="387B8E6E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MSPMincho"/>
                <w:sz w:val="20"/>
                <w:szCs w:val="20"/>
                <w:lang w:val="en-US" w:eastAsia="en-US"/>
              </w:rPr>
              <w:t>4 (50)</w:t>
            </w:r>
          </w:p>
        </w:tc>
        <w:tc>
          <w:tcPr>
            <w:tcW w:w="1304" w:type="dxa"/>
            <w:vAlign w:val="center"/>
          </w:tcPr>
          <w:p w14:paraId="7713EB59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MSPMincho"/>
                <w:sz w:val="20"/>
                <w:szCs w:val="20"/>
                <w:lang w:val="en-US" w:eastAsia="en-US"/>
              </w:rPr>
              <w:t>5 (83)</w:t>
            </w:r>
          </w:p>
        </w:tc>
        <w:tc>
          <w:tcPr>
            <w:tcW w:w="1304" w:type="dxa"/>
            <w:vAlign w:val="center"/>
          </w:tcPr>
          <w:p w14:paraId="5238A9EB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7 (100)</w:t>
            </w:r>
          </w:p>
        </w:tc>
        <w:tc>
          <w:tcPr>
            <w:tcW w:w="236" w:type="dxa"/>
            <w:vAlign w:val="center"/>
          </w:tcPr>
          <w:p w14:paraId="62DB8E7C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BF61D64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val="en-US" w:eastAsia="en-US"/>
              </w:rPr>
              <w:t>5 (83)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D23FD9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val="en-US" w:eastAsia="en-US"/>
              </w:rPr>
              <w:t>4 (6</w:t>
            </w:r>
            <w:r w:rsidRPr="00487373">
              <w:rPr>
                <w:rFonts w:eastAsia="ＭＳ Ｐ明朝"/>
                <w:sz w:val="20"/>
                <w:szCs w:val="20"/>
                <w:lang w:val="en-US" w:eastAsia="ja-JP"/>
              </w:rPr>
              <w:t>7</w:t>
            </w:r>
            <w:r w:rsidRPr="00487373">
              <w:rPr>
                <w:rFonts w:eastAsia="ＭＳ Ｐ明朝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304" w:type="dxa"/>
            <w:vAlign w:val="center"/>
          </w:tcPr>
          <w:p w14:paraId="5BE83C5A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val="en-US" w:eastAsia="en-US"/>
              </w:rPr>
              <w:t>6 (75)</w:t>
            </w:r>
          </w:p>
        </w:tc>
      </w:tr>
      <w:tr w:rsidR="006B4E76" w:rsidRPr="00487373" w14:paraId="34DF002A" w14:textId="77777777" w:rsidTr="009F2670">
        <w:trPr>
          <w:trHeight w:val="334"/>
        </w:trPr>
        <w:tc>
          <w:tcPr>
            <w:tcW w:w="2261" w:type="dxa"/>
            <w:shd w:val="clear" w:color="auto" w:fill="auto"/>
            <w:vAlign w:val="center"/>
          </w:tcPr>
          <w:p w14:paraId="3D78BAAF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Discontinuation from study because of AE</w:t>
            </w:r>
          </w:p>
        </w:tc>
        <w:tc>
          <w:tcPr>
            <w:tcW w:w="1304" w:type="dxa"/>
            <w:vAlign w:val="center"/>
          </w:tcPr>
          <w:p w14:paraId="5B9EA5B6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704824A9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1 (17)</w:t>
            </w:r>
          </w:p>
        </w:tc>
        <w:tc>
          <w:tcPr>
            <w:tcW w:w="1304" w:type="dxa"/>
            <w:vAlign w:val="center"/>
          </w:tcPr>
          <w:p w14:paraId="1AB356AA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1 (14)</w:t>
            </w:r>
          </w:p>
        </w:tc>
        <w:tc>
          <w:tcPr>
            <w:tcW w:w="236" w:type="dxa"/>
            <w:vAlign w:val="center"/>
          </w:tcPr>
          <w:p w14:paraId="6D10878E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E2D3D96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  <w:lang w:eastAsia="ja-JP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A065A8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  <w:lang w:eastAsia="ja-JP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04" w:type="dxa"/>
            <w:vAlign w:val="center"/>
          </w:tcPr>
          <w:p w14:paraId="5C68A06B" w14:textId="77777777" w:rsidR="006B4E76" w:rsidRPr="00487373" w:rsidRDefault="006B4E76" w:rsidP="002A016B">
            <w:pPr>
              <w:jc w:val="center"/>
              <w:rPr>
                <w:rFonts w:eastAsia="ＭＳ Ｐ明朝"/>
                <w:sz w:val="20"/>
                <w:szCs w:val="20"/>
                <w:lang w:eastAsia="ja-JP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1 (13)</w:t>
            </w:r>
          </w:p>
        </w:tc>
      </w:tr>
      <w:tr w:rsidR="006B4E76" w:rsidRPr="00487373" w14:paraId="692FCC81" w14:textId="77777777" w:rsidTr="009F2670">
        <w:trPr>
          <w:trHeight w:val="334"/>
        </w:trPr>
        <w:tc>
          <w:tcPr>
            <w:tcW w:w="2261" w:type="dxa"/>
            <w:shd w:val="clear" w:color="auto" w:fill="auto"/>
            <w:vAlign w:val="center"/>
          </w:tcPr>
          <w:p w14:paraId="6A16162F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Infections</w:t>
            </w:r>
          </w:p>
        </w:tc>
        <w:tc>
          <w:tcPr>
            <w:tcW w:w="1304" w:type="dxa"/>
            <w:vAlign w:val="bottom"/>
          </w:tcPr>
          <w:p w14:paraId="6C5DFB7D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4 (50)</w:t>
            </w:r>
          </w:p>
        </w:tc>
        <w:tc>
          <w:tcPr>
            <w:tcW w:w="1304" w:type="dxa"/>
            <w:vAlign w:val="bottom"/>
          </w:tcPr>
          <w:p w14:paraId="6C85D242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2 (33)</w:t>
            </w:r>
          </w:p>
        </w:tc>
        <w:tc>
          <w:tcPr>
            <w:tcW w:w="1304" w:type="dxa"/>
            <w:vAlign w:val="bottom"/>
          </w:tcPr>
          <w:p w14:paraId="64E024E3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487373">
              <w:rPr>
                <w:rFonts w:eastAsia="ＭＳ 明朝"/>
                <w:sz w:val="20"/>
                <w:szCs w:val="20"/>
                <w:lang w:eastAsia="ja-JP"/>
              </w:rPr>
              <w:t>5 (71)</w:t>
            </w:r>
          </w:p>
        </w:tc>
        <w:tc>
          <w:tcPr>
            <w:tcW w:w="236" w:type="dxa"/>
            <w:vAlign w:val="bottom"/>
          </w:tcPr>
          <w:p w14:paraId="05F3FC7F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C2A5A6B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2</w:t>
            </w:r>
            <w:r w:rsidRPr="00487373">
              <w:rPr>
                <w:rFonts w:eastAsia="ＭＳ Ｐ明朝"/>
                <w:sz w:val="20"/>
                <w:szCs w:val="20"/>
              </w:rPr>
              <w:t xml:space="preserve"> (</w:t>
            </w: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33</w:t>
            </w:r>
            <w:r w:rsidRPr="00487373">
              <w:rPr>
                <w:rFonts w:eastAsia="ＭＳ Ｐ明朝"/>
                <w:sz w:val="20"/>
                <w:szCs w:val="20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FDBA33E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2</w:t>
            </w:r>
            <w:r w:rsidRPr="00487373">
              <w:rPr>
                <w:rFonts w:eastAsia="ＭＳ Ｐ明朝"/>
                <w:sz w:val="20"/>
                <w:szCs w:val="20"/>
              </w:rPr>
              <w:t xml:space="preserve"> (</w:t>
            </w: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33</w:t>
            </w:r>
            <w:r w:rsidRPr="00487373">
              <w:rPr>
                <w:rFonts w:eastAsia="ＭＳ Ｐ明朝"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bottom"/>
          </w:tcPr>
          <w:p w14:paraId="281282C7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1</w:t>
            </w:r>
            <w:r w:rsidRPr="00487373">
              <w:rPr>
                <w:rFonts w:eastAsia="ＭＳ Ｐ明朝"/>
                <w:sz w:val="20"/>
                <w:szCs w:val="20"/>
              </w:rPr>
              <w:t xml:space="preserve"> (</w:t>
            </w:r>
            <w:r w:rsidRPr="00487373">
              <w:rPr>
                <w:rFonts w:eastAsia="ＭＳ Ｐ明朝"/>
                <w:sz w:val="20"/>
                <w:szCs w:val="20"/>
                <w:lang w:eastAsia="ja-JP"/>
              </w:rPr>
              <w:t>13</w:t>
            </w:r>
            <w:r w:rsidRPr="00487373">
              <w:rPr>
                <w:rFonts w:eastAsia="ＭＳ Ｐ明朝"/>
                <w:sz w:val="20"/>
                <w:szCs w:val="20"/>
              </w:rPr>
              <w:t>)</w:t>
            </w:r>
          </w:p>
        </w:tc>
      </w:tr>
      <w:tr w:rsidR="006B4E76" w:rsidRPr="00487373" w14:paraId="2278B8C4" w14:textId="77777777" w:rsidTr="009F2670">
        <w:trPr>
          <w:trHeight w:val="334"/>
        </w:trPr>
        <w:tc>
          <w:tcPr>
            <w:tcW w:w="2261" w:type="dxa"/>
            <w:shd w:val="clear" w:color="auto" w:fill="auto"/>
            <w:vAlign w:val="center"/>
          </w:tcPr>
          <w:p w14:paraId="69C56440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Herpes zoster</w:t>
            </w:r>
          </w:p>
        </w:tc>
        <w:tc>
          <w:tcPr>
            <w:tcW w:w="1304" w:type="dxa"/>
            <w:vAlign w:val="center"/>
          </w:tcPr>
          <w:p w14:paraId="54A3E0F6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2DFA24EB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70672642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14:paraId="4033987B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66D6CBF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F1887D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130E30F4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65A6742B" w14:textId="77777777" w:rsidTr="009F2670">
        <w:trPr>
          <w:trHeight w:val="334"/>
        </w:trPr>
        <w:tc>
          <w:tcPr>
            <w:tcW w:w="2261" w:type="dxa"/>
            <w:shd w:val="clear" w:color="auto" w:fill="auto"/>
            <w:vAlign w:val="center"/>
          </w:tcPr>
          <w:p w14:paraId="0C54EC8E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Serious infections</w:t>
            </w:r>
          </w:p>
        </w:tc>
        <w:tc>
          <w:tcPr>
            <w:tcW w:w="1304" w:type="dxa"/>
            <w:vAlign w:val="center"/>
          </w:tcPr>
          <w:p w14:paraId="3103C3A7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78759CC1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530B9611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14:paraId="7E88F10D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94689F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7E80FD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1E2752F6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0FC4E8D6" w14:textId="77777777" w:rsidTr="009F2670">
        <w:trPr>
          <w:trHeight w:val="334"/>
        </w:trPr>
        <w:tc>
          <w:tcPr>
            <w:tcW w:w="2261" w:type="dxa"/>
            <w:shd w:val="clear" w:color="auto" w:fill="auto"/>
            <w:vAlign w:val="center"/>
          </w:tcPr>
          <w:p w14:paraId="3DC3766E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Malignancies</w:t>
            </w:r>
          </w:p>
        </w:tc>
        <w:tc>
          <w:tcPr>
            <w:tcW w:w="1304" w:type="dxa"/>
            <w:vAlign w:val="center"/>
          </w:tcPr>
          <w:p w14:paraId="0EA32784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242FA65B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530DBBC3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14:paraId="50E9055A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67F1B8C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509923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14:paraId="200F8DF0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  <w:tr w:rsidR="006B4E76" w:rsidRPr="00487373" w14:paraId="2381A5C4" w14:textId="77777777" w:rsidTr="009F2670">
        <w:trPr>
          <w:trHeight w:val="334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51982" w14:textId="77777777" w:rsidR="006B4E76" w:rsidRPr="00487373" w:rsidRDefault="006B4E76" w:rsidP="002A016B">
            <w:pPr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MACE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A5059CE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7921BE9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B459F06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8F279E0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A7845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A624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00679F6" w14:textId="77777777" w:rsidR="006B4E76" w:rsidRPr="00487373" w:rsidRDefault="006B4E76" w:rsidP="002A016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87373">
              <w:rPr>
                <w:rFonts w:eastAsia="ＭＳ 明朝"/>
                <w:sz w:val="20"/>
                <w:szCs w:val="20"/>
              </w:rPr>
              <w:t>0</w:t>
            </w:r>
          </w:p>
        </w:tc>
      </w:tr>
    </w:tbl>
    <w:p w14:paraId="3FC10A0C" w14:textId="51F3CDD4" w:rsidR="006B4E76" w:rsidRPr="00487373" w:rsidRDefault="006B4E76" w:rsidP="002A016B">
      <w:pPr>
        <w:tabs>
          <w:tab w:val="center" w:pos="4320"/>
          <w:tab w:val="right" w:pos="8640"/>
        </w:tabs>
        <w:ind w:right="3657"/>
        <w:rPr>
          <w:rFonts w:eastAsia="ＭＳ 明朝"/>
          <w:sz w:val="20"/>
          <w:szCs w:val="20"/>
          <w:lang w:eastAsia="ja-JP"/>
        </w:rPr>
      </w:pPr>
      <w:r w:rsidRPr="00487373">
        <w:rPr>
          <w:rFonts w:eastAsia="ＭＳ 明朝"/>
          <w:sz w:val="20"/>
          <w:szCs w:val="20"/>
          <w:lang w:eastAsia="ja-JP"/>
        </w:rPr>
        <w:t>AE</w:t>
      </w:r>
      <w:r w:rsidR="00103E68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adverse event; BARI</w:t>
      </w:r>
      <w:r w:rsidR="00103E68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baricitinib; MACE</w:t>
      </w:r>
      <w:r w:rsidR="00103E68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major adverse cardiovascular event; PBO</w:t>
      </w:r>
      <w:r w:rsidR="00103E68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placebo; SAE</w:t>
      </w:r>
      <w:r w:rsidR="00103E68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serious adverse event; TEAE</w:t>
      </w:r>
      <w:r w:rsidR="00103E68">
        <w:rPr>
          <w:rFonts w:eastAsia="ＭＳ 明朝"/>
          <w:sz w:val="20"/>
          <w:szCs w:val="20"/>
          <w:lang w:eastAsia="ja-JP"/>
        </w:rPr>
        <w:t>:</w:t>
      </w:r>
      <w:r w:rsidRPr="00487373">
        <w:rPr>
          <w:rFonts w:eastAsia="ＭＳ 明朝"/>
          <w:sz w:val="20"/>
          <w:szCs w:val="20"/>
          <w:lang w:eastAsia="ja-JP"/>
        </w:rPr>
        <w:t xml:space="preserve"> treatment-emergent adverse event.</w:t>
      </w:r>
    </w:p>
    <w:p w14:paraId="6BAB50E3" w14:textId="77777777" w:rsidR="006B4E76" w:rsidRPr="00487373" w:rsidRDefault="006B4E76" w:rsidP="00487373">
      <w:pPr>
        <w:spacing w:line="480" w:lineRule="auto"/>
        <w:rPr>
          <w:sz w:val="20"/>
          <w:szCs w:val="20"/>
          <w:lang w:val="en-US" w:eastAsia="ja-JP"/>
        </w:rPr>
      </w:pPr>
      <w:r w:rsidRPr="00487373">
        <w:rPr>
          <w:sz w:val="20"/>
          <w:szCs w:val="20"/>
          <w:lang w:val="en-US" w:eastAsia="ja-JP"/>
        </w:rPr>
        <w:br w:type="page"/>
      </w:r>
    </w:p>
    <w:p w14:paraId="264B0F33" w14:textId="112C2652" w:rsidR="006B4E76" w:rsidRPr="00487373" w:rsidRDefault="006B4E76" w:rsidP="00487373">
      <w:pPr>
        <w:pStyle w:val="PSHeading2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lastRenderedPageBreak/>
        <w:t xml:space="preserve">Supplementary Figure S1.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Patient disposition for RA-BEGIN</w:t>
      </w:r>
    </w:p>
    <w:p w14:paraId="2892DF63" w14:textId="08B64204" w:rsidR="006B4E76" w:rsidRPr="00487373" w:rsidRDefault="006B4E76" w:rsidP="002A016B">
      <w:pPr>
        <w:pStyle w:val="PSTextX1space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14DB1789" wp14:editId="3DFC6239">
            <wp:extent cx="6905133" cy="487058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1751" cy="487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br w:type="textWrapping" w:clear="all"/>
        <w:t>LTE</w:t>
      </w:r>
      <w:r w:rsidR="004E0C4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long-term extension; MTX</w:t>
      </w:r>
      <w:r w:rsidR="004E0C4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methotrexate.</w:t>
      </w:r>
    </w:p>
    <w:p w14:paraId="259093DC" w14:textId="530F43B5" w:rsidR="006B4E76" w:rsidRPr="00487373" w:rsidRDefault="006B4E76" w:rsidP="00487373">
      <w:pPr>
        <w:spacing w:line="480" w:lineRule="auto"/>
        <w:rPr>
          <w:b/>
          <w:sz w:val="20"/>
          <w:szCs w:val="20"/>
          <w:lang w:val="en-US" w:eastAsia="ja-JP"/>
        </w:rPr>
      </w:pPr>
      <w:r w:rsidRPr="00487373">
        <w:rPr>
          <w:b/>
          <w:sz w:val="20"/>
          <w:szCs w:val="20"/>
          <w:lang w:val="en-US" w:eastAsia="ja-JP"/>
        </w:rPr>
        <w:br w:type="page"/>
      </w:r>
      <w:r w:rsidRPr="00487373">
        <w:rPr>
          <w:b/>
          <w:sz w:val="20"/>
          <w:szCs w:val="20"/>
          <w:lang w:val="en-US" w:eastAsia="ja-JP"/>
        </w:rPr>
        <w:lastRenderedPageBreak/>
        <w:t xml:space="preserve">Supplementary Figure S2. </w:t>
      </w:r>
      <w:r w:rsidRPr="00A93B5D">
        <w:rPr>
          <w:sz w:val="20"/>
          <w:szCs w:val="20"/>
          <w:lang w:val="en-US" w:eastAsia="ja-JP"/>
        </w:rPr>
        <w:t>Patient disposition for RA-BEAM</w:t>
      </w:r>
    </w:p>
    <w:p w14:paraId="36852FEC" w14:textId="77777777" w:rsidR="006B4E76" w:rsidRPr="00487373" w:rsidRDefault="006B4E76" w:rsidP="00487373">
      <w:pPr>
        <w:pStyle w:val="PSTextX1space"/>
        <w:spacing w:line="48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2E2CDD96" wp14:editId="0A3D8AD4">
            <wp:extent cx="7419975" cy="485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31C6" w14:textId="5FEF2A71" w:rsidR="006B4E76" w:rsidRPr="00487373" w:rsidRDefault="006B4E76" w:rsidP="002A016B">
      <w:pPr>
        <w:pStyle w:val="PSTextX1space"/>
        <w:rPr>
          <w:rFonts w:ascii="Times New Roman" w:hAnsi="Times New Roman" w:cs="Times New Roman"/>
          <w:b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LTE</w:t>
      </w:r>
      <w:r w:rsidR="004E0C4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long-term extension.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br w:type="page"/>
      </w:r>
    </w:p>
    <w:p w14:paraId="535E45E1" w14:textId="753C1587" w:rsidR="006B4E76" w:rsidRPr="00487373" w:rsidRDefault="006B4E76" w:rsidP="00487373">
      <w:pPr>
        <w:pStyle w:val="PSHeading2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lastRenderedPageBreak/>
        <w:t xml:space="preserve">Supplementary Figure S3.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Patient disposition for RA-BUILD</w:t>
      </w:r>
    </w:p>
    <w:p w14:paraId="62ABB77B" w14:textId="77777777" w:rsidR="006B4E76" w:rsidRPr="00487373" w:rsidRDefault="006B4E76" w:rsidP="00487373">
      <w:pPr>
        <w:pStyle w:val="PSTextX1space"/>
        <w:spacing w:line="48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7603977E" wp14:editId="02D7AA9F">
            <wp:extent cx="7052153" cy="504507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7657" cy="504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D55A" w14:textId="752E2A5C" w:rsidR="006B4E76" w:rsidRPr="00487373" w:rsidRDefault="006B4E76" w:rsidP="002A016B">
      <w:pPr>
        <w:pStyle w:val="PSTextX1space"/>
        <w:rPr>
          <w:rFonts w:ascii="Times New Roman" w:hAnsi="Times New Roman" w:cs="Times New Roman"/>
          <w:b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LTE</w:t>
      </w:r>
      <w:r w:rsidR="004E0C4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long-term extension.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br w:type="page"/>
      </w:r>
    </w:p>
    <w:p w14:paraId="64C7DE92" w14:textId="071C0EDA" w:rsidR="006B4E76" w:rsidRPr="00487373" w:rsidRDefault="006B4E76" w:rsidP="00487373">
      <w:pPr>
        <w:pStyle w:val="PSHeading2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lastRenderedPageBreak/>
        <w:t xml:space="preserve">Supplementary Figure S4.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Patient disposition for RA-BEACON</w:t>
      </w:r>
    </w:p>
    <w:p w14:paraId="62B27110" w14:textId="77777777" w:rsidR="006B4E76" w:rsidRPr="00487373" w:rsidRDefault="006B4E76" w:rsidP="00487373">
      <w:pPr>
        <w:pStyle w:val="PSHeading2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26B95454" wp14:editId="2EE4E7B2">
            <wp:extent cx="7214992" cy="503138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20780" cy="5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84D79" w14:textId="71A85689" w:rsidR="006B4E76" w:rsidRPr="00487373" w:rsidRDefault="006B4E76" w:rsidP="002A016B">
      <w:pPr>
        <w:pStyle w:val="PSTextX1space"/>
        <w:rPr>
          <w:rFonts w:ascii="Times New Roman" w:hAnsi="Times New Roman" w:cs="Times New Roman"/>
          <w:b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LTE</w:t>
      </w:r>
      <w:r w:rsidR="0045738C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long-term extension.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br w:type="page"/>
      </w:r>
    </w:p>
    <w:p w14:paraId="3DB112EB" w14:textId="77777777" w:rsidR="006B4E76" w:rsidRPr="00487373" w:rsidRDefault="006B4E76" w:rsidP="002A016B">
      <w:pPr>
        <w:pStyle w:val="PSHeading2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  <w:sectPr w:rsidR="006B4E76" w:rsidRPr="00487373" w:rsidSect="00402B13">
          <w:footerReference w:type="default" r:id="rId13"/>
          <w:pgSz w:w="16840" w:h="11907" w:orient="landscape" w:code="9"/>
          <w:pgMar w:top="1134" w:right="851" w:bottom="1134" w:left="851" w:header="0" w:footer="0" w:gutter="0"/>
          <w:cols w:space="708"/>
          <w:docGrid w:linePitch="360"/>
        </w:sectPr>
      </w:pPr>
    </w:p>
    <w:p w14:paraId="4D2F93DE" w14:textId="620CC239" w:rsidR="006B4E76" w:rsidRPr="00487373" w:rsidRDefault="006B4E76" w:rsidP="00487373">
      <w:pPr>
        <w:pStyle w:val="PSHeading2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lastRenderedPageBreak/>
        <w:t xml:space="preserve">Supplementary Figure S5.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ACR50 and ACR70 response rates for Japanese patients in the RA-BEGIN study</w:t>
      </w:r>
    </w:p>
    <w:p w14:paraId="354884F7" w14:textId="52155EAA" w:rsidR="006B4E76" w:rsidRPr="00487373" w:rsidRDefault="00982556" w:rsidP="00487373">
      <w:pPr>
        <w:pStyle w:val="PStextX2space"/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3ECC81A3" wp14:editId="6C7E9978">
            <wp:extent cx="3953256" cy="591007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 Fig 5 +SS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591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AECE" w14:textId="4B68112F" w:rsidR="0045738C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ACR50</w:t>
      </w:r>
      <w:r w:rsidR="0045738C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American College of Rheumatology 50% improvement; ACR70</w:t>
      </w:r>
      <w:r w:rsidR="0045738C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American College of Rheumatology 70% improvement; BARI</w:t>
      </w:r>
      <w:r w:rsidR="0045738C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baricitinib; MTX</w:t>
      </w:r>
      <w:r w:rsidR="0045738C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methotrexate; NRI</w:t>
      </w:r>
      <w:r w:rsidR="0045738C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non-responder imputation.</w:t>
      </w:r>
    </w:p>
    <w:p w14:paraId="6588212A" w14:textId="77777777" w:rsidR="002A016B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3BA8BFC9" w14:textId="1D39530B" w:rsidR="006B4E76" w:rsidRPr="00487373" w:rsidRDefault="0045738C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*p≤0.05, **p≤0.01, ***p≤0.001 comparing BARI 4-mg or BARI 4-mg plus MTX to MTX monotherapy, without adjustment for multiple comparisons.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br w:type="page"/>
      </w:r>
    </w:p>
    <w:p w14:paraId="53D24D9F" w14:textId="29694BAD" w:rsidR="006B4E76" w:rsidRPr="00487373" w:rsidRDefault="006B4E76" w:rsidP="00402B13">
      <w:pPr>
        <w:pStyle w:val="PSHeading2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lastRenderedPageBreak/>
        <w:t xml:space="preserve">Supplementary Figure S6.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ACR components for Japanese patients in the RA-BEGIN study (HAQ-DI is shown in Figure 1)</w:t>
      </w:r>
    </w:p>
    <w:p w14:paraId="70B18161" w14:textId="25A89890" w:rsidR="006B4E76" w:rsidRDefault="0098255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0CD20424" wp14:editId="552740C6">
            <wp:extent cx="5760085" cy="6121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 Fig 6 +SS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The LSM change from baseline in ACR components Weeks 0-52. (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a</w:t>
      </w:r>
      <w:r w:rsidR="006B4E76" w:rsidRPr="00487373">
        <w:rPr>
          <w:rFonts w:ascii="Times New Roman" w:hAnsi="Times New Roman" w:cs="Times New Roman"/>
          <w:b/>
          <w:sz w:val="20"/>
          <w:szCs w:val="20"/>
          <w:lang w:val="en-US" w:eastAsia="ja-JP"/>
        </w:rPr>
        <w:t>-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b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number of swollen joints (SJC) based on the 0-66 count and number of tender joints (TJC) based on the 0-68 count. (</w:t>
      </w:r>
      <w:proofErr w:type="gramStart"/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c</w:t>
      </w:r>
      <w:r w:rsidR="006B4E76" w:rsidRPr="00487373">
        <w:rPr>
          <w:rFonts w:ascii="Times New Roman" w:hAnsi="Times New Roman" w:cs="Times New Roman"/>
          <w:b/>
          <w:sz w:val="20"/>
          <w:szCs w:val="20"/>
          <w:lang w:val="en-US" w:eastAsia="ja-JP"/>
        </w:rPr>
        <w:t>-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e</w:t>
      </w:r>
      <w:proofErr w:type="gramEnd"/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Range, 0-100 mm on the VAS; higher values indicate greater levels of (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c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physician-reported disease activity, (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d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patient-reported disease activity, or (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e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or patient-reported pain. (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f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) </w:t>
      </w:r>
      <w:proofErr w:type="gramStart"/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hsCRP</w:t>
      </w:r>
      <w:proofErr w:type="gramEnd"/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(ULN = 3.0-mg/L for hsCRP). Data reported as mLOCF for all measures (the last observation prior to rescue or discontinuation).</w:t>
      </w:r>
    </w:p>
    <w:p w14:paraId="0D3866CC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64BD605F" w14:textId="09B40A5B" w:rsidR="006B4E76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*p≤0.05, **p≤0.01, ***p≤0.001 comparing BARI 4-mg or BARI 4-mg plus MTX to MTX monotherapy</w:t>
      </w:r>
      <w:r w:rsidR="00D673B1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, without adjustment for multiple comparisons.</w:t>
      </w:r>
    </w:p>
    <w:p w14:paraId="47CC64F8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5026F959" w14:textId="2A3047CC" w:rsidR="006B4E76" w:rsidRPr="00487373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ACR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American College of Rheumatology; BARI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baricitinib; HAQ-DI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Health Assessment Questionnaire-Disability Index; </w:t>
      </w:r>
      <w:bookmarkStart w:id="2" w:name="OLE_LINK4"/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hsCRP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high-sensitivity C-reactive protein; </w:t>
      </w:r>
      <w:bookmarkEnd w:id="2"/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LSM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least squares mean; mLOCF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modified last observation carried forward; MTX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methotrexate; SJC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swollen joint count; TJC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tender joint count; ULN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upper limit of normal; VAS</w:t>
      </w:r>
      <w:r w:rsidR="009818D5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visual analog scale. 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br w:type="page"/>
      </w:r>
    </w:p>
    <w:p w14:paraId="0238A733" w14:textId="193F3813" w:rsidR="006B4E76" w:rsidRPr="00487373" w:rsidRDefault="006B4E76" w:rsidP="00487373">
      <w:pPr>
        <w:pStyle w:val="PSHeading2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lastRenderedPageBreak/>
        <w:t xml:space="preserve">Supplementary Figure S7.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Patient-reported outcomes for Japanese patients in the RA-BEGIN study</w:t>
      </w:r>
    </w:p>
    <w:p w14:paraId="1F80E379" w14:textId="42414281" w:rsidR="006B4E76" w:rsidRDefault="0098255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25E8C7F4" wp14:editId="507BCD1F">
            <wp:extent cx="5760085" cy="42837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 Fig 7 +SS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(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a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Median change from baseline in duration of morning joint stiffness in minutes. (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b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Worst tiredness (NRS). (</w:t>
      </w:r>
      <w:r w:rsidR="000B18D6">
        <w:rPr>
          <w:rFonts w:ascii="Times New Roman" w:hAnsi="Times New Roman" w:cs="Times New Roman"/>
          <w:b/>
          <w:sz w:val="20"/>
          <w:szCs w:val="20"/>
          <w:lang w:val="en-US" w:eastAsia="ja-JP"/>
        </w:rPr>
        <w:t>c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Worst joint pain (NRS). Patients recorded these measures in an electronic diary. Morning joint stiffness duration was truncated at a maximum value of 720 minutes. Worst tiredness: 0-10 NRS; 0 = no tiredness, 10</w:t>
      </w:r>
      <w:r w:rsidR="001F45FC">
        <w:rPr>
          <w:rFonts w:ascii="Times New Roman" w:hAnsi="Times New Roman" w:cs="Times New Roman"/>
          <w:sz w:val="20"/>
          <w:szCs w:val="20"/>
          <w:lang w:val="en-US" w:eastAsia="ja-JP"/>
        </w:rPr>
        <w:t> 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=</w:t>
      </w:r>
      <w:r w:rsidR="001F45FC">
        <w:rPr>
          <w:rFonts w:ascii="Times New Roman" w:hAnsi="Times New Roman" w:cs="Times New Roman"/>
          <w:sz w:val="20"/>
          <w:szCs w:val="20"/>
          <w:lang w:val="en-US" w:eastAsia="ja-JP"/>
        </w:rPr>
        <w:t> </w:t>
      </w:r>
      <w:r w:rsidR="006B4E76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tiredness as bad as you can imagine. Worst joint pain: 0-10 NRS; 0 = no pain, 10 = pain as bad as you can imagine.</w:t>
      </w:r>
    </w:p>
    <w:p w14:paraId="2654B55F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2EA361F0" w14:textId="5AFE0B1D" w:rsidR="006B4E76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*p≤0.05, **p≤0.01, ***p≤0.001 comparing BARI 4-mg or BARI 4-mg plus MTX to MTX monotherapy</w:t>
      </w:r>
      <w:r w:rsidR="00D673B1" w:rsidRPr="00487373">
        <w:rPr>
          <w:rFonts w:ascii="Times New Roman" w:hAnsi="Times New Roman" w:cs="Times New Roman"/>
          <w:sz w:val="20"/>
          <w:szCs w:val="20"/>
          <w:lang w:val="en-US" w:eastAsia="ja-JP"/>
        </w:rPr>
        <w:t>, without adjustment for multiple comparisons.</w:t>
      </w:r>
    </w:p>
    <w:p w14:paraId="1ABEB2F0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4CF10AE1" w14:textId="2F550A96" w:rsidR="006B4E76" w:rsidRPr="00487373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LSM</w:t>
      </w:r>
      <w:r w:rsidR="003B5283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least-squares mean; BARI</w:t>
      </w:r>
      <w:r w:rsidR="003B5283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baricitinib; mLOCF</w:t>
      </w:r>
      <w:r w:rsidR="003B5283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modified last observation carried forward; MTX</w:t>
      </w:r>
      <w:r w:rsidR="003B5283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methotrexate; NRS</w:t>
      </w:r>
      <w:r w:rsidR="003B5283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numeric rating scale.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br w:type="page"/>
      </w:r>
    </w:p>
    <w:p w14:paraId="563B39A5" w14:textId="6C83F521" w:rsidR="006B4E76" w:rsidRPr="00A93B5D" w:rsidRDefault="006B4E76" w:rsidP="00487373">
      <w:pPr>
        <w:pStyle w:val="PSHeading2"/>
        <w:rPr>
          <w:rFonts w:ascii="Times New Roman" w:hAnsi="Times New Roman" w:cs="Times New Roman"/>
          <w:b w:val="0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lastRenderedPageBreak/>
        <w:t xml:space="preserve">Supplementary Figure S8.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ACR50 and ACR70 response rates for Japanese patients in the RA-BEAM study</w:t>
      </w:r>
    </w:p>
    <w:p w14:paraId="5CA11598" w14:textId="77777777" w:rsidR="001F45FC" w:rsidRDefault="0098255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4045DCAA" wp14:editId="4EC17B7C">
            <wp:extent cx="3953256" cy="5769864"/>
            <wp:effectExtent l="0" t="0" r="952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 Fig 8 +SS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576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D13A" w14:textId="2AC6540B" w:rsidR="006B4E76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*p≤0.05, **p≤0.01, ***p≤0.001 for supportive analyses comparing baricitinib 4-mg or adalimumab to placebo, without adjustment for multiple comparisons. </w:t>
      </w:r>
    </w:p>
    <w:p w14:paraId="6470883E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43C23DEA" w14:textId="77777777" w:rsidR="006B4E76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+p≤0.05, ++p≤0.01, +++p≤0.001 for supportive analyses comparing baricitinib 4-mg to adalimumab, without adjustment for multiple comparisons.</w:t>
      </w:r>
    </w:p>
    <w:p w14:paraId="4C279E92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0DCE1B6C" w14:textId="0E13C0A9" w:rsidR="006B4E76" w:rsidRPr="00487373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ACR50</w:t>
      </w:r>
      <w:r w:rsidR="0004665B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American College of Rheumatology 50% improvement; ACR70</w:t>
      </w:r>
      <w:r w:rsidR="0004665B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American College of Rheumatology 70% improvement; ADA</w:t>
      </w:r>
      <w:r w:rsidR="0004665B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adalimumab; BARI</w:t>
      </w:r>
      <w:r w:rsidR="0004665B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baricitinib; NRI</w:t>
      </w:r>
      <w:r w:rsidR="0004665B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non-responder imputation; PBO</w:t>
      </w:r>
      <w:r w:rsidR="0004665B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placebo.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br w:type="page"/>
      </w:r>
    </w:p>
    <w:p w14:paraId="36FEA772" w14:textId="26D2DCD3" w:rsidR="006B4E76" w:rsidRPr="00487373" w:rsidRDefault="006B4E76" w:rsidP="00402B13">
      <w:pPr>
        <w:pStyle w:val="PSHeading2"/>
        <w:spacing w:line="240" w:lineRule="auto"/>
        <w:rPr>
          <w:rFonts w:ascii="Times New Roman" w:hAnsi="Times New Roman" w:cs="Times New Roman"/>
          <w:b w:val="0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lastRenderedPageBreak/>
        <w:t xml:space="preserve">Supplementary Figure S9. </w:t>
      </w:r>
      <w:r w:rsidRPr="00A93B5D">
        <w:rPr>
          <w:rFonts w:ascii="Times New Roman" w:hAnsi="Times New Roman" w:cs="Times New Roman"/>
          <w:b w:val="0"/>
          <w:sz w:val="20"/>
          <w:szCs w:val="20"/>
          <w:lang w:val="en-US" w:eastAsia="ja-JP"/>
        </w:rPr>
        <w:t>ACR components for Japanese patients in the RA-BEAM study (HAQ-DI is shown in Figure 2)</w:t>
      </w:r>
    </w:p>
    <w:p w14:paraId="626A9681" w14:textId="3617C8FF" w:rsidR="006B4E76" w:rsidRPr="00487373" w:rsidRDefault="00982556" w:rsidP="00487373">
      <w:pPr>
        <w:pStyle w:val="PStextX2space"/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65FABDE4" wp14:editId="2E144A0B">
            <wp:extent cx="5760085" cy="6115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 Fig 9 +SS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C7C1" w14:textId="6D844CB7" w:rsidR="006B4E76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737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C00100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487373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="00C00100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 w:rsidRPr="00487373">
        <w:rPr>
          <w:rFonts w:ascii="Times New Roman" w:hAnsi="Times New Roman" w:cs="Times New Roman"/>
          <w:sz w:val="20"/>
          <w:szCs w:val="20"/>
          <w:lang w:val="en-US"/>
        </w:rPr>
        <w:t>) number of swollen joints (SJC) based on the 0-66 count and number of tender joints (TJC) based on the 0-68 count. (</w:t>
      </w:r>
      <w:proofErr w:type="gramStart"/>
      <w:r w:rsidR="00C00100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487373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="00C00100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proofErr w:type="gramEnd"/>
      <w:r w:rsidRPr="00487373">
        <w:rPr>
          <w:rFonts w:ascii="Times New Roman" w:hAnsi="Times New Roman" w:cs="Times New Roman"/>
          <w:sz w:val="20"/>
          <w:szCs w:val="20"/>
          <w:lang w:val="en-US"/>
        </w:rPr>
        <w:t>) Range, 0-100 mm on the visual analog scale (VAS); higher values indicate greater levels of (</w:t>
      </w:r>
      <w:r w:rsidR="00C00100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487373">
        <w:rPr>
          <w:rFonts w:ascii="Times New Roman" w:hAnsi="Times New Roman" w:cs="Times New Roman"/>
          <w:sz w:val="20"/>
          <w:szCs w:val="20"/>
          <w:lang w:val="en-US"/>
        </w:rPr>
        <w:t>) physician-reported disease activity, (</w:t>
      </w:r>
      <w:r w:rsidR="00C00100"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Pr="00487373">
        <w:rPr>
          <w:rFonts w:ascii="Times New Roman" w:hAnsi="Times New Roman" w:cs="Times New Roman"/>
          <w:sz w:val="20"/>
          <w:szCs w:val="20"/>
          <w:lang w:val="en-US"/>
        </w:rPr>
        <w:t>) patient-reported disease activity, or (</w:t>
      </w:r>
      <w:r w:rsidR="00C00100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487373">
        <w:rPr>
          <w:rFonts w:ascii="Times New Roman" w:hAnsi="Times New Roman" w:cs="Times New Roman"/>
          <w:sz w:val="20"/>
          <w:szCs w:val="20"/>
          <w:lang w:val="en-US"/>
        </w:rPr>
        <w:t>) or patient-reported pain. (</w:t>
      </w:r>
      <w:r w:rsidR="00C00100">
        <w:rPr>
          <w:rFonts w:ascii="Times New Roman" w:hAnsi="Times New Roman" w:cs="Times New Roman"/>
          <w:b/>
          <w:bCs/>
          <w:sz w:val="20"/>
          <w:szCs w:val="20"/>
          <w:lang w:val="en-US"/>
        </w:rPr>
        <w:t>f</w:t>
      </w:r>
      <w:r w:rsidRPr="00487373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gramStart"/>
      <w:r w:rsidRPr="00487373">
        <w:rPr>
          <w:rFonts w:ascii="Times New Roman" w:hAnsi="Times New Roman" w:cs="Times New Roman"/>
          <w:sz w:val="20"/>
          <w:szCs w:val="20"/>
          <w:lang w:val="en-US"/>
        </w:rPr>
        <w:t>hsCRP</w:t>
      </w:r>
      <w:proofErr w:type="gramEnd"/>
      <w:r w:rsidRPr="00487373">
        <w:rPr>
          <w:rFonts w:ascii="Times New Roman" w:hAnsi="Times New Roman" w:cs="Times New Roman"/>
          <w:sz w:val="20"/>
          <w:szCs w:val="20"/>
          <w:lang w:val="en-US"/>
        </w:rPr>
        <w:t xml:space="preserve"> (ULN = 3.0-mg/L for hsCRP). Data reported as mLOCF for all measures (the last observation prior to rescue or discontinuation).</w:t>
      </w:r>
    </w:p>
    <w:p w14:paraId="55E77CE9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2127F861" w14:textId="77777777" w:rsidR="006B4E76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*p≤.05, **p≤.01, ***p≤.001 for supportive analyses comparing baricitinib 4-mg or adalimumab to placebo, without adjustment for multiple comparisons. </w:t>
      </w:r>
    </w:p>
    <w:p w14:paraId="2CAFE4DE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15705CBC" w14:textId="77777777" w:rsidR="006B4E76" w:rsidRPr="00487373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+p≤.05, ++p≤.01, +++p≤.001 for supportive analyses comparing baricitinib 4-mg to adalimumab, without adjustment for multiple comparisons.</w:t>
      </w:r>
    </w:p>
    <w:p w14:paraId="78896DDB" w14:textId="01CA3C7E" w:rsidR="006B4E76" w:rsidRPr="00487373" w:rsidRDefault="006B4E76" w:rsidP="00051A55">
      <w:pPr>
        <w:pStyle w:val="PStextX2space"/>
        <w:spacing w:line="240" w:lineRule="auto"/>
        <w:rPr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ACR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American College of Rheumatology; ADA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adalimumab; BARI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baricitinib; HAQ-DI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Health Assessment Questionnaire-Disability Index; hsCRP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high-sensitivity C-reactive protein; LSM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least squares mean; mLOCF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modified last observation carried forward; NRS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numeric rating scale; PBO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placebo; SJC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swollen joint count; TJC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tender joint count; ULN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upper limit of normal; VAS</w:t>
      </w:r>
      <w:r w:rsidR="00AB0478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visual analog scale.</w:t>
      </w:r>
      <w:r w:rsidRPr="00487373">
        <w:rPr>
          <w:sz w:val="20"/>
          <w:szCs w:val="20"/>
          <w:lang w:val="en-US" w:eastAsia="ja-JP"/>
        </w:rPr>
        <w:br w:type="page"/>
      </w:r>
    </w:p>
    <w:p w14:paraId="4B4860DF" w14:textId="467F6931" w:rsidR="006B4E76" w:rsidRPr="00487373" w:rsidRDefault="006B4E76" w:rsidP="00487373">
      <w:pPr>
        <w:pStyle w:val="PStextX2space"/>
        <w:rPr>
          <w:rFonts w:ascii="Times New Roman" w:hAnsi="Times New Roman" w:cs="Times New Roman"/>
          <w:b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b/>
          <w:sz w:val="20"/>
          <w:szCs w:val="20"/>
          <w:lang w:val="en-US" w:eastAsia="ja-JP"/>
        </w:rPr>
        <w:lastRenderedPageBreak/>
        <w:t xml:space="preserve">Supplementary Figure S10. </w:t>
      </w:r>
      <w:r w:rsidRPr="00A93B5D">
        <w:rPr>
          <w:rFonts w:ascii="Times New Roman" w:hAnsi="Times New Roman" w:cs="Times New Roman"/>
          <w:sz w:val="20"/>
          <w:szCs w:val="20"/>
          <w:lang w:val="en-US" w:eastAsia="ja-JP"/>
        </w:rPr>
        <w:t>Patient-reported outcomes for Japanese patients in the RA-BEAM study</w:t>
      </w:r>
    </w:p>
    <w:p w14:paraId="32B91DA9" w14:textId="3AB4EE4E" w:rsidR="006B4E76" w:rsidRPr="00487373" w:rsidRDefault="00982556" w:rsidP="00487373">
      <w:pPr>
        <w:pStyle w:val="PStextX2spac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ja-JP"/>
        </w:rPr>
        <w:drawing>
          <wp:inline distT="0" distB="0" distL="0" distR="0" wp14:anchorId="2581F2AB" wp14:editId="46585109">
            <wp:extent cx="5760085" cy="4175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 Fig 10 +SS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9D49" w14:textId="38EE2E81" w:rsidR="006B4E76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(</w:t>
      </w:r>
      <w:r w:rsidR="007F33F5">
        <w:rPr>
          <w:rFonts w:ascii="Times New Roman" w:hAnsi="Times New Roman" w:cs="Times New Roman"/>
          <w:b/>
          <w:sz w:val="20"/>
          <w:szCs w:val="20"/>
          <w:lang w:val="en-US" w:eastAsia="ja-JP"/>
        </w:rPr>
        <w:t>a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Median duration of morning joint stiffness in minutes. LS mean for (</w:t>
      </w:r>
      <w:r w:rsidR="007F33F5">
        <w:rPr>
          <w:rFonts w:ascii="Times New Roman" w:hAnsi="Times New Roman" w:cs="Times New Roman"/>
          <w:b/>
          <w:sz w:val="20"/>
          <w:szCs w:val="20"/>
          <w:lang w:val="en-US" w:eastAsia="ja-JP"/>
        </w:rPr>
        <w:t>b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severity of morning joint stiffness (NRS), (</w:t>
      </w:r>
      <w:r w:rsidR="007F33F5">
        <w:rPr>
          <w:rFonts w:ascii="Times New Roman" w:hAnsi="Times New Roman" w:cs="Times New Roman"/>
          <w:b/>
          <w:sz w:val="20"/>
          <w:szCs w:val="20"/>
          <w:lang w:val="en-US" w:eastAsia="ja-JP"/>
        </w:rPr>
        <w:t>c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) worst tiredness (NRS), </w:t>
      </w:r>
      <w:proofErr w:type="gramStart"/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(</w:t>
      </w:r>
      <w:proofErr w:type="gramEnd"/>
      <w:r w:rsidR="007F33F5">
        <w:rPr>
          <w:rFonts w:ascii="Times New Roman" w:hAnsi="Times New Roman" w:cs="Times New Roman"/>
          <w:b/>
          <w:sz w:val="20"/>
          <w:szCs w:val="20"/>
          <w:lang w:val="en-US" w:eastAsia="ja-JP"/>
        </w:rPr>
        <w:t>d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) worst joint pain (NRS). Patients recorded these measures in an electronic diary. Morning joint stiffness duration was truncated at a maximum value of 720 minutes. Morning joint stiffness severity: 0-10 NRS; 0 = no joint stiffness, 10 = joint stiffness as bad as you can imagine. Worst tiredness: 0-10 NRS; 0 = no tiredness, 10 = tiredness as bad as you can imagine. Worst joint pain: 0-10 NRS; 0</w:t>
      </w:r>
      <w:r w:rsidR="001F45FC">
        <w:rPr>
          <w:rFonts w:ascii="Times New Roman" w:hAnsi="Times New Roman" w:cs="Times New Roman"/>
          <w:sz w:val="20"/>
          <w:szCs w:val="20"/>
          <w:lang w:val="en-US" w:eastAsia="ja-JP"/>
        </w:rPr>
        <w:t> 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=</w:t>
      </w:r>
      <w:r w:rsidR="001F45FC">
        <w:rPr>
          <w:rFonts w:ascii="Times New Roman" w:hAnsi="Times New Roman" w:cs="Times New Roman"/>
          <w:sz w:val="20"/>
          <w:szCs w:val="20"/>
          <w:lang w:val="en-US" w:eastAsia="ja-JP"/>
        </w:rPr>
        <w:t> 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no pain, 10 = pain as bad as you can imagine.</w:t>
      </w:r>
    </w:p>
    <w:p w14:paraId="31230177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3FA5B889" w14:textId="77777777" w:rsidR="006B4E76" w:rsidRPr="00487373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*p≤0.05, **p≤0.01, ***p≤0.001 for supportive analyses comparing baricitinib 4-mg or adalimumab to placebo, without adjustment for multiple comparisons. </w:t>
      </w:r>
    </w:p>
    <w:p w14:paraId="53A53065" w14:textId="77777777" w:rsidR="006B4E76" w:rsidRDefault="006B4E76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+p≤0.05, ++p≤0.01, +++p≤0.001 for supportive analyses comparing baricitinib 4-mg to adalimumab, without adjustment for multiple comparisons. </w:t>
      </w:r>
    </w:p>
    <w:p w14:paraId="26FBFEF5" w14:textId="77777777" w:rsidR="002A016B" w:rsidRPr="00487373" w:rsidRDefault="002A016B" w:rsidP="002A016B">
      <w:pPr>
        <w:pStyle w:val="PStextX2space"/>
        <w:spacing w:line="240" w:lineRule="auto"/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06CA21C7" w14:textId="7C4495C5" w:rsidR="00BC7E0B" w:rsidRDefault="006B4E76" w:rsidP="00A93B5D">
      <w:pPr>
        <w:pStyle w:val="PStextX2space"/>
        <w:spacing w:line="240" w:lineRule="auto"/>
        <w:rPr>
          <w:sz w:val="20"/>
          <w:szCs w:val="20"/>
        </w:rPr>
      </w:pPr>
      <w:bookmarkStart w:id="3" w:name="OLE_LINK3"/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>ADA</w:t>
      </w:r>
      <w:r w:rsidR="003B452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adalimumab; BARI</w:t>
      </w:r>
      <w:r w:rsidR="003B452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baricitinib; LSM</w:t>
      </w:r>
      <w:r w:rsidR="003B452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least squares mean; NRS</w:t>
      </w:r>
      <w:r w:rsidR="003B452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numeric rating scale; PBO</w:t>
      </w:r>
      <w:r w:rsidR="003B4527">
        <w:rPr>
          <w:rFonts w:ascii="Times New Roman" w:hAnsi="Times New Roman" w:cs="Times New Roman"/>
          <w:sz w:val="20"/>
          <w:szCs w:val="20"/>
          <w:lang w:val="en-US" w:eastAsia="ja-JP"/>
        </w:rPr>
        <w:t>:</w:t>
      </w:r>
      <w:r w:rsidRPr="00487373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placebo.</w:t>
      </w:r>
      <w:bookmarkEnd w:id="3"/>
    </w:p>
    <w:p w14:paraId="0D188C1B" w14:textId="58C0096E" w:rsidR="00A540A2" w:rsidRPr="00487373" w:rsidRDefault="00A540A2" w:rsidP="00487373">
      <w:pPr>
        <w:spacing w:line="480" w:lineRule="auto"/>
        <w:rPr>
          <w:sz w:val="20"/>
          <w:szCs w:val="20"/>
        </w:rPr>
      </w:pPr>
    </w:p>
    <w:sectPr w:rsidR="00A540A2" w:rsidRPr="00487373" w:rsidSect="00402B13">
      <w:footerReference w:type="default" r:id="rId20"/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B251" w14:textId="77777777" w:rsidR="00D763C8" w:rsidRDefault="00D763C8" w:rsidP="009D6C28">
      <w:r>
        <w:separator/>
      </w:r>
    </w:p>
  </w:endnote>
  <w:endnote w:type="continuationSeparator" w:id="0">
    <w:p w14:paraId="287F8C58" w14:textId="77777777" w:rsidR="00D763C8" w:rsidRDefault="00D763C8" w:rsidP="009D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Ne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B92A" w14:textId="6ACD3F35" w:rsidR="00941D51" w:rsidRPr="001B61A3" w:rsidRDefault="00941D51" w:rsidP="009F2670">
    <w:pPr>
      <w:pStyle w:val="a5"/>
      <w:pBdr>
        <w:top w:val="single" w:sz="4" w:space="1" w:color="auto"/>
      </w:pBdr>
      <w:tabs>
        <w:tab w:val="clear" w:pos="4320"/>
        <w:tab w:val="clear" w:pos="8640"/>
        <w:tab w:val="center" w:pos="8931"/>
        <w:tab w:val="right" w:pos="90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38DC" w14:textId="61FBDB72" w:rsidR="00941D51" w:rsidRPr="00EF1954" w:rsidRDefault="00941D51" w:rsidP="00EF1954">
    <w:pPr>
      <w:pStyle w:val="a5"/>
      <w:pBdr>
        <w:top w:val="single" w:sz="4" w:space="1" w:color="auto"/>
      </w:pBdr>
      <w:tabs>
        <w:tab w:val="clear" w:pos="4320"/>
        <w:tab w:val="clear" w:pos="8640"/>
        <w:tab w:val="center" w:pos="0"/>
        <w:tab w:val="right" w:pos="14004"/>
      </w:tabs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6A9A" w14:textId="449F60E2" w:rsidR="00941D51" w:rsidRPr="001B61A3" w:rsidRDefault="00941D51" w:rsidP="009F2670">
    <w:pPr>
      <w:pStyle w:val="a5"/>
      <w:pBdr>
        <w:top w:val="single" w:sz="4" w:space="1" w:color="auto"/>
      </w:pBdr>
      <w:tabs>
        <w:tab w:val="clear" w:pos="4320"/>
        <w:tab w:val="clear" w:pos="8640"/>
        <w:tab w:val="center" w:pos="8931"/>
        <w:tab w:val="right" w:pos="9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6AAD" w14:textId="77777777" w:rsidR="00D763C8" w:rsidRDefault="00D763C8" w:rsidP="009D6C28">
      <w:r>
        <w:separator/>
      </w:r>
    </w:p>
  </w:footnote>
  <w:footnote w:type="continuationSeparator" w:id="0">
    <w:p w14:paraId="66D0FB3B" w14:textId="77777777" w:rsidR="00D763C8" w:rsidRDefault="00D763C8" w:rsidP="009D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C9D"/>
    <w:multiLevelType w:val="hybridMultilevel"/>
    <w:tmpl w:val="77128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CB55AB"/>
    <w:multiLevelType w:val="hybridMultilevel"/>
    <w:tmpl w:val="3F645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C105B"/>
    <w:multiLevelType w:val="hybridMultilevel"/>
    <w:tmpl w:val="70F83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86DE8"/>
    <w:multiLevelType w:val="hybridMultilevel"/>
    <w:tmpl w:val="27E85198"/>
    <w:lvl w:ilvl="0" w:tplc="50CCF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1C8A"/>
    <w:multiLevelType w:val="hybridMultilevel"/>
    <w:tmpl w:val="3BEC3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E81895"/>
    <w:multiLevelType w:val="hybridMultilevel"/>
    <w:tmpl w:val="75E68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BA5DDA"/>
    <w:multiLevelType w:val="hybridMultilevel"/>
    <w:tmpl w:val="78E0B1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38B1A93"/>
    <w:multiLevelType w:val="hybridMultilevel"/>
    <w:tmpl w:val="65DC3F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F0557EE"/>
    <w:multiLevelType w:val="hybridMultilevel"/>
    <w:tmpl w:val="424E22B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2FF7C70"/>
    <w:multiLevelType w:val="hybridMultilevel"/>
    <w:tmpl w:val="D4649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28130B"/>
    <w:multiLevelType w:val="hybridMultilevel"/>
    <w:tmpl w:val="95F6A19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BE72DAB"/>
    <w:multiLevelType w:val="hybridMultilevel"/>
    <w:tmpl w:val="58F4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21755"/>
    <w:multiLevelType w:val="hybridMultilevel"/>
    <w:tmpl w:val="A7EA42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FC5CAC"/>
    <w:multiLevelType w:val="hybridMultilevel"/>
    <w:tmpl w:val="23F6E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E4574"/>
    <w:multiLevelType w:val="hybridMultilevel"/>
    <w:tmpl w:val="CFB6147A"/>
    <w:lvl w:ilvl="0" w:tplc="717AD0C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A726F"/>
    <w:multiLevelType w:val="hybridMultilevel"/>
    <w:tmpl w:val="930E1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FB67815"/>
    <w:multiLevelType w:val="hybridMultilevel"/>
    <w:tmpl w:val="EEF82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BC5AEB"/>
    <w:multiLevelType w:val="hybridMultilevel"/>
    <w:tmpl w:val="5FCA52B8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6"/>
  </w:num>
  <w:num w:numId="18">
    <w:abstractNumId w:val="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Moves/>
  <w:doNotTrackFormatting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odern Rheuma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5vfdztz2td58e5e2dxeavmxwpr925axwpz&quot;&gt;Bari Japan Subanalysis MSresub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51&lt;/item&gt;&lt;item&gt;52&lt;/item&gt;&lt;item&gt;53&lt;/item&gt;&lt;item&gt;54&lt;/item&gt;&lt;/record-ids&gt;&lt;/item&gt;&lt;/Libraries&gt;"/>
  </w:docVars>
  <w:rsids>
    <w:rsidRoot w:val="006B4E76"/>
    <w:rsid w:val="00001F2A"/>
    <w:rsid w:val="000032CE"/>
    <w:rsid w:val="0000566A"/>
    <w:rsid w:val="00006EC2"/>
    <w:rsid w:val="000170D4"/>
    <w:rsid w:val="00020D3A"/>
    <w:rsid w:val="00026F6E"/>
    <w:rsid w:val="00027B6F"/>
    <w:rsid w:val="0004665B"/>
    <w:rsid w:val="00051A55"/>
    <w:rsid w:val="000720C0"/>
    <w:rsid w:val="00080DA3"/>
    <w:rsid w:val="000A5A3D"/>
    <w:rsid w:val="000A5CFE"/>
    <w:rsid w:val="000B057C"/>
    <w:rsid w:val="000B1474"/>
    <w:rsid w:val="000B16E5"/>
    <w:rsid w:val="000B18D6"/>
    <w:rsid w:val="000C46D8"/>
    <w:rsid w:val="000C6397"/>
    <w:rsid w:val="000D1CA7"/>
    <w:rsid w:val="000E2E0C"/>
    <w:rsid w:val="000F35E9"/>
    <w:rsid w:val="000F6CE5"/>
    <w:rsid w:val="00103E68"/>
    <w:rsid w:val="00111237"/>
    <w:rsid w:val="001147C3"/>
    <w:rsid w:val="00121B5E"/>
    <w:rsid w:val="001259CE"/>
    <w:rsid w:val="0013370C"/>
    <w:rsid w:val="0013623D"/>
    <w:rsid w:val="00136A18"/>
    <w:rsid w:val="00156914"/>
    <w:rsid w:val="0016246D"/>
    <w:rsid w:val="00176D15"/>
    <w:rsid w:val="00192A03"/>
    <w:rsid w:val="00195C27"/>
    <w:rsid w:val="001B61A3"/>
    <w:rsid w:val="001C0443"/>
    <w:rsid w:val="001D0330"/>
    <w:rsid w:val="001D2F2B"/>
    <w:rsid w:val="001E16B6"/>
    <w:rsid w:val="001E4D94"/>
    <w:rsid w:val="001E61C6"/>
    <w:rsid w:val="001F0EA8"/>
    <w:rsid w:val="001F19FC"/>
    <w:rsid w:val="001F45FC"/>
    <w:rsid w:val="00201E8A"/>
    <w:rsid w:val="00205397"/>
    <w:rsid w:val="002053A9"/>
    <w:rsid w:val="0023274B"/>
    <w:rsid w:val="00234677"/>
    <w:rsid w:val="00234D64"/>
    <w:rsid w:val="00245245"/>
    <w:rsid w:val="00245E12"/>
    <w:rsid w:val="00252A4F"/>
    <w:rsid w:val="00260BB1"/>
    <w:rsid w:val="00274146"/>
    <w:rsid w:val="002752E4"/>
    <w:rsid w:val="00287A86"/>
    <w:rsid w:val="00294A5C"/>
    <w:rsid w:val="00297167"/>
    <w:rsid w:val="002A016B"/>
    <w:rsid w:val="002B4D8C"/>
    <w:rsid w:val="002C084C"/>
    <w:rsid w:val="002C3AF5"/>
    <w:rsid w:val="002C42FC"/>
    <w:rsid w:val="002D1BDF"/>
    <w:rsid w:val="002D1F17"/>
    <w:rsid w:val="002E172F"/>
    <w:rsid w:val="002E687B"/>
    <w:rsid w:val="002E73A5"/>
    <w:rsid w:val="00312A3C"/>
    <w:rsid w:val="00314D79"/>
    <w:rsid w:val="00331904"/>
    <w:rsid w:val="00350663"/>
    <w:rsid w:val="003525E9"/>
    <w:rsid w:val="00362C24"/>
    <w:rsid w:val="003709C3"/>
    <w:rsid w:val="00371207"/>
    <w:rsid w:val="00372CA5"/>
    <w:rsid w:val="00380AC1"/>
    <w:rsid w:val="00384BD2"/>
    <w:rsid w:val="0038620E"/>
    <w:rsid w:val="003914F3"/>
    <w:rsid w:val="00397E92"/>
    <w:rsid w:val="003B0E00"/>
    <w:rsid w:val="003B2ED3"/>
    <w:rsid w:val="003B4026"/>
    <w:rsid w:val="003B4527"/>
    <w:rsid w:val="003B5283"/>
    <w:rsid w:val="003B7024"/>
    <w:rsid w:val="003D667A"/>
    <w:rsid w:val="003E63A3"/>
    <w:rsid w:val="003F26EC"/>
    <w:rsid w:val="003F7193"/>
    <w:rsid w:val="00401013"/>
    <w:rsid w:val="00402B13"/>
    <w:rsid w:val="004033C8"/>
    <w:rsid w:val="00414326"/>
    <w:rsid w:val="004258C6"/>
    <w:rsid w:val="00426A55"/>
    <w:rsid w:val="00427994"/>
    <w:rsid w:val="00432F78"/>
    <w:rsid w:val="004405C6"/>
    <w:rsid w:val="00443C35"/>
    <w:rsid w:val="00444F5E"/>
    <w:rsid w:val="00445829"/>
    <w:rsid w:val="00451558"/>
    <w:rsid w:val="00453EC3"/>
    <w:rsid w:val="0045738C"/>
    <w:rsid w:val="00462628"/>
    <w:rsid w:val="00471950"/>
    <w:rsid w:val="00477F9A"/>
    <w:rsid w:val="00482690"/>
    <w:rsid w:val="00487373"/>
    <w:rsid w:val="004957F2"/>
    <w:rsid w:val="004B46D7"/>
    <w:rsid w:val="004C2674"/>
    <w:rsid w:val="004C4271"/>
    <w:rsid w:val="004D1A5E"/>
    <w:rsid w:val="004E0C47"/>
    <w:rsid w:val="00504A46"/>
    <w:rsid w:val="00505F83"/>
    <w:rsid w:val="00506053"/>
    <w:rsid w:val="00506D49"/>
    <w:rsid w:val="00522FEC"/>
    <w:rsid w:val="00525018"/>
    <w:rsid w:val="005254AF"/>
    <w:rsid w:val="005450A2"/>
    <w:rsid w:val="00550E5E"/>
    <w:rsid w:val="00562B11"/>
    <w:rsid w:val="0056303F"/>
    <w:rsid w:val="00577AFE"/>
    <w:rsid w:val="00577F40"/>
    <w:rsid w:val="005806DC"/>
    <w:rsid w:val="00591829"/>
    <w:rsid w:val="005A6EDD"/>
    <w:rsid w:val="005B57D1"/>
    <w:rsid w:val="005C34D1"/>
    <w:rsid w:val="005C43C2"/>
    <w:rsid w:val="005D0725"/>
    <w:rsid w:val="005D0E4C"/>
    <w:rsid w:val="005D407E"/>
    <w:rsid w:val="0061685E"/>
    <w:rsid w:val="00617CBC"/>
    <w:rsid w:val="00620002"/>
    <w:rsid w:val="00620285"/>
    <w:rsid w:val="0062583D"/>
    <w:rsid w:val="00625E19"/>
    <w:rsid w:val="00627001"/>
    <w:rsid w:val="006412D8"/>
    <w:rsid w:val="006507A0"/>
    <w:rsid w:val="00650895"/>
    <w:rsid w:val="0065584E"/>
    <w:rsid w:val="006719D8"/>
    <w:rsid w:val="00673ADA"/>
    <w:rsid w:val="006A5A43"/>
    <w:rsid w:val="006B4E76"/>
    <w:rsid w:val="006C24FF"/>
    <w:rsid w:val="006C3BC3"/>
    <w:rsid w:val="006C678E"/>
    <w:rsid w:val="006D0AB1"/>
    <w:rsid w:val="007213BC"/>
    <w:rsid w:val="00736205"/>
    <w:rsid w:val="00740483"/>
    <w:rsid w:val="00750400"/>
    <w:rsid w:val="00751918"/>
    <w:rsid w:val="0075223D"/>
    <w:rsid w:val="007578A0"/>
    <w:rsid w:val="0076366C"/>
    <w:rsid w:val="00775037"/>
    <w:rsid w:val="00776847"/>
    <w:rsid w:val="007A7645"/>
    <w:rsid w:val="007B1C6F"/>
    <w:rsid w:val="007B4CE9"/>
    <w:rsid w:val="007C197D"/>
    <w:rsid w:val="007D093D"/>
    <w:rsid w:val="007D12BF"/>
    <w:rsid w:val="007D4E57"/>
    <w:rsid w:val="007E4D65"/>
    <w:rsid w:val="007F33F5"/>
    <w:rsid w:val="0080206F"/>
    <w:rsid w:val="0080484B"/>
    <w:rsid w:val="00813F3C"/>
    <w:rsid w:val="008167E1"/>
    <w:rsid w:val="00847617"/>
    <w:rsid w:val="00851710"/>
    <w:rsid w:val="00864F5A"/>
    <w:rsid w:val="00872217"/>
    <w:rsid w:val="008762B4"/>
    <w:rsid w:val="00880654"/>
    <w:rsid w:val="00880A17"/>
    <w:rsid w:val="008857D9"/>
    <w:rsid w:val="00886AAE"/>
    <w:rsid w:val="00895717"/>
    <w:rsid w:val="008A2C0D"/>
    <w:rsid w:val="008B05D6"/>
    <w:rsid w:val="008B4457"/>
    <w:rsid w:val="008C0459"/>
    <w:rsid w:val="008C553D"/>
    <w:rsid w:val="008C7B6F"/>
    <w:rsid w:val="008D4365"/>
    <w:rsid w:val="008E256D"/>
    <w:rsid w:val="008E4721"/>
    <w:rsid w:val="008E515A"/>
    <w:rsid w:val="008F14D3"/>
    <w:rsid w:val="008F5C57"/>
    <w:rsid w:val="00902F10"/>
    <w:rsid w:val="00913D6D"/>
    <w:rsid w:val="00914A5A"/>
    <w:rsid w:val="0092077B"/>
    <w:rsid w:val="009229F1"/>
    <w:rsid w:val="00941690"/>
    <w:rsid w:val="00941D51"/>
    <w:rsid w:val="009442AF"/>
    <w:rsid w:val="00944F90"/>
    <w:rsid w:val="00953E0B"/>
    <w:rsid w:val="00961629"/>
    <w:rsid w:val="009617B2"/>
    <w:rsid w:val="00975E0B"/>
    <w:rsid w:val="009818D5"/>
    <w:rsid w:val="00982556"/>
    <w:rsid w:val="00983687"/>
    <w:rsid w:val="009A37FF"/>
    <w:rsid w:val="009B06B9"/>
    <w:rsid w:val="009B61B4"/>
    <w:rsid w:val="009B7254"/>
    <w:rsid w:val="009C47F0"/>
    <w:rsid w:val="009D6C28"/>
    <w:rsid w:val="009F2670"/>
    <w:rsid w:val="00A03CAB"/>
    <w:rsid w:val="00A04858"/>
    <w:rsid w:val="00A069FD"/>
    <w:rsid w:val="00A118F3"/>
    <w:rsid w:val="00A26629"/>
    <w:rsid w:val="00A35D0F"/>
    <w:rsid w:val="00A4423A"/>
    <w:rsid w:val="00A44D51"/>
    <w:rsid w:val="00A47E98"/>
    <w:rsid w:val="00A540A2"/>
    <w:rsid w:val="00A667A4"/>
    <w:rsid w:val="00A707A8"/>
    <w:rsid w:val="00A7330B"/>
    <w:rsid w:val="00A73FFB"/>
    <w:rsid w:val="00A93B5D"/>
    <w:rsid w:val="00AA000A"/>
    <w:rsid w:val="00AA2C64"/>
    <w:rsid w:val="00AA38F6"/>
    <w:rsid w:val="00AA6400"/>
    <w:rsid w:val="00AB0478"/>
    <w:rsid w:val="00AC69AA"/>
    <w:rsid w:val="00AE14C6"/>
    <w:rsid w:val="00AE2FCC"/>
    <w:rsid w:val="00B15552"/>
    <w:rsid w:val="00B24403"/>
    <w:rsid w:val="00B264B6"/>
    <w:rsid w:val="00B61395"/>
    <w:rsid w:val="00B614E0"/>
    <w:rsid w:val="00B670EB"/>
    <w:rsid w:val="00B67549"/>
    <w:rsid w:val="00B72130"/>
    <w:rsid w:val="00B7307C"/>
    <w:rsid w:val="00B769B8"/>
    <w:rsid w:val="00B92731"/>
    <w:rsid w:val="00BB2148"/>
    <w:rsid w:val="00BC7E0B"/>
    <w:rsid w:val="00BE29A8"/>
    <w:rsid w:val="00C00100"/>
    <w:rsid w:val="00C04FE5"/>
    <w:rsid w:val="00C114AE"/>
    <w:rsid w:val="00C1443D"/>
    <w:rsid w:val="00C17336"/>
    <w:rsid w:val="00C20062"/>
    <w:rsid w:val="00C20876"/>
    <w:rsid w:val="00C22674"/>
    <w:rsid w:val="00C26D46"/>
    <w:rsid w:val="00C32BB2"/>
    <w:rsid w:val="00C37F7F"/>
    <w:rsid w:val="00C4237B"/>
    <w:rsid w:val="00C42657"/>
    <w:rsid w:val="00C43D62"/>
    <w:rsid w:val="00C651E7"/>
    <w:rsid w:val="00C676CD"/>
    <w:rsid w:val="00C67934"/>
    <w:rsid w:val="00C75B38"/>
    <w:rsid w:val="00C75BBE"/>
    <w:rsid w:val="00C90258"/>
    <w:rsid w:val="00C94258"/>
    <w:rsid w:val="00CB1347"/>
    <w:rsid w:val="00CE0BC8"/>
    <w:rsid w:val="00CE61AE"/>
    <w:rsid w:val="00CF63A1"/>
    <w:rsid w:val="00D14F6B"/>
    <w:rsid w:val="00D17CDC"/>
    <w:rsid w:val="00D350E5"/>
    <w:rsid w:val="00D42298"/>
    <w:rsid w:val="00D4480E"/>
    <w:rsid w:val="00D47371"/>
    <w:rsid w:val="00D537EB"/>
    <w:rsid w:val="00D6222F"/>
    <w:rsid w:val="00D673B1"/>
    <w:rsid w:val="00D763C8"/>
    <w:rsid w:val="00D806FD"/>
    <w:rsid w:val="00D916EC"/>
    <w:rsid w:val="00D93AFD"/>
    <w:rsid w:val="00DA4B7A"/>
    <w:rsid w:val="00DA50B3"/>
    <w:rsid w:val="00DA7795"/>
    <w:rsid w:val="00DB3C1D"/>
    <w:rsid w:val="00DB6101"/>
    <w:rsid w:val="00DB7178"/>
    <w:rsid w:val="00DC0835"/>
    <w:rsid w:val="00DD6652"/>
    <w:rsid w:val="00DD7677"/>
    <w:rsid w:val="00DE3EAE"/>
    <w:rsid w:val="00E062A6"/>
    <w:rsid w:val="00E15195"/>
    <w:rsid w:val="00E15C5C"/>
    <w:rsid w:val="00E16084"/>
    <w:rsid w:val="00E2124D"/>
    <w:rsid w:val="00E25ACB"/>
    <w:rsid w:val="00E41C5D"/>
    <w:rsid w:val="00E43C3C"/>
    <w:rsid w:val="00E43F86"/>
    <w:rsid w:val="00E67C2A"/>
    <w:rsid w:val="00E72BED"/>
    <w:rsid w:val="00E75EBC"/>
    <w:rsid w:val="00E777CF"/>
    <w:rsid w:val="00E81D99"/>
    <w:rsid w:val="00E97DBB"/>
    <w:rsid w:val="00E97EF9"/>
    <w:rsid w:val="00EA3579"/>
    <w:rsid w:val="00EA53CC"/>
    <w:rsid w:val="00EB3785"/>
    <w:rsid w:val="00EB4650"/>
    <w:rsid w:val="00EC0216"/>
    <w:rsid w:val="00EC7E9C"/>
    <w:rsid w:val="00ED062D"/>
    <w:rsid w:val="00ED1C33"/>
    <w:rsid w:val="00ED7B66"/>
    <w:rsid w:val="00EF1954"/>
    <w:rsid w:val="00EF2EEA"/>
    <w:rsid w:val="00EF3D2F"/>
    <w:rsid w:val="00EF5155"/>
    <w:rsid w:val="00F03562"/>
    <w:rsid w:val="00F06DB2"/>
    <w:rsid w:val="00F16913"/>
    <w:rsid w:val="00F17D9F"/>
    <w:rsid w:val="00F329FE"/>
    <w:rsid w:val="00F35094"/>
    <w:rsid w:val="00F542B6"/>
    <w:rsid w:val="00F57F54"/>
    <w:rsid w:val="00F661DF"/>
    <w:rsid w:val="00F80D01"/>
    <w:rsid w:val="00F82D50"/>
    <w:rsid w:val="00F937CC"/>
    <w:rsid w:val="00FA0E5E"/>
    <w:rsid w:val="00FA16D2"/>
    <w:rsid w:val="00FB0515"/>
    <w:rsid w:val="00FB1B3C"/>
    <w:rsid w:val="00FB5604"/>
    <w:rsid w:val="00FD5942"/>
    <w:rsid w:val="00FE5288"/>
    <w:rsid w:val="00FF30B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BAD03"/>
  <w15:docId w15:val="{BC1890BB-42DF-4792-8566-91170E5A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4E7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1">
    <w:name w:val="heading 1"/>
    <w:basedOn w:val="a"/>
    <w:next w:val="a"/>
    <w:link w:val="10"/>
    <w:uiPriority w:val="9"/>
    <w:rsid w:val="006B4E7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6B4E7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6B4E7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rsid w:val="006B4E76"/>
    <w:pPr>
      <w:pBdr>
        <w:bottom w:val="single" w:sz="4" w:space="1" w:color="98A8B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rsid w:val="006B4E76"/>
    <w:pPr>
      <w:pBdr>
        <w:bottom w:val="single" w:sz="4" w:space="1" w:color="8496B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rsid w:val="006B4E76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rsid w:val="006B4E76"/>
    <w:pPr>
      <w:pBdr>
        <w:bottom w:val="dotted" w:sz="8" w:space="1" w:color="747070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rsid w:val="006B4E7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rsid w:val="006B4E7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4E76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eastAsia="en-AU"/>
    </w:rPr>
  </w:style>
  <w:style w:type="character" w:customStyle="1" w:styleId="20">
    <w:name w:val="見出し 2 (文字)"/>
    <w:basedOn w:val="a0"/>
    <w:link w:val="2"/>
    <w:uiPriority w:val="9"/>
    <w:rsid w:val="006B4E76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eastAsia="en-AU"/>
    </w:rPr>
  </w:style>
  <w:style w:type="character" w:customStyle="1" w:styleId="30">
    <w:name w:val="見出し 3 (文字)"/>
    <w:basedOn w:val="a0"/>
    <w:link w:val="3"/>
    <w:uiPriority w:val="9"/>
    <w:rsid w:val="006B4E76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eastAsia="en-AU"/>
    </w:rPr>
  </w:style>
  <w:style w:type="character" w:customStyle="1" w:styleId="40">
    <w:name w:val="見出し 4 (文字)"/>
    <w:basedOn w:val="a0"/>
    <w:link w:val="4"/>
    <w:uiPriority w:val="9"/>
    <w:rsid w:val="006B4E76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4"/>
      <w:szCs w:val="24"/>
      <w:lang w:eastAsia="en-AU"/>
    </w:rPr>
  </w:style>
  <w:style w:type="character" w:customStyle="1" w:styleId="50">
    <w:name w:val="見出し 5 (文字)"/>
    <w:basedOn w:val="a0"/>
    <w:link w:val="5"/>
    <w:uiPriority w:val="9"/>
    <w:rsid w:val="006B4E76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4"/>
      <w:szCs w:val="24"/>
      <w:lang w:eastAsia="en-AU"/>
    </w:rPr>
  </w:style>
  <w:style w:type="character" w:customStyle="1" w:styleId="60">
    <w:name w:val="見出し 6 (文字)"/>
    <w:basedOn w:val="a0"/>
    <w:link w:val="6"/>
    <w:uiPriority w:val="9"/>
    <w:rsid w:val="006B4E76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4"/>
      <w:szCs w:val="24"/>
      <w:lang w:eastAsia="en-AU"/>
    </w:rPr>
  </w:style>
  <w:style w:type="character" w:customStyle="1" w:styleId="70">
    <w:name w:val="見出し 7 (文字)"/>
    <w:basedOn w:val="a0"/>
    <w:link w:val="7"/>
    <w:uiPriority w:val="9"/>
    <w:rsid w:val="006B4E76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eastAsia="en-AU"/>
    </w:rPr>
  </w:style>
  <w:style w:type="character" w:customStyle="1" w:styleId="80">
    <w:name w:val="見出し 8 (文字)"/>
    <w:basedOn w:val="a0"/>
    <w:link w:val="8"/>
    <w:uiPriority w:val="9"/>
    <w:rsid w:val="006B4E76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eastAsia="en-AU"/>
    </w:rPr>
  </w:style>
  <w:style w:type="character" w:customStyle="1" w:styleId="90">
    <w:name w:val="見出し 9 (文字)"/>
    <w:basedOn w:val="a0"/>
    <w:link w:val="9"/>
    <w:uiPriority w:val="9"/>
    <w:rsid w:val="006B4E76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eastAsia="en-AU"/>
    </w:rPr>
  </w:style>
  <w:style w:type="paragraph" w:styleId="a3">
    <w:name w:val="Balloon Text"/>
    <w:basedOn w:val="a"/>
    <w:link w:val="a4"/>
    <w:rsid w:val="006B4E76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rsid w:val="006B4E76"/>
    <w:rPr>
      <w:rFonts w:ascii="Tahoma" w:eastAsiaTheme="minorEastAsia" w:hAnsi="Tahoma" w:cs="Tahoma"/>
      <w:sz w:val="16"/>
      <w:szCs w:val="16"/>
      <w:lang w:eastAsia="en-AU"/>
    </w:rPr>
  </w:style>
  <w:style w:type="paragraph" w:styleId="a5">
    <w:name w:val="footer"/>
    <w:basedOn w:val="a"/>
    <w:link w:val="a6"/>
    <w:rsid w:val="006B4E76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rsid w:val="006B4E76"/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a7">
    <w:name w:val="line number"/>
    <w:basedOn w:val="a0"/>
    <w:rsid w:val="006B4E76"/>
    <w:rPr>
      <w:rFonts w:ascii="Arial" w:hAnsi="Arial"/>
      <w:sz w:val="22"/>
    </w:rPr>
  </w:style>
  <w:style w:type="paragraph" w:styleId="a8">
    <w:name w:val="Revision"/>
    <w:hidden/>
    <w:uiPriority w:val="99"/>
    <w:semiHidden/>
    <w:rsid w:val="006B4E7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SHeading1">
    <w:name w:val="PS Heading 1"/>
    <w:basedOn w:val="a"/>
    <w:next w:val="PStextX2space"/>
    <w:link w:val="PSHeading1Char"/>
    <w:qFormat/>
    <w:rsid w:val="006B4E76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a"/>
    <w:next w:val="PStextX2space"/>
    <w:link w:val="PSHeading2Char"/>
    <w:qFormat/>
    <w:rsid w:val="006B4E76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a0"/>
    <w:link w:val="PSHeading1"/>
    <w:rsid w:val="006B4E76"/>
    <w:rPr>
      <w:rFonts w:ascii="Arial Bold" w:eastAsiaTheme="minorEastAsia" w:hAnsi="Arial Bold" w:cs="Arial"/>
      <w:b/>
      <w:caps/>
      <w:lang w:eastAsia="en-AU"/>
    </w:rPr>
  </w:style>
  <w:style w:type="paragraph" w:customStyle="1" w:styleId="PSHeading3">
    <w:name w:val="PS Heading 3"/>
    <w:basedOn w:val="a"/>
    <w:next w:val="PStextX2space"/>
    <w:link w:val="PSHeading3Char"/>
    <w:qFormat/>
    <w:rsid w:val="006B4E76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a0"/>
    <w:link w:val="PSHeading2"/>
    <w:rsid w:val="006B4E76"/>
    <w:rPr>
      <w:rFonts w:ascii="Arial" w:eastAsiaTheme="minorEastAsia" w:hAnsi="Arial" w:cs="Arial"/>
      <w:b/>
      <w:lang w:eastAsia="en-AU"/>
    </w:rPr>
  </w:style>
  <w:style w:type="paragraph" w:customStyle="1" w:styleId="PStextX2space">
    <w:name w:val="PS text X2 space"/>
    <w:basedOn w:val="a"/>
    <w:link w:val="PStextX2spaceChar"/>
    <w:qFormat/>
    <w:rsid w:val="006B4E76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a"/>
    <w:next w:val="PStextX2space"/>
    <w:link w:val="PSHeading4Char"/>
    <w:qFormat/>
    <w:rsid w:val="006B4E76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a0"/>
    <w:link w:val="PStextX2space"/>
    <w:rsid w:val="006B4E76"/>
    <w:rPr>
      <w:rFonts w:ascii="Arial" w:eastAsiaTheme="minorEastAsia" w:hAnsi="Arial" w:cs="Arial"/>
      <w:lang w:eastAsia="en-AU"/>
    </w:rPr>
  </w:style>
  <w:style w:type="paragraph" w:customStyle="1" w:styleId="SOTxt1">
    <w:name w:val="SO Txt 1"/>
    <w:basedOn w:val="a"/>
    <w:link w:val="SOTxt1Char"/>
    <w:qFormat/>
    <w:rsid w:val="006B4E76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a"/>
    <w:link w:val="SOTxt2Char"/>
    <w:qFormat/>
    <w:rsid w:val="006B4E76"/>
    <w:pPr>
      <w:tabs>
        <w:tab w:val="num" w:pos="1134"/>
      </w:tabs>
      <w:ind w:left="1134" w:hanging="567"/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a0"/>
    <w:link w:val="SOTxt1"/>
    <w:rsid w:val="006B4E76"/>
    <w:rPr>
      <w:rFonts w:ascii="Arial" w:eastAsia="Batang" w:hAnsi="Arial" w:cs="Arial"/>
      <w:lang w:eastAsia="en-AU"/>
    </w:rPr>
  </w:style>
  <w:style w:type="paragraph" w:customStyle="1" w:styleId="SOTxt3">
    <w:name w:val="SO Txt 3"/>
    <w:basedOn w:val="a"/>
    <w:link w:val="SOTxt3Char"/>
    <w:qFormat/>
    <w:rsid w:val="006B4E76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a0"/>
    <w:link w:val="SOTxt2"/>
    <w:rsid w:val="006B4E76"/>
    <w:rPr>
      <w:rFonts w:ascii="Arial" w:eastAsia="Batang" w:hAnsi="Arial" w:cs="Arial"/>
      <w:szCs w:val="24"/>
      <w:lang w:eastAsia="en-AU"/>
    </w:rPr>
  </w:style>
  <w:style w:type="paragraph" w:customStyle="1" w:styleId="SOTxt4">
    <w:name w:val="SO Txt 4"/>
    <w:basedOn w:val="a"/>
    <w:link w:val="SOTxt4Char"/>
    <w:qFormat/>
    <w:rsid w:val="006B4E76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a0"/>
    <w:link w:val="SOTxt3"/>
    <w:rsid w:val="006B4E76"/>
    <w:rPr>
      <w:rFonts w:ascii="Arial" w:eastAsiaTheme="minorEastAsia" w:hAnsi="Arial" w:cs="Arial"/>
      <w:lang w:val="en-US" w:eastAsia="en-AU"/>
    </w:rPr>
  </w:style>
  <w:style w:type="character" w:customStyle="1" w:styleId="SOTxt4Char">
    <w:name w:val="SO Txt 4 Char"/>
    <w:basedOn w:val="a0"/>
    <w:link w:val="SOTxt4"/>
    <w:rsid w:val="006B4E76"/>
    <w:rPr>
      <w:rFonts w:ascii="Arial" w:eastAsia="Batang" w:hAnsi="Arial" w:cs="Arial"/>
      <w:szCs w:val="24"/>
      <w:lang w:eastAsia="en-AU"/>
    </w:rPr>
  </w:style>
  <w:style w:type="character" w:customStyle="1" w:styleId="PSHeading3Char">
    <w:name w:val="PS Heading 3 Char"/>
    <w:basedOn w:val="a0"/>
    <w:link w:val="PSHeading3"/>
    <w:rsid w:val="006B4E76"/>
    <w:rPr>
      <w:rFonts w:ascii="Arial" w:eastAsiaTheme="minorEastAsia" w:hAnsi="Arial" w:cs="Arial"/>
      <w:b/>
      <w:i/>
      <w:lang w:eastAsia="en-AU"/>
    </w:rPr>
  </w:style>
  <w:style w:type="paragraph" w:customStyle="1" w:styleId="PSTextX1space">
    <w:name w:val="PS Text X1 space"/>
    <w:basedOn w:val="PStextX2space"/>
    <w:link w:val="PSTextX1spaceChar"/>
    <w:qFormat/>
    <w:rsid w:val="006B4E76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6B4E76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6B4E76"/>
    <w:rPr>
      <w:rFonts w:ascii="Arial" w:eastAsiaTheme="minorEastAsia" w:hAnsi="Arial" w:cs="Arial"/>
      <w:lang w:eastAsia="en-AU"/>
    </w:rPr>
  </w:style>
  <w:style w:type="paragraph" w:styleId="a9">
    <w:name w:val="annotation text"/>
    <w:basedOn w:val="a"/>
    <w:link w:val="aa"/>
    <w:uiPriority w:val="99"/>
    <w:unhideWhenUsed/>
    <w:rsid w:val="006B4E76"/>
    <w:rPr>
      <w:rFonts w:ascii="Arial" w:hAnsi="Arial"/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6B4E76"/>
    <w:rPr>
      <w:rFonts w:ascii="Arial" w:eastAsiaTheme="minorEastAsia" w:hAnsi="Arial" w:cs="Times New Roman"/>
      <w:sz w:val="20"/>
      <w:szCs w:val="20"/>
      <w:lang w:eastAsia="en-AU"/>
    </w:rPr>
  </w:style>
  <w:style w:type="character" w:styleId="ab">
    <w:name w:val="annotation reference"/>
    <w:basedOn w:val="a0"/>
    <w:uiPriority w:val="99"/>
    <w:semiHidden/>
    <w:unhideWhenUsed/>
    <w:rsid w:val="006B4E76"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6B4E76"/>
    <w:rPr>
      <w:b/>
      <w:bCs/>
    </w:rPr>
  </w:style>
  <w:style w:type="character" w:customStyle="1" w:styleId="ad">
    <w:name w:val="コメント内容 (文字)"/>
    <w:basedOn w:val="aa"/>
    <w:link w:val="ac"/>
    <w:semiHidden/>
    <w:rsid w:val="006B4E76"/>
    <w:rPr>
      <w:rFonts w:ascii="Arial" w:eastAsiaTheme="minorEastAsia" w:hAnsi="Arial" w:cs="Times New Roman"/>
      <w:b/>
      <w:bCs/>
      <w:sz w:val="20"/>
      <w:szCs w:val="20"/>
      <w:lang w:eastAsia="en-AU"/>
    </w:rPr>
  </w:style>
  <w:style w:type="paragraph" w:styleId="ae">
    <w:name w:val="header"/>
    <w:basedOn w:val="a"/>
    <w:link w:val="af"/>
    <w:unhideWhenUsed/>
    <w:rsid w:val="006B4E76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rsid w:val="006B4E76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af0">
    <w:name w:val="Body Text"/>
    <w:basedOn w:val="a"/>
    <w:link w:val="af1"/>
    <w:unhideWhenUsed/>
    <w:rsid w:val="006B4E76"/>
    <w:pPr>
      <w:spacing w:after="120"/>
    </w:pPr>
  </w:style>
  <w:style w:type="character" w:customStyle="1" w:styleId="af1">
    <w:name w:val="本文 (文字)"/>
    <w:basedOn w:val="a0"/>
    <w:link w:val="af0"/>
    <w:rsid w:val="006B4E76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Subheading">
    <w:name w:val="Subheading"/>
    <w:basedOn w:val="a"/>
    <w:link w:val="SubheadingChar"/>
    <w:qFormat/>
    <w:rsid w:val="006B4E76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a0"/>
    <w:link w:val="Subheading"/>
    <w:rsid w:val="006B4E76"/>
    <w:rPr>
      <w:rFonts w:ascii="Arial" w:eastAsia="Calibri" w:hAnsi="Arial" w:cs="Arial"/>
      <w:b/>
      <w:bCs/>
      <w:lang w:val="en-GB" w:eastAsia="en-AU"/>
    </w:rPr>
  </w:style>
  <w:style w:type="character" w:customStyle="1" w:styleId="PSHeading4Char">
    <w:name w:val="PS Heading 4 Char"/>
    <w:basedOn w:val="a0"/>
    <w:link w:val="PSHeading4"/>
    <w:rsid w:val="006B4E76"/>
    <w:rPr>
      <w:rFonts w:ascii="Arial" w:eastAsiaTheme="minorEastAsia" w:hAnsi="Arial" w:cs="Arial"/>
      <w:u w:val="single"/>
      <w:lang w:eastAsia="en-AU"/>
    </w:rPr>
  </w:style>
  <w:style w:type="character" w:customStyle="1" w:styleId="PSTableTxtChar">
    <w:name w:val="PS Table Txt Char"/>
    <w:basedOn w:val="PSTextX1spaceChar"/>
    <w:link w:val="PSTableTxt"/>
    <w:rsid w:val="006B4E76"/>
    <w:rPr>
      <w:rFonts w:ascii="Arial" w:eastAsiaTheme="minorEastAsia" w:hAnsi="Arial" w:cs="Arial"/>
      <w:sz w:val="20"/>
      <w:szCs w:val="20"/>
      <w:lang w:eastAsia="en-AU"/>
    </w:rPr>
  </w:style>
  <w:style w:type="character" w:styleId="af2">
    <w:name w:val="Hyperlink"/>
    <w:basedOn w:val="a0"/>
    <w:unhideWhenUsed/>
    <w:rsid w:val="006B4E76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6B4E76"/>
    <w:pPr>
      <w:spacing w:before="14" w:after="144" w:line="300" w:lineRule="atLeast"/>
      <w:ind w:left="720"/>
      <w:contextualSpacing/>
    </w:pPr>
    <w:rPr>
      <w:szCs w:val="20"/>
      <w:lang w:val="en-US" w:eastAsia="en-US"/>
    </w:rPr>
  </w:style>
  <w:style w:type="table" w:styleId="af4">
    <w:name w:val="Table Grid"/>
    <w:basedOn w:val="a1"/>
    <w:uiPriority w:val="59"/>
    <w:rsid w:val="006B4E76"/>
    <w:pPr>
      <w:spacing w:before="14" w:after="144" w:line="30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4"/>
    <w:uiPriority w:val="59"/>
    <w:rsid w:val="006B4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Instructions">
    <w:name w:val="md_Instructions"/>
    <w:basedOn w:val="a"/>
    <w:link w:val="mdInstructionsChar"/>
    <w:qFormat/>
    <w:rsid w:val="006B4E76"/>
    <w:pPr>
      <w:spacing w:after="120" w:line="240" w:lineRule="atLeast"/>
    </w:pPr>
    <w:rPr>
      <w:color w:val="FF0000"/>
      <w:sz w:val="20"/>
      <w:szCs w:val="20"/>
      <w:lang w:val="en-US" w:eastAsia="en-US"/>
    </w:rPr>
  </w:style>
  <w:style w:type="character" w:customStyle="1" w:styleId="mdInstructionsChar">
    <w:name w:val="md_Instructions Char"/>
    <w:basedOn w:val="a0"/>
    <w:link w:val="mdInstructions"/>
    <w:rsid w:val="006B4E76"/>
    <w:rPr>
      <w:rFonts w:ascii="Times New Roman" w:eastAsiaTheme="minorEastAsia" w:hAnsi="Times New Roman" w:cs="Times New Roman"/>
      <w:color w:val="FF0000"/>
      <w:sz w:val="20"/>
      <w:szCs w:val="20"/>
      <w:lang w:val="en-US"/>
    </w:rPr>
  </w:style>
  <w:style w:type="paragraph" w:styleId="Web">
    <w:name w:val="Normal (Web)"/>
    <w:basedOn w:val="a"/>
    <w:uiPriority w:val="99"/>
    <w:unhideWhenUsed/>
    <w:rsid w:val="006B4E76"/>
    <w:pPr>
      <w:spacing w:before="100" w:beforeAutospacing="1" w:after="100" w:afterAutospacing="1"/>
    </w:pPr>
    <w:rPr>
      <w:lang w:val="en-US" w:eastAsia="en-US"/>
    </w:rPr>
  </w:style>
  <w:style w:type="paragraph" w:customStyle="1" w:styleId="mdTblEntry">
    <w:name w:val="md_Tbl Entry"/>
    <w:basedOn w:val="a"/>
    <w:link w:val="mdTblEntryChar"/>
    <w:uiPriority w:val="99"/>
    <w:qFormat/>
    <w:rsid w:val="006B4E76"/>
    <w:pPr>
      <w:keepLines/>
      <w:spacing w:line="259" w:lineRule="atLeast"/>
    </w:pPr>
    <w:rPr>
      <w:sz w:val="20"/>
      <w:szCs w:val="20"/>
      <w:lang w:val="en-US" w:eastAsia="en-US"/>
    </w:rPr>
  </w:style>
  <w:style w:type="character" w:customStyle="1" w:styleId="mdTblEntryChar">
    <w:name w:val="md_Tbl Entry Char"/>
    <w:basedOn w:val="a0"/>
    <w:link w:val="mdTblEntry"/>
    <w:uiPriority w:val="99"/>
    <w:rsid w:val="006B4E76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B4E76"/>
  </w:style>
  <w:style w:type="character" w:customStyle="1" w:styleId="highlight">
    <w:name w:val="highlight"/>
    <w:basedOn w:val="a0"/>
    <w:rsid w:val="006B4E76"/>
  </w:style>
  <w:style w:type="character" w:customStyle="1" w:styleId="mdBulletChar">
    <w:name w:val="md_Bullet Char"/>
    <w:basedOn w:val="a0"/>
    <w:link w:val="mdBullet"/>
    <w:uiPriority w:val="99"/>
    <w:locked/>
    <w:rsid w:val="006B4E76"/>
  </w:style>
  <w:style w:type="paragraph" w:customStyle="1" w:styleId="mdBullet">
    <w:name w:val="md_Bullet"/>
    <w:basedOn w:val="a"/>
    <w:link w:val="mdBulletChar"/>
    <w:uiPriority w:val="99"/>
    <w:rsid w:val="006B4E76"/>
    <w:pPr>
      <w:spacing w:before="14" w:after="144" w:line="279" w:lineRule="exact"/>
      <w:ind w:left="720" w:right="72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6B4E76"/>
    <w:rPr>
      <w:color w:val="954F72" w:themeColor="followedHyperlink"/>
      <w:u w:val="single"/>
    </w:rPr>
  </w:style>
  <w:style w:type="table" w:customStyle="1" w:styleId="TableGrid1">
    <w:name w:val="Table Grid1"/>
    <w:basedOn w:val="a1"/>
    <w:next w:val="af4"/>
    <w:uiPriority w:val="59"/>
    <w:rsid w:val="006B4E76"/>
    <w:pPr>
      <w:spacing w:before="14" w:after="144" w:line="30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9.t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tif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tif"/><Relationship Id="rId10" Type="http://schemas.openxmlformats.org/officeDocument/2006/relationships/image" Target="media/image2.png"/><Relationship Id="rId19" Type="http://schemas.openxmlformats.org/officeDocument/2006/relationships/image" Target="media/image10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t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03FB-5625-436B-8289-559D550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2197</Words>
  <Characters>12524</Characters>
  <Application>Microsoft Office Word</Application>
  <DocSecurity>0</DocSecurity>
  <Lines>104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Naotsugu Akashi</cp:lastModifiedBy>
  <cp:revision>3</cp:revision>
  <cp:lastPrinted>2017-03-29T06:06:00Z</cp:lastPrinted>
  <dcterms:created xsi:type="dcterms:W3CDTF">2017-11-06T01:17:00Z</dcterms:created>
  <dcterms:modified xsi:type="dcterms:W3CDTF">2017-11-06T01:23:00Z</dcterms:modified>
</cp:coreProperties>
</file>