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6" w:rsidRPr="00E835E6" w:rsidRDefault="00E835E6" w:rsidP="00E835E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835E6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404F40" w:rsidRDefault="008F6423" w:rsidP="00E83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</w:p>
    <w:p w:rsidR="00583DC9" w:rsidRPr="00F104B6" w:rsidRDefault="00583DC9" w:rsidP="00583DC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Internalization assay </w:t>
      </w:r>
    </w:p>
    <w:p w:rsidR="00583DC9" w:rsidRPr="00F104B6" w:rsidRDefault="00583DC9" w:rsidP="00583DC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4B6">
        <w:rPr>
          <w:rFonts w:ascii="Times New Roman" w:hAnsi="Times New Roman" w:cs="Times New Roman"/>
          <w:sz w:val="24"/>
          <w:szCs w:val="24"/>
          <w:lang w:val="en-US"/>
        </w:rPr>
        <w:t>For DOX internalization assay, 4T1 cells were seeded at a concentration of 1 × 10</w:t>
      </w:r>
      <w:r w:rsidRPr="00F104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cells/well in 12-well culture plates. After 24 h, cells were washed twice with PBS and then treated with: 1) NCS-DOX; 2) Pol-DOX; 3) DOX or 4) culture medium alone (control). The concentration of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selol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for NCS-DOX was 216 µg/mL, while the DOX concentration was 9 µg/mL for all the other treatments except the control. Cells were analyzed by flow cytometry (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FACSVerse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, BD, USA) at 0.25, 0.5, 1 or 3 h of treatment. The fluorescence of DOX was detected at the wavelength of 590 nm. For each sample, 10,000 events were analyzed using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FlowJo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®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vX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0.7 software.</w:t>
      </w:r>
    </w:p>
    <w:p w:rsidR="00583DC9" w:rsidRPr="00F104B6" w:rsidRDefault="00583DC9" w:rsidP="00583DC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4B6">
        <w:rPr>
          <w:rFonts w:ascii="Times New Roman" w:hAnsi="Times New Roman" w:cs="Times New Roman"/>
          <w:b/>
          <w:sz w:val="24"/>
          <w:szCs w:val="24"/>
          <w:lang w:val="en-US"/>
        </w:rPr>
        <w:t>Analysis of DNA fragmentation</w:t>
      </w:r>
    </w:p>
    <w:p w:rsidR="00583DC9" w:rsidRPr="00F104B6" w:rsidRDefault="00583DC9" w:rsidP="00583DC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4B6">
        <w:rPr>
          <w:rFonts w:ascii="Times New Roman" w:hAnsi="Times New Roman" w:cs="Times New Roman"/>
          <w:sz w:val="24"/>
          <w:szCs w:val="24"/>
          <w:lang w:val="en-US"/>
        </w:rPr>
        <w:t>The analysis of DNA fragmentation was performed with 4T1 cells, which were first seeded at a concentration 2 × 10</w:t>
      </w:r>
      <w:r w:rsidRPr="00F104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cells/well in 12-well culture plates and, after 24 h of culture, were incubated with NCS-DOX, Pol-DOX, DOX or the culture medium (negative control) for 24 or 48 h. The DOX concentration was 1 µg/mL for all treatments, except for the control, and the concentration of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selol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was 24 µg/mL for NCS-DOX treatment. Cells were washed with PBS and incubated with 50 µg/mL of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RNAse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for 30 minutes at 37 °C. DNA was stained with 7AAD at a concentration of 2.5 µg/mL for 5 minutes in room temperature. Cells were analyzed on flow cytometer (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FACSVerse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, BD, USA) and 10,000 events were counted per sample. The fluorescence of DOX was detected at a wavelength of 590 nm and 7AAD at 650 nm. Results were processed by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FlowJo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®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vX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0.7 software.</w:t>
      </w:r>
    </w:p>
    <w:p w:rsidR="00583DC9" w:rsidRPr="00F104B6" w:rsidRDefault="00583DC9" w:rsidP="00583DC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4B6">
        <w:rPr>
          <w:rFonts w:ascii="Times New Roman" w:hAnsi="Times New Roman" w:cs="Times New Roman"/>
          <w:b/>
          <w:sz w:val="24"/>
          <w:szCs w:val="24"/>
          <w:lang w:val="en-US"/>
        </w:rPr>
        <w:t>Analysis of apoptosis and necrosis</w:t>
      </w:r>
    </w:p>
    <w:p w:rsidR="00583DC9" w:rsidRPr="00F104B6" w:rsidRDefault="00583DC9" w:rsidP="00583DC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4B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exposure of phosphatidylserine on the outer leaflet of cell membranes – a typical signal of apoptosis – and loss of plasma cell membrane integrity – a signal of necrosis – were detected by staining cells with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annexin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V and 7AAD, respectively, according to instructions from the manufacturer. Briefly, 4T1 cells were seeded at the concentration 2 × 10</w:t>
      </w:r>
      <w:r w:rsidRPr="00F104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cells/well in 12-well culture plates. After 24 h, the following treatments were performed: 1) NCS-DOX; 2) Pol-DOX; 3) DOX or 4) the culture medium (negative control). The DOX concentration was 1 µg/mL for all the treatments, except for the control, and the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selol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concentration for NCS-DOX treatment was 24 µg/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mL.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Then, cells were incubated with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annexin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V and 7AAD (0</w:t>
      </w:r>
      <w:proofErr w:type="gramStart"/>
      <w:r w:rsidRPr="00F104B6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µg/mL) for five minutes in the dark and room temperature. The DOX fluorescence was detected at a wavelength of 590 nm and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annexin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V and 7AAD at 488 and 650 nm, respectively. Cells were analyzed on flow cytometer (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FACSVerse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, BD, USA) and 10,000 events were counted per sample. Results were analyzed with the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FlowJo</w:t>
      </w:r>
      <w:proofErr w:type="spellEnd"/>
      <w:r w:rsidRPr="00F104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vX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0.7 software.</w:t>
      </w:r>
    </w:p>
    <w:p w:rsidR="00583DC9" w:rsidRPr="00F104B6" w:rsidRDefault="00583DC9" w:rsidP="00583DC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4B6">
        <w:rPr>
          <w:rFonts w:ascii="Times New Roman" w:hAnsi="Times New Roman" w:cs="Times New Roman"/>
          <w:b/>
          <w:sz w:val="24"/>
          <w:szCs w:val="24"/>
          <w:lang w:val="en-US"/>
        </w:rPr>
        <w:t>Measurement of the mitochondrial membrane potential</w:t>
      </w:r>
    </w:p>
    <w:p w:rsidR="00583DC9" w:rsidRPr="00F104B6" w:rsidRDefault="00583DC9" w:rsidP="00583DC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4B6">
        <w:rPr>
          <w:rFonts w:ascii="Times New Roman" w:hAnsi="Times New Roman" w:cs="Times New Roman"/>
          <w:sz w:val="24"/>
          <w:szCs w:val="24"/>
          <w:lang w:val="en-US"/>
        </w:rPr>
        <w:t>Rhodamine 123 staining was used for the analysis of mitochondrial membrane potential. In a typical experiment, 4T1 cells were seeded at a concentration of 2 × 10</w:t>
      </w:r>
      <w:r w:rsidRPr="00F104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cells/well in 12-well culture plates. After 24 h, cells were treated with NCS-DOX, Pol-DOX, </w:t>
      </w:r>
      <w:proofErr w:type="gramStart"/>
      <w:r w:rsidRPr="00F104B6">
        <w:rPr>
          <w:rFonts w:ascii="Times New Roman" w:hAnsi="Times New Roman" w:cs="Times New Roman"/>
          <w:sz w:val="24"/>
          <w:szCs w:val="24"/>
          <w:lang w:val="en-US"/>
        </w:rPr>
        <w:t>DOX</w:t>
      </w:r>
      <w:proofErr w:type="gram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, culture medium (negative control) or hydrogen peroxide (positive control). The DOX concentration was 1 µg/mL for all the treatments except for the control, and the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selol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concentration for NCS-DOX treatment was 24 µg/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mL.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After 24 or 48 h of treatment, cells were incubated with 12 µg/mL rhodamine 123 in culture medium for 15 minutes in the dark and at room temperature, and then washed with PBS. Cells were then analyzed by flow cytometer (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FACSVerse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, BD, USA), and 10,000 events were counted per sample. The fluorescence of DOX was detected at a wavelength of 590 nm and rhodamine 123 at 530 nm. Results were analyzed with the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FlowJo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®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vX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0.7 software.</w:t>
      </w:r>
    </w:p>
    <w:p w:rsidR="00583DC9" w:rsidRPr="00F104B6" w:rsidRDefault="00583DC9" w:rsidP="00583DC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04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Detection of reactive oxygen species </w:t>
      </w:r>
    </w:p>
    <w:p w:rsidR="00583DC9" w:rsidRPr="00F104B6" w:rsidRDefault="00583DC9" w:rsidP="00583DC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The analysis of the production of reactive oxygen species (ROS) was performed with the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CellROX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green kit (Molecular Probes</w:t>
      </w:r>
      <w:r w:rsidRPr="00F104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Pr="00F104B6">
        <w:rPr>
          <w:rFonts w:ascii="Times New Roman" w:hAnsi="Times New Roman" w:cs="Times New Roman"/>
          <w:sz w:val="24"/>
          <w:szCs w:val="24"/>
          <w:lang w:val="en-US"/>
        </w:rPr>
        <w:t>, USA). Briefly, 4T1 cells were seeded at a concentration of 2 × 10</w:t>
      </w:r>
      <w:r w:rsidRPr="00F104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cells/well in </w:t>
      </w:r>
      <w:proofErr w:type="gramStart"/>
      <w:r w:rsidRPr="00F104B6">
        <w:rPr>
          <w:rFonts w:ascii="Times New Roman" w:hAnsi="Times New Roman" w:cs="Times New Roman"/>
          <w:sz w:val="24"/>
          <w:szCs w:val="24"/>
          <w:lang w:val="en-US"/>
        </w:rPr>
        <w:t>plates</w:t>
      </w:r>
      <w:proofErr w:type="gram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culture of 12 wells. After 24 h, cells were treated with NCS-DOX, Pol-DOX, </w:t>
      </w:r>
      <w:proofErr w:type="gramStart"/>
      <w:r w:rsidRPr="00F104B6">
        <w:rPr>
          <w:rFonts w:ascii="Times New Roman" w:hAnsi="Times New Roman" w:cs="Times New Roman"/>
          <w:sz w:val="24"/>
          <w:szCs w:val="24"/>
          <w:lang w:val="en-US"/>
        </w:rPr>
        <w:t>DOX</w:t>
      </w:r>
      <w:proofErr w:type="gram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, culture medium (negative control) or hydrogen peroxide (positive control). The DOX concentration was 1 µg/mL for all the treatments except for the control, and the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selol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concentration for NCS-DOX treatment was 24 µg/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mL.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Cells were then incubated with 5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CellROX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for 30 minutes at 37 °C, and then washed with PBS. Then, 10,000 events were counted per sample in flow cytometer (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FACSVerse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, BD, USA). The fluorescence of doxorubicin was detected at a wavelength of 590 nm and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CellROX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green at 520 nm. This experiment was also used to verify cell morphology after treatments. Results were analyzed using the software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FlowJo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®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vX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0.7</w:t>
      </w:r>
    </w:p>
    <w:p w:rsidR="008F6423" w:rsidRDefault="008F6423" w:rsidP="00404F4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3DC9" w:rsidRDefault="00583DC9" w:rsidP="00404F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423" w:rsidRDefault="008F6423" w:rsidP="00404F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RESULTS</w:t>
      </w:r>
    </w:p>
    <w:p w:rsidR="00BB6D30" w:rsidRPr="009216A4" w:rsidRDefault="00BB6D30" w:rsidP="00BB6D30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16A4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S1</w:t>
      </w:r>
      <w:r w:rsidRPr="009216A4">
        <w:rPr>
          <w:rFonts w:ascii="Times New Roman" w:hAnsi="Times New Roman"/>
          <w:sz w:val="24"/>
          <w:szCs w:val="24"/>
          <w:lang w:val="en-US"/>
        </w:rPr>
        <w:t>. Hydrodynamic diameter (z-average) (</w:t>
      </w:r>
      <w:r>
        <w:rPr>
          <w:rFonts w:ascii="Times New Roman" w:hAnsi="Times New Roman"/>
          <w:sz w:val="24"/>
          <w:szCs w:val="24"/>
          <w:lang w:val="en-US"/>
        </w:rPr>
        <w:t>HD</w:t>
      </w:r>
      <w:r w:rsidRPr="009216A4">
        <w:rPr>
          <w:rFonts w:ascii="Times New Roman" w:hAnsi="Times New Roman"/>
          <w:sz w:val="24"/>
          <w:szCs w:val="24"/>
          <w:lang w:val="en-US"/>
        </w:rPr>
        <w:t>), polydispersity index (PDI) and zeta potential (ZP) of NCS-DOX formulations (</w:t>
      </w:r>
      <w:proofErr w:type="spellStart"/>
      <w:r w:rsidRPr="009216A4">
        <w:rPr>
          <w:rFonts w:ascii="Times New Roman" w:hAnsi="Times New Roman"/>
          <w:sz w:val="24"/>
          <w:szCs w:val="24"/>
          <w:lang w:val="en-US"/>
        </w:rPr>
        <w:t>selol</w:t>
      </w:r>
      <w:proofErr w:type="spellEnd"/>
      <w:r w:rsidRPr="009216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216A4">
        <w:rPr>
          <w:rFonts w:ascii="Times New Roman" w:hAnsi="Times New Roman"/>
          <w:sz w:val="24"/>
          <w:szCs w:val="24"/>
          <w:lang w:val="en-US"/>
        </w:rPr>
        <w:t>nanocapsules</w:t>
      </w:r>
      <w:proofErr w:type="spellEnd"/>
      <w:r w:rsidRPr="009216A4">
        <w:rPr>
          <w:rFonts w:ascii="Times New Roman" w:hAnsi="Times New Roman"/>
          <w:sz w:val="24"/>
          <w:szCs w:val="24"/>
          <w:lang w:val="en-US"/>
        </w:rPr>
        <w:t xml:space="preserve"> containing DOX) in culture medium supplemented with FBS. Values were expressed as mean ± standard error of the mean.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122"/>
        <w:gridCol w:w="2122"/>
        <w:gridCol w:w="2122"/>
      </w:tblGrid>
      <w:tr w:rsidR="00BB6D30" w:rsidRPr="001D7B4E" w:rsidTr="009D49D7">
        <w:tc>
          <w:tcPr>
            <w:tcW w:w="21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B6D30" w:rsidRPr="001D7B4E" w:rsidRDefault="00BB6D30" w:rsidP="009D49D7">
            <w:pPr>
              <w:tabs>
                <w:tab w:val="right" w:pos="1945"/>
              </w:tabs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B4E">
              <w:rPr>
                <w:rFonts w:ascii="Times New Roman" w:hAnsi="Times New Roman"/>
                <w:bCs/>
                <w:sz w:val="24"/>
                <w:szCs w:val="24"/>
              </w:rPr>
              <w:t>Time (h)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B6D30" w:rsidRPr="001D7B4E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B4E">
              <w:rPr>
                <w:rFonts w:ascii="Times New Roman" w:hAnsi="Times New Roman"/>
                <w:bCs/>
                <w:sz w:val="24"/>
                <w:szCs w:val="24"/>
              </w:rPr>
              <w:t>HD (nm)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B6D30" w:rsidRPr="001D7B4E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B4E">
              <w:rPr>
                <w:rFonts w:ascii="Times New Roman" w:hAnsi="Times New Roman"/>
                <w:bCs/>
                <w:sz w:val="24"/>
                <w:szCs w:val="24"/>
              </w:rPr>
              <w:t>PDI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B6D30" w:rsidRPr="001D7B4E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B4E">
              <w:rPr>
                <w:rFonts w:ascii="Times New Roman" w:hAnsi="Times New Roman"/>
                <w:bCs/>
                <w:sz w:val="24"/>
                <w:szCs w:val="24"/>
              </w:rPr>
              <w:t>ZP (mV)</w:t>
            </w:r>
          </w:p>
        </w:tc>
      </w:tr>
      <w:tr w:rsidR="00BB6D30" w:rsidRPr="00651C5C" w:rsidTr="009D49D7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BB6D30" w:rsidRPr="00651C5C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C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BB6D30" w:rsidRPr="00651C5C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5C">
              <w:rPr>
                <w:rFonts w:ascii="Times New Roman" w:hAnsi="Times New Roman"/>
                <w:sz w:val="24"/>
                <w:szCs w:val="24"/>
              </w:rPr>
              <w:t>167,2 ± 2,5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BB6D30" w:rsidRPr="00651C5C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5C">
              <w:rPr>
                <w:rFonts w:ascii="Times New Roman" w:hAnsi="Times New Roman"/>
                <w:sz w:val="24"/>
                <w:szCs w:val="24"/>
              </w:rPr>
              <w:t>0,12 ± 0,017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BB6D30" w:rsidRPr="00651C5C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5C">
              <w:rPr>
                <w:rFonts w:ascii="Times New Roman" w:hAnsi="Times New Roman"/>
                <w:sz w:val="24"/>
                <w:szCs w:val="24"/>
              </w:rPr>
              <w:t>-19,03 ± 0,679</w:t>
            </w:r>
          </w:p>
        </w:tc>
      </w:tr>
      <w:tr w:rsidR="00BB6D30" w:rsidRPr="00651C5C" w:rsidTr="009D49D7">
        <w:tc>
          <w:tcPr>
            <w:tcW w:w="2161" w:type="dxa"/>
            <w:shd w:val="clear" w:color="auto" w:fill="auto"/>
          </w:tcPr>
          <w:p w:rsidR="00BB6D30" w:rsidRPr="00651C5C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C5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61" w:type="dxa"/>
            <w:shd w:val="clear" w:color="auto" w:fill="auto"/>
          </w:tcPr>
          <w:p w:rsidR="00BB6D30" w:rsidRPr="00651C5C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5C">
              <w:rPr>
                <w:rFonts w:ascii="Times New Roman" w:hAnsi="Times New Roman"/>
                <w:sz w:val="24"/>
                <w:szCs w:val="24"/>
              </w:rPr>
              <w:t>169,3 ± 0,326</w:t>
            </w:r>
          </w:p>
        </w:tc>
        <w:tc>
          <w:tcPr>
            <w:tcW w:w="2161" w:type="dxa"/>
            <w:shd w:val="clear" w:color="auto" w:fill="auto"/>
          </w:tcPr>
          <w:p w:rsidR="00BB6D30" w:rsidRPr="00651C5C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5C">
              <w:rPr>
                <w:rFonts w:ascii="Times New Roman" w:hAnsi="Times New Roman"/>
                <w:sz w:val="24"/>
                <w:szCs w:val="24"/>
              </w:rPr>
              <w:t>0,109 ± 0,020</w:t>
            </w:r>
          </w:p>
        </w:tc>
        <w:tc>
          <w:tcPr>
            <w:tcW w:w="2161" w:type="dxa"/>
            <w:shd w:val="clear" w:color="auto" w:fill="auto"/>
          </w:tcPr>
          <w:p w:rsidR="00BB6D30" w:rsidRPr="00651C5C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5C">
              <w:rPr>
                <w:rFonts w:ascii="Times New Roman" w:hAnsi="Times New Roman"/>
                <w:sz w:val="24"/>
                <w:szCs w:val="24"/>
              </w:rPr>
              <w:t>-18,8 ± 0,496</w:t>
            </w:r>
          </w:p>
        </w:tc>
      </w:tr>
      <w:tr w:rsidR="00BB6D30" w:rsidRPr="00651C5C" w:rsidTr="009D49D7">
        <w:tc>
          <w:tcPr>
            <w:tcW w:w="2161" w:type="dxa"/>
            <w:shd w:val="clear" w:color="auto" w:fill="auto"/>
          </w:tcPr>
          <w:p w:rsidR="00BB6D30" w:rsidRPr="00651C5C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C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2161" w:type="dxa"/>
            <w:shd w:val="clear" w:color="auto" w:fill="auto"/>
          </w:tcPr>
          <w:p w:rsidR="00BB6D30" w:rsidRPr="00651C5C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5C">
              <w:rPr>
                <w:rFonts w:ascii="Times New Roman" w:hAnsi="Times New Roman"/>
                <w:sz w:val="24"/>
                <w:szCs w:val="24"/>
              </w:rPr>
              <w:t>168,1 ± 0,654</w:t>
            </w:r>
          </w:p>
        </w:tc>
        <w:tc>
          <w:tcPr>
            <w:tcW w:w="2161" w:type="dxa"/>
            <w:shd w:val="clear" w:color="auto" w:fill="auto"/>
          </w:tcPr>
          <w:p w:rsidR="00BB6D30" w:rsidRPr="00651C5C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5C">
              <w:rPr>
                <w:rFonts w:ascii="Times New Roman" w:hAnsi="Times New Roman"/>
                <w:sz w:val="24"/>
                <w:szCs w:val="24"/>
              </w:rPr>
              <w:t>0,117 ± 0,012</w:t>
            </w:r>
          </w:p>
        </w:tc>
        <w:tc>
          <w:tcPr>
            <w:tcW w:w="2161" w:type="dxa"/>
            <w:shd w:val="clear" w:color="auto" w:fill="auto"/>
          </w:tcPr>
          <w:p w:rsidR="00BB6D30" w:rsidRPr="00651C5C" w:rsidRDefault="00BB6D30" w:rsidP="009D49D7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C5C">
              <w:rPr>
                <w:rFonts w:ascii="Times New Roman" w:hAnsi="Times New Roman"/>
                <w:sz w:val="24"/>
                <w:szCs w:val="24"/>
              </w:rPr>
              <w:t>-18,5 ± 0,616</w:t>
            </w:r>
          </w:p>
        </w:tc>
      </w:tr>
    </w:tbl>
    <w:p w:rsidR="00BB6D30" w:rsidRPr="00F104B6" w:rsidRDefault="00BB6D30" w:rsidP="00BB6D30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101C" w:rsidRDefault="00942044" w:rsidP="00404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204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083537B" wp14:editId="2146A83A">
            <wp:extent cx="5084445" cy="7730490"/>
            <wp:effectExtent l="0" t="0" r="1905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773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F40" w:rsidRPr="00583DC9" w:rsidRDefault="00404F40" w:rsidP="00404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3DC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S1: Hydrodynamic diameter (full circle), polydispersity index (PDI - empty square) and zeta potential </w:t>
      </w:r>
      <w:r w:rsidR="0044101C">
        <w:rPr>
          <w:rFonts w:ascii="Times New Roman" w:hAnsi="Times New Roman" w:cs="Times New Roman"/>
          <w:sz w:val="24"/>
          <w:szCs w:val="24"/>
          <w:lang w:val="en-US"/>
        </w:rPr>
        <w:t xml:space="preserve">(graphs on the </w:t>
      </w:r>
      <w:r w:rsidR="00874AA4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44101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83DC9">
        <w:rPr>
          <w:rFonts w:ascii="Times New Roman" w:hAnsi="Times New Roman" w:cs="Times New Roman"/>
          <w:sz w:val="24"/>
          <w:szCs w:val="24"/>
          <w:lang w:val="en-US"/>
        </w:rPr>
        <w:t>of NCS-DOX nanocapsules at 4 °C, room temperature (R</w:t>
      </w:r>
      <w:r w:rsidR="003069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3DC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069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3DC9">
        <w:rPr>
          <w:rFonts w:ascii="Times New Roman" w:hAnsi="Times New Roman" w:cs="Times New Roman"/>
          <w:sz w:val="24"/>
          <w:szCs w:val="24"/>
          <w:lang w:val="en-US"/>
        </w:rPr>
        <w:t>), 37 °C and the culture medium. The values were expressed as mean ± standard error of the mean.</w:t>
      </w:r>
    </w:p>
    <w:p w:rsidR="00994DBD" w:rsidRPr="0027036B" w:rsidRDefault="00942044" w:rsidP="00404F40">
      <w:pPr>
        <w:spacing w:line="36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en-US"/>
        </w:rPr>
      </w:pPr>
      <w:r w:rsidRPr="00942044">
        <w:rPr>
          <w:rFonts w:ascii="Times New Roman" w:hAnsi="Times New Roman" w:cs="Times New Roman"/>
          <w:noProof/>
          <w:color w:val="00B0F0"/>
          <w:sz w:val="24"/>
          <w:szCs w:val="24"/>
          <w:lang w:val="en-US"/>
        </w:rPr>
        <w:drawing>
          <wp:inline distT="0" distB="0" distL="0" distR="0" wp14:anchorId="2B2ABCF3" wp14:editId="7CFB3C3B">
            <wp:extent cx="5400040" cy="4490720"/>
            <wp:effectExtent l="0" t="0" r="0" b="5080"/>
            <wp:docPr id="3" name="Picture 4" descr="C:\Users\Muehlmann\Desktop\Interiorização XY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:\Users\Muehlmann\Desktop\Interiorização XY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90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25D38" w:rsidRDefault="00994DBD" w:rsidP="00583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583DC9">
        <w:rPr>
          <w:rFonts w:ascii="Times New Roman" w:hAnsi="Times New Roman" w:cs="Times New Roman"/>
          <w:sz w:val="24"/>
          <w:szCs w:val="24"/>
          <w:lang w:val="en-US"/>
        </w:rPr>
        <w:t>S2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vitro </w:t>
      </w:r>
      <w:r>
        <w:rPr>
          <w:rFonts w:ascii="Times New Roman" w:hAnsi="Times New Roman" w:cs="Times New Roman"/>
          <w:sz w:val="24"/>
          <w:szCs w:val="24"/>
          <w:lang w:val="en-US"/>
        </w:rPr>
        <w:t>interiorization</w:t>
      </w:r>
      <w:r w:rsidRPr="00A5140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doxorubicin (DOX) by </w:t>
      </w:r>
      <w:r w:rsidRPr="00A51406">
        <w:rPr>
          <w:rFonts w:ascii="Times New Roman" w:hAnsi="Times New Roman" w:cs="Times New Roman"/>
          <w:sz w:val="24"/>
          <w:szCs w:val="24"/>
          <w:lang w:val="en-US"/>
        </w:rPr>
        <w:t xml:space="preserve">4T1 cells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exposed to </w:t>
      </w:r>
      <w:r w:rsidRPr="00A51406">
        <w:rPr>
          <w:rFonts w:ascii="Times New Roman" w:hAnsi="Times New Roman" w:cs="Times New Roman"/>
          <w:sz w:val="24"/>
          <w:szCs w:val="24"/>
          <w:lang w:val="en-US"/>
        </w:rPr>
        <w:t>NCS-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DOX </w:t>
      </w:r>
      <w:r w:rsidRPr="00A5140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51406">
        <w:rPr>
          <w:rFonts w:ascii="Times New Roman" w:hAnsi="Times New Roman" w:cs="Times New Roman"/>
          <w:sz w:val="24"/>
          <w:szCs w:val="24"/>
          <w:lang w:val="en-US"/>
        </w:rPr>
        <w:t>nanocapsules</w:t>
      </w:r>
      <w:proofErr w:type="spellEnd"/>
      <w:r w:rsidRPr="00A51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DC9">
        <w:rPr>
          <w:rFonts w:ascii="Times New Roman" w:hAnsi="Times New Roman" w:cs="Times New Roman"/>
          <w:sz w:val="24"/>
          <w:szCs w:val="24"/>
          <w:lang w:val="en-US"/>
        </w:rPr>
        <w:t xml:space="preserve">containing </w:t>
      </w:r>
      <w:proofErr w:type="spellStart"/>
      <w:r w:rsidRPr="00A51406">
        <w:rPr>
          <w:rFonts w:ascii="Times New Roman" w:hAnsi="Times New Roman" w:cs="Times New Roman"/>
          <w:sz w:val="24"/>
          <w:szCs w:val="24"/>
          <w:lang w:val="en-US"/>
        </w:rPr>
        <w:t>selol</w:t>
      </w:r>
      <w:proofErr w:type="spellEnd"/>
      <w:r w:rsidRPr="00A51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DC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51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DOX)</w:t>
      </w:r>
      <w:r w:rsidRPr="00A51406">
        <w:rPr>
          <w:rFonts w:ascii="Times New Roman" w:hAnsi="Times New Roman" w:cs="Times New Roman"/>
          <w:sz w:val="24"/>
          <w:szCs w:val="24"/>
          <w:lang w:val="en-US"/>
        </w:rPr>
        <w:t>, Pol-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DOX </w:t>
      </w:r>
      <w:r w:rsidRPr="00A5140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Pr="00A51406">
        <w:rPr>
          <w:rFonts w:ascii="Times New Roman" w:hAnsi="Times New Roman" w:cs="Times New Roman"/>
          <w:sz w:val="24"/>
          <w:szCs w:val="24"/>
          <w:lang w:val="en-US"/>
        </w:rPr>
        <w:t xml:space="preserve"> PVM/MA </w:t>
      </w:r>
      <w:r>
        <w:rPr>
          <w:rFonts w:ascii="Times New Roman" w:hAnsi="Times New Roman" w:cs="Times New Roman"/>
          <w:sz w:val="24"/>
          <w:szCs w:val="24"/>
          <w:lang w:val="en-US"/>
        </w:rPr>
        <w:t>conjugated to</w:t>
      </w:r>
      <w:r w:rsidRPr="00A51406">
        <w:rPr>
          <w:rFonts w:ascii="Times New Roman" w:hAnsi="Times New Roman" w:cs="Times New Roman"/>
          <w:sz w:val="24"/>
          <w:szCs w:val="24"/>
          <w:lang w:val="en-US"/>
        </w:rPr>
        <w:t xml:space="preserve"> doxorubicin), </w:t>
      </w:r>
      <w:r>
        <w:rPr>
          <w:rFonts w:ascii="Times New Roman" w:hAnsi="Times New Roman" w:cs="Times New Roman"/>
          <w:sz w:val="24"/>
          <w:szCs w:val="24"/>
          <w:lang w:val="en-US"/>
        </w:rPr>
        <w:t>DOX (doxorubicin alone)</w:t>
      </w:r>
      <w:r w:rsidRPr="00A51406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culture medium (negative control). </w:t>
      </w:r>
      <w:r w:rsidRPr="00447668">
        <w:rPr>
          <w:rFonts w:ascii="Times New Roman" w:hAnsi="Times New Roman" w:cs="Times New Roman"/>
          <w:sz w:val="24"/>
          <w:szCs w:val="24"/>
          <w:lang w:val="en-US"/>
        </w:rPr>
        <w:t>Data are expressed as mean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± standard error of the mean</w:t>
      </w:r>
      <w:r w:rsidRPr="004476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p&lt;0.05 for all data points of Pol-DOX in comparison to other treatments at a same time. </w:t>
      </w:r>
      <w:proofErr w:type="gramStart"/>
      <w:r w:rsidRPr="009410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p&lt;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0.05 for NCS-DOX vs DOX at 3 h.</w:t>
      </w:r>
    </w:p>
    <w:p w:rsidR="00583DC9" w:rsidRDefault="00583DC9" w:rsidP="00583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3DC9" w:rsidRPr="00BB6D30" w:rsidRDefault="00942044" w:rsidP="00583D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204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6CC90F9" wp14:editId="22D6E66C">
            <wp:extent cx="5400040" cy="4696460"/>
            <wp:effectExtent l="0" t="0" r="0" b="8890"/>
            <wp:docPr id="1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9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DC9" w:rsidRPr="00F104B6" w:rsidRDefault="00583DC9" w:rsidP="00583D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US"/>
        </w:rPr>
        <w:t>S3</w:t>
      </w:r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04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vitro </w:t>
      </w:r>
      <w:r w:rsidRPr="00F104B6">
        <w:rPr>
          <w:rFonts w:ascii="Times New Roman" w:hAnsi="Times New Roman" w:cs="Times New Roman"/>
          <w:sz w:val="24"/>
          <w:szCs w:val="24"/>
          <w:lang w:val="en-US"/>
        </w:rPr>
        <w:t>production of reactive oxygen species (A, 3 or 24 h of treatment) and mitochondrial membrane potential (B, 24 or 48 h of treatment) in 4T1 cells treated with DOX (doxorubicin alone), NCS-DOX (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nanocapsules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containing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selol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and doxorubicin), Pol-DOX (only PVM/MA conjugated to doxorubicin), hydrogen peroxide (positive control) and the culture medium (negative control). Data are expressed as mean ± standard error of the mean. Different letters for columns in a same graph indicate statistically significant difference (p&lt;0.05).</w:t>
      </w:r>
    </w:p>
    <w:p w:rsidR="00583DC9" w:rsidRPr="00F104B6" w:rsidRDefault="00583DC9" w:rsidP="00583D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3DC9" w:rsidRPr="00F104B6" w:rsidRDefault="00942044" w:rsidP="00583D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204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E3E26A9" wp14:editId="079F81FB">
            <wp:extent cx="5400040" cy="2157095"/>
            <wp:effectExtent l="0" t="0" r="0" b="0"/>
            <wp:docPr id="4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DC9" w:rsidRPr="00F104B6" w:rsidRDefault="00583DC9" w:rsidP="00583D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US"/>
        </w:rPr>
        <w:t>S4</w:t>
      </w:r>
      <w:r w:rsidRPr="00F104B6">
        <w:rPr>
          <w:rFonts w:ascii="Times New Roman" w:hAnsi="Times New Roman" w:cs="Times New Roman"/>
          <w:sz w:val="24"/>
          <w:szCs w:val="24"/>
          <w:lang w:val="en-US"/>
        </w:rPr>
        <w:t>. Exposure of phosphatidylserine on the outer leaflet of the plasma membrane (A) and DNA fragmentation (B) in 4T1 cells treated with DOX (doxorubicin alone), NCS-DOX (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nanocapsules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containing </w:t>
      </w:r>
      <w:proofErr w:type="spellStart"/>
      <w:r w:rsidRPr="00F104B6">
        <w:rPr>
          <w:rFonts w:ascii="Times New Roman" w:hAnsi="Times New Roman" w:cs="Times New Roman"/>
          <w:sz w:val="24"/>
          <w:szCs w:val="24"/>
          <w:lang w:val="en-US"/>
        </w:rPr>
        <w:t>selol</w:t>
      </w:r>
      <w:proofErr w:type="spellEnd"/>
      <w:r w:rsidRPr="00F104B6">
        <w:rPr>
          <w:rFonts w:ascii="Times New Roman" w:hAnsi="Times New Roman" w:cs="Times New Roman"/>
          <w:sz w:val="24"/>
          <w:szCs w:val="24"/>
          <w:lang w:val="en-US"/>
        </w:rPr>
        <w:t xml:space="preserve"> and doxorubicin), Pol-DOX (reaction product of PVM/MA and doxorubicin), and control (culture medium), for 48 h. Data are expressed as mean ± standard error of the mean. Different letters on columns in a same graph indicate statistically significant difference (p&lt;0.05).</w:t>
      </w:r>
    </w:p>
    <w:p w:rsidR="00583DC9" w:rsidRPr="00404F40" w:rsidRDefault="00583DC9" w:rsidP="00583DC9">
      <w:pPr>
        <w:spacing w:line="360" w:lineRule="auto"/>
        <w:jc w:val="both"/>
        <w:rPr>
          <w:lang w:val="en-US"/>
        </w:rPr>
      </w:pPr>
    </w:p>
    <w:sectPr w:rsidR="00583DC9" w:rsidRPr="00404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0"/>
    <w:rsid w:val="00306975"/>
    <w:rsid w:val="00404F40"/>
    <w:rsid w:val="0044101C"/>
    <w:rsid w:val="00583DC9"/>
    <w:rsid w:val="00664A44"/>
    <w:rsid w:val="007419F7"/>
    <w:rsid w:val="00874AA4"/>
    <w:rsid w:val="008F6423"/>
    <w:rsid w:val="00942044"/>
    <w:rsid w:val="00994DBD"/>
    <w:rsid w:val="00A25D38"/>
    <w:rsid w:val="00AD1165"/>
    <w:rsid w:val="00B26937"/>
    <w:rsid w:val="00BB6D30"/>
    <w:rsid w:val="00E835E6"/>
    <w:rsid w:val="00E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41947-3157-42B0-BF34-E0835840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4516-3C1F-4BF2-8CD2-E3D175F7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Muehlmann</dc:creator>
  <cp:keywords/>
  <dc:description/>
  <cp:lastModifiedBy>Vyshnavi Kalanath</cp:lastModifiedBy>
  <cp:revision>2</cp:revision>
  <dcterms:created xsi:type="dcterms:W3CDTF">2017-11-24T13:17:00Z</dcterms:created>
  <dcterms:modified xsi:type="dcterms:W3CDTF">2017-11-24T13:17:00Z</dcterms:modified>
</cp:coreProperties>
</file>