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D" w:rsidRPr="00B3679F" w:rsidRDefault="004D3DBD" w:rsidP="004D3DBD">
      <w:pPr>
        <w:jc w:val="both"/>
        <w:rPr>
          <w:lang w:val="en-US"/>
        </w:rPr>
      </w:pPr>
      <w:bookmarkStart w:id="0" w:name="_GoBack"/>
      <w:bookmarkEnd w:id="0"/>
    </w:p>
    <w:p w:rsidR="004D3DBD" w:rsidRPr="00B3679F" w:rsidRDefault="004D3DBD" w:rsidP="004D3DBD">
      <w:pPr>
        <w:jc w:val="center"/>
        <w:rPr>
          <w:sz w:val="32"/>
          <w:u w:val="single"/>
          <w:lang w:val="en-US"/>
        </w:rPr>
      </w:pPr>
      <w:r w:rsidRPr="00B3679F">
        <w:rPr>
          <w:sz w:val="32"/>
          <w:u w:val="single"/>
          <w:lang w:val="en-US"/>
        </w:rPr>
        <w:t>TECHNICAL ANNEX</w:t>
      </w:r>
    </w:p>
    <w:p w:rsidR="004D3DBD" w:rsidRPr="00B3679F" w:rsidRDefault="004D3DBD" w:rsidP="004D3DBD">
      <w:pPr>
        <w:rPr>
          <w:lang w:val="en-US"/>
        </w:rPr>
      </w:pPr>
      <w:r w:rsidRPr="00B3679F">
        <w:rPr>
          <w:lang w:val="en-US"/>
        </w:rPr>
        <w:br w:type="page"/>
      </w:r>
    </w:p>
    <w:p w:rsidR="004D3DBD" w:rsidRPr="00B3679F" w:rsidRDefault="004D3DBD" w:rsidP="004D3DBD">
      <w:pPr>
        <w:jc w:val="both"/>
        <w:rPr>
          <w:lang w:val="en-US"/>
        </w:rPr>
      </w:pPr>
    </w:p>
    <w:p w:rsidR="004D3DBD" w:rsidRPr="00B3679F" w:rsidRDefault="004D3DBD" w:rsidP="004D3DBD">
      <w:pPr>
        <w:jc w:val="both"/>
        <w:rPr>
          <w:b/>
          <w:lang w:val="en-US"/>
        </w:rPr>
      </w:pPr>
      <w:r w:rsidRPr="00B3679F">
        <w:rPr>
          <w:b/>
          <w:lang w:val="en-US"/>
        </w:rPr>
        <w:t xml:space="preserve">Network meta-analysis 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 xml:space="preserve">A network meta-analysis was carried out by pivotal clinical trials of infliximab, adalimumab, golimumab and vedolizumab with data of clinical remission in maintenance stage. 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>The network meta-analysis was made as recommendations of declaration in Preferred Reporting Items for Systematic reviews and Meta-analysis (PRISMA)</w:t>
      </w:r>
      <w:bookmarkStart w:id="1" w:name="Mendeley_Bookmark_NnxfZkje3G"/>
      <w:r w:rsidRPr="00B3679F">
        <w:rPr>
          <w:lang w:val="en-US"/>
        </w:rPr>
        <w:t>[1]</w:t>
      </w:r>
      <w:bookmarkEnd w:id="1"/>
      <w:r w:rsidRPr="00B3679F">
        <w:rPr>
          <w:lang w:val="en-US"/>
        </w:rPr>
        <w:t xml:space="preserve"> and for the  International Society for Pharmacoeconomics and Outcomes Research (ISPOR)</w:t>
      </w:r>
      <w:bookmarkStart w:id="2" w:name="Mendeley_Bookmark_XT5tiyiopG"/>
      <w:r w:rsidRPr="00B3679F">
        <w:rPr>
          <w:lang w:val="en-US"/>
        </w:rPr>
        <w:t>[2]</w:t>
      </w:r>
      <w:bookmarkEnd w:id="2"/>
      <w:r w:rsidRPr="00B3679F">
        <w:rPr>
          <w:lang w:val="en-US"/>
        </w:rPr>
        <w:t>.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>It was made by bayesian approach with the statistic programs R- Statistics® and JAGS®. Because of the heterogeneity of studies, it could be analyzed by fixed o randomized model. To determine the most suitable one, it was considered the complexity, the deviation and the value of DIC (Deviance Information Criterion). A 100,000 iteraccions were implemented for each model, and the convergence was analyzed by Brooks-Gelman-Rubin method</w:t>
      </w:r>
      <w:bookmarkStart w:id="3" w:name="Mendeley_Bookmark_EPnPwAAXzr"/>
      <w:r w:rsidRPr="00B3679F">
        <w:rPr>
          <w:lang w:val="en-US"/>
        </w:rPr>
        <w:t>[3]</w:t>
      </w:r>
      <w:bookmarkEnd w:id="3"/>
      <w:r w:rsidRPr="00B3679F">
        <w:rPr>
          <w:lang w:val="en-US"/>
        </w:rPr>
        <w:t xml:space="preserve">. And finally, 4 chains of 20,000 samples were analyzed to obtain the subsequent distributions. 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>For each comparison between treatments, the relative risk (RR) and 95% confidence interval (CI) were calculated.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>All of the included studies compare the drug with placebo, and they are very similar in the basal characteristics of patients. Only ULTRA 2 study for adalimumab</w:t>
      </w:r>
      <w:bookmarkStart w:id="4" w:name="Mendeley_Bookmark_k5isPGyt8t"/>
      <w:r w:rsidRPr="00B3679F">
        <w:rPr>
          <w:lang w:val="en-US"/>
        </w:rPr>
        <w:t>[4]</w:t>
      </w:r>
      <w:bookmarkEnd w:id="4"/>
      <w:r w:rsidRPr="00B3679F">
        <w:rPr>
          <w:lang w:val="en-US"/>
        </w:rPr>
        <w:t>, and GEMINI I for vedolizumab</w:t>
      </w:r>
      <w:bookmarkStart w:id="5" w:name="Mendeley_Bookmark_voPMwljupg"/>
      <w:r w:rsidRPr="00B3679F">
        <w:rPr>
          <w:lang w:val="en-US"/>
        </w:rPr>
        <w:t>[5]</w:t>
      </w:r>
      <w:bookmarkEnd w:id="5"/>
      <w:r w:rsidRPr="00B3679F">
        <w:rPr>
          <w:lang w:val="en-US"/>
        </w:rPr>
        <w:t xml:space="preserve"> allowed pretreated patients with other biologic drugs for moderate to severe UC. The included patients were adults, with a median age among 38.6 and 42.4 years. The duration of disease in the patients was from 6.2 to 8.5 years.</w:t>
      </w:r>
    </w:p>
    <w:p w:rsidR="004D3DBD" w:rsidRPr="00B3679F" w:rsidRDefault="004D3DBD" w:rsidP="004D3DBD">
      <w:pPr>
        <w:jc w:val="both"/>
        <w:rPr>
          <w:lang w:val="en-US"/>
        </w:rPr>
      </w:pPr>
      <w:r w:rsidRPr="00B3679F">
        <w:rPr>
          <w:lang w:val="en-US"/>
        </w:rPr>
        <w:t>A fixed model was selected for the assessment of clinical remission at week 52-54. Network meta-analysis results show no statistically significant differences between adalimumab (RR: 0.87; 0.42 to 1.8; CI 95%), golimumab (RR: 0.71; 0.39 to 1.3; CI 95%) and vedolizumab (RR: 1.6; 0.85 to 3.1) versus infliximab. In contrast, statistically significant differences were shown by the comparison of placebo versus infliximab (RR: 0.47; 0.28 a 0.73; CI 95%). Figure S1.</w:t>
      </w:r>
    </w:p>
    <w:p w:rsidR="004D3DBD" w:rsidRPr="00B3679F" w:rsidRDefault="004D3DBD" w:rsidP="004D3DBD">
      <w:pPr>
        <w:jc w:val="both"/>
        <w:rPr>
          <w:b/>
          <w:lang w:val="en-US"/>
        </w:rPr>
      </w:pPr>
      <w:r w:rsidRPr="00B3679F">
        <w:rPr>
          <w:b/>
          <w:lang w:val="en-US"/>
        </w:rPr>
        <w:t>Figure S1. Clinical remission at 52- 54 weeks fixed effects model</w:t>
      </w:r>
    </w:p>
    <w:p w:rsidR="004D3DBD" w:rsidRPr="00B3679F" w:rsidRDefault="004D3DBD" w:rsidP="004D3DBD">
      <w:pPr>
        <w:rPr>
          <w:noProof/>
          <w:lang w:val="en-US" w:eastAsia="es-ES"/>
        </w:rPr>
      </w:pPr>
      <w:r w:rsidRPr="00B3679F">
        <w:rPr>
          <w:noProof/>
          <w:lang w:val="en-GB" w:eastAsia="en-GB"/>
        </w:rPr>
        <w:drawing>
          <wp:inline distT="0" distB="0" distL="0" distR="0">
            <wp:extent cx="5111496" cy="1608836"/>
            <wp:effectExtent l="0" t="0" r="0" b="0"/>
            <wp:docPr id="3" name="Picture 3" title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title="Image"/>
                    <pic:cNvPicPr preferRelativeResize="0"/>
                  </pic:nvPicPr>
                  <pic:blipFill rotWithShape="1">
                    <a:blip r:embed="rId4" cstate="print"/>
                    <a:srcRect l="2492" t="10657" r="881" b="9016"/>
                    <a:stretch/>
                  </pic:blipFill>
                  <pic:spPr bwMode="auto">
                    <a:xfrm>
                      <a:off x="0" y="0"/>
                      <a:ext cx="511111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DBD" w:rsidRPr="00B3679F" w:rsidRDefault="004D3DBD" w:rsidP="004D3DBD">
      <w:pPr>
        <w:rPr>
          <w:noProof/>
          <w:lang w:val="en-US" w:eastAsia="es-ES"/>
        </w:rPr>
      </w:pPr>
    </w:p>
    <w:p w:rsidR="004D3DBD" w:rsidRPr="00B3679F" w:rsidRDefault="004D3DBD" w:rsidP="004D3DBD">
      <w:pPr>
        <w:rPr>
          <w:noProof/>
          <w:lang w:val="en-US" w:eastAsia="es-ES"/>
        </w:rPr>
      </w:pPr>
    </w:p>
    <w:p w:rsidR="004D3DBD" w:rsidRPr="00B3679F" w:rsidRDefault="004D3DBD" w:rsidP="004D3DBD">
      <w:pPr>
        <w:rPr>
          <w:noProof/>
          <w:lang w:val="en-US" w:eastAsia="es-ES"/>
        </w:rPr>
      </w:pPr>
      <w:r w:rsidRPr="00B3679F">
        <w:rPr>
          <w:noProof/>
          <w:lang w:val="en-US" w:eastAsia="es-ES"/>
        </w:rPr>
        <w:t xml:space="preserve"> </w:t>
      </w:r>
    </w:p>
    <w:p w:rsidR="004D3DBD" w:rsidRPr="00B3679F" w:rsidRDefault="004D3DBD" w:rsidP="004D3DBD">
      <w:pPr>
        <w:rPr>
          <w:b/>
          <w:lang w:val="en-US"/>
        </w:rPr>
      </w:pPr>
      <w:r w:rsidRPr="00B3679F">
        <w:rPr>
          <w:b/>
          <w:lang w:val="en-US"/>
        </w:rPr>
        <w:lastRenderedPageBreak/>
        <w:t>REFERENCES</w:t>
      </w:r>
    </w:p>
    <w:p w:rsidR="004D3DBD" w:rsidRPr="00B3679F" w:rsidRDefault="004D3DBD" w:rsidP="004D3DBD">
      <w:pPr>
        <w:rPr>
          <w:lang w:val="en-US"/>
        </w:rPr>
      </w:pPr>
      <w:bookmarkStart w:id="6" w:name="Mendeley_Bookmark_XBHm9waXC4"/>
      <w:r w:rsidRPr="00B3679F">
        <w:rPr>
          <w:lang w:val="en-US"/>
        </w:rPr>
        <w:t xml:space="preserve">1. </w:t>
      </w:r>
      <w:r w:rsidRPr="00B3679F">
        <w:rPr>
          <w:lang w:val="en-US"/>
        </w:rPr>
        <w:tab/>
        <w:t>Liberati, A., Altman, D.G., Tetzlaff, J., Mulrow, C., Gøtzsche, P.C., Ioannidis, J.P.A., Clarke, M., Devereaux, P.J., Kleijnen, J., Moher, D.: The PRISMA statement for reporting systematic reviews and meta-analyses of studies that evaluate health care interventions: explanation and elaboration. J. Clin. Epidemiol. 62, e1–e34. doi:10.1016/j.jclinepi.2009.06.006</w:t>
      </w:r>
    </w:p>
    <w:p w:rsidR="004D3DBD" w:rsidRPr="00B3679F" w:rsidRDefault="004D3DBD" w:rsidP="004D3DBD">
      <w:pPr>
        <w:rPr>
          <w:lang w:val="en-US"/>
        </w:rPr>
      </w:pPr>
      <w:r w:rsidRPr="00B3679F">
        <w:rPr>
          <w:lang w:val="en-US"/>
        </w:rPr>
        <w:t xml:space="preserve">2. </w:t>
      </w:r>
      <w:r w:rsidRPr="00B3679F">
        <w:rPr>
          <w:lang w:val="en-US"/>
        </w:rPr>
        <w:tab/>
        <w:t>Jansen, J.P., Trikalinos, T., Cappelleri, J.C., Daw, J., Andes, S., Eldessouki, R., Salanti, G.: Indirect Treatment Comparison/Network Meta-Analysis Study Questionnaire to Assess Relevance and Credibility to Inform Health Care Decision Making: An ISPOR-AMCP-NPC Good Practice Task Force Report. Value Heal. 17, 157–173 (2015). doi:10.1016/j.jval.2014.01.004</w:t>
      </w:r>
    </w:p>
    <w:p w:rsidR="004D3DBD" w:rsidRPr="00B3679F" w:rsidRDefault="004D3DBD" w:rsidP="004D3DBD">
      <w:pPr>
        <w:rPr>
          <w:lang w:val="en-US"/>
        </w:rPr>
      </w:pPr>
      <w:r w:rsidRPr="00B3679F">
        <w:rPr>
          <w:lang w:val="en-US"/>
        </w:rPr>
        <w:t xml:space="preserve">3. </w:t>
      </w:r>
      <w:r w:rsidRPr="00B3679F">
        <w:rPr>
          <w:lang w:val="en-US"/>
        </w:rPr>
        <w:tab/>
        <w:t>Brooks SP, G.A.: General methods for monitoring convergence of iterative simulations. ournal Comput. Graph. Stat. 7, 434–55 (1998)</w:t>
      </w:r>
    </w:p>
    <w:p w:rsidR="004D3DBD" w:rsidRPr="00B3679F" w:rsidRDefault="004D3DBD" w:rsidP="004D3DBD">
      <w:pPr>
        <w:rPr>
          <w:lang w:val="en-US"/>
        </w:rPr>
      </w:pPr>
      <w:r w:rsidRPr="00B3679F">
        <w:rPr>
          <w:lang w:val="en-US"/>
        </w:rPr>
        <w:t xml:space="preserve">4. </w:t>
      </w:r>
      <w:r w:rsidRPr="00B3679F">
        <w:rPr>
          <w:lang w:val="en-US"/>
        </w:rPr>
        <w:tab/>
        <w:t>Sandborn, W.J., van Assche, G., Reinisch, W., Colombel, J.-F.J.J.-F., D’Haens, G., Wolf, D.C., Kron, M., Tighe, M.B., Lazar, A., Thakkar, R.B.: Adalimumab induces and maintains clinical remission in patients with moderate-to-severe ulcerative colitis. Gastroenterology. 142, 253–257 (2012). doi:10.1053/j.gastro.2011.10.032</w:t>
      </w:r>
    </w:p>
    <w:p w:rsidR="004D3DBD" w:rsidRPr="00B3679F" w:rsidRDefault="004D3DBD" w:rsidP="004D3DBD">
      <w:pPr>
        <w:rPr>
          <w:lang w:val="en-US"/>
        </w:rPr>
      </w:pPr>
      <w:r w:rsidRPr="00B3679F">
        <w:rPr>
          <w:lang w:val="en-US"/>
        </w:rPr>
        <w:t xml:space="preserve">5. </w:t>
      </w:r>
      <w:r w:rsidRPr="00B3679F">
        <w:rPr>
          <w:lang w:val="en-US"/>
        </w:rPr>
        <w:tab/>
        <w:t>Feagan, B.G., Rutgeerts, P., Sands, B.E., Hanauer, S., Colombel, J.-F.J.-F.J.-F., Sandborn, W.J., Van Assche, G., Axler, J., Kim, H.-J., Danese, S., Fox, I., Milch, C., Sankoh, S., Wyant, T., Xu, J., Parikh, A., Rosario, M., Dirks, N.L., Gastonguay, M.R., Fasanmade,  a. a., Wyant, T., Parikh, A., Sandborn, W.J., Feagan, B.G., Reinisch, W., Fox, I., Rutgeerts, P., Sands, B.E., Hanauer, S., Colombel, J.-F.J.-F.J.-F., Sandborn, W.J., Van Assche, G., Axler, J., Kim, H.-J., Danese, S., Fox, I., Milch, C., Sankoh, S., Wyant, T., Xu, J., Parikh, A.: Vedolizumab as Induction and Maintenance Therapy for Ulcerative Colitis. N. Engl. J. Med. 369, 699–710 (2013). doi:10.1056/NEJMoa1215734</w:t>
      </w:r>
    </w:p>
    <w:bookmarkEnd w:id="6"/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b/>
          <w:lang w:val="en-US"/>
        </w:rPr>
      </w:pPr>
      <w:r w:rsidRPr="00B3679F">
        <w:rPr>
          <w:b/>
          <w:lang w:val="en-US"/>
        </w:rPr>
        <w:t>Treatment regimen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24"/>
        <w:gridCol w:w="2836"/>
      </w:tblGrid>
      <w:tr w:rsidR="004D3DBD" w:rsidRPr="00B3679F" w:rsidTr="003C52F8"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lastRenderedPageBreak/>
              <w:t>Drug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Induction regimen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Maintenance regimen</w:t>
            </w:r>
          </w:p>
        </w:tc>
      </w:tr>
      <w:tr w:rsidR="004D3DBD" w:rsidRPr="00B3679F" w:rsidTr="003C52F8"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Infliximab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5 mg/ Kg of body weight at weeks 0, 2 and 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5 mg/ Kg of body weight every 8 weeks</w:t>
            </w:r>
          </w:p>
        </w:tc>
      </w:tr>
      <w:tr w:rsidR="004D3DBD" w:rsidRPr="00B3679F" w:rsidTr="003C52F8"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Adalimumab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160 mg at week 0</w:t>
            </w:r>
          </w:p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80 mg at week 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40 mg every two weeks</w:t>
            </w:r>
          </w:p>
        </w:tc>
      </w:tr>
      <w:tr w:rsidR="004D3DBD" w:rsidRPr="00B3679F" w:rsidTr="003C52F8"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Golimumab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200 mg at week 0</w:t>
            </w:r>
          </w:p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100 mg at week 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50 mg every four weeks</w:t>
            </w:r>
            <w:r w:rsidRPr="00B3679F">
              <w:rPr>
                <w:vertAlign w:val="superscript"/>
                <w:lang w:val="en-US"/>
              </w:rPr>
              <w:t>1</w:t>
            </w:r>
            <w:r w:rsidRPr="00B3679F">
              <w:rPr>
                <w:lang w:val="en-US"/>
              </w:rPr>
              <w:t xml:space="preserve"> </w:t>
            </w:r>
          </w:p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100 mg every four weeks</w:t>
            </w:r>
            <w:r w:rsidRPr="00B3679F">
              <w:rPr>
                <w:vertAlign w:val="superscript"/>
                <w:lang w:val="en-US"/>
              </w:rPr>
              <w:t>2</w:t>
            </w:r>
          </w:p>
        </w:tc>
      </w:tr>
      <w:tr w:rsidR="004D3DBD" w:rsidRPr="00B3679F" w:rsidTr="003C52F8"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b/>
                <w:lang w:val="en-US"/>
              </w:rPr>
            </w:pPr>
            <w:r w:rsidRPr="00B3679F">
              <w:rPr>
                <w:b/>
                <w:lang w:val="en-US"/>
              </w:rPr>
              <w:t>Vedolizumab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300 mg at weeks 0, 2, 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lang w:val="en-US"/>
              </w:rPr>
            </w:pPr>
            <w:r w:rsidRPr="00B3679F">
              <w:rPr>
                <w:lang w:val="en-US"/>
              </w:rPr>
              <w:t>300 mg every 8 weeks</w:t>
            </w:r>
          </w:p>
        </w:tc>
      </w:tr>
      <w:tr w:rsidR="004D3DBD" w:rsidRPr="00B3679F" w:rsidTr="003C52F8">
        <w:tc>
          <w:tcPr>
            <w:tcW w:w="8644" w:type="dxa"/>
            <w:gridSpan w:val="3"/>
            <w:shd w:val="clear" w:color="auto" w:fill="auto"/>
            <w:vAlign w:val="center"/>
          </w:tcPr>
          <w:p w:rsidR="004D3DBD" w:rsidRPr="00B3679F" w:rsidRDefault="004D3DBD" w:rsidP="003C52F8">
            <w:pPr>
              <w:spacing w:after="0"/>
              <w:rPr>
                <w:sz w:val="16"/>
                <w:szCs w:val="16"/>
                <w:lang w:val="en-US"/>
              </w:rPr>
            </w:pPr>
            <w:r w:rsidRPr="00B3679F">
              <w:rPr>
                <w:vertAlign w:val="superscript"/>
                <w:lang w:val="en-US"/>
              </w:rPr>
              <w:t>1</w:t>
            </w:r>
            <w:r w:rsidRPr="00B3679F">
              <w:rPr>
                <w:sz w:val="16"/>
                <w:szCs w:val="16"/>
                <w:lang w:val="en-US"/>
              </w:rPr>
              <w:t xml:space="preserve">&lt;80 kg of body weight; </w:t>
            </w:r>
            <w:r w:rsidRPr="00B3679F">
              <w:rPr>
                <w:vertAlign w:val="superscript"/>
                <w:lang w:val="en-US"/>
              </w:rPr>
              <w:t>2</w:t>
            </w:r>
            <w:r w:rsidRPr="00B3679F">
              <w:rPr>
                <w:sz w:val="16"/>
                <w:szCs w:val="16"/>
                <w:lang w:val="en-US"/>
              </w:rPr>
              <w:t xml:space="preserve"> </w:t>
            </w:r>
            <w:r w:rsidRPr="00B3679F">
              <w:rPr>
                <w:rFonts w:cs="Calibri"/>
                <w:sz w:val="16"/>
                <w:szCs w:val="16"/>
                <w:lang w:val="en-US"/>
              </w:rPr>
              <w:t>≥</w:t>
            </w:r>
            <w:r w:rsidRPr="00B3679F">
              <w:rPr>
                <w:sz w:val="16"/>
                <w:szCs w:val="16"/>
                <w:lang w:val="en-US"/>
              </w:rPr>
              <w:t>80 kg of body weight</w:t>
            </w:r>
          </w:p>
        </w:tc>
      </w:tr>
    </w:tbl>
    <w:p w:rsidR="004D3DBD" w:rsidRPr="00B3679F" w:rsidRDefault="004D3DBD" w:rsidP="004D3DBD">
      <w:pPr>
        <w:rPr>
          <w:lang w:val="en-US"/>
        </w:rPr>
      </w:pPr>
    </w:p>
    <w:p w:rsidR="004D3DBD" w:rsidRPr="00B3679F" w:rsidRDefault="004D3DBD" w:rsidP="004D3DBD">
      <w:pPr>
        <w:rPr>
          <w:b/>
          <w:lang w:val="en-US"/>
        </w:rPr>
      </w:pPr>
      <w:r w:rsidRPr="00B3679F">
        <w:rPr>
          <w:lang w:val="en-US"/>
        </w:rPr>
        <w:br w:type="page"/>
      </w:r>
      <w:r w:rsidRPr="00B3679F">
        <w:rPr>
          <w:b/>
          <w:lang w:val="en-US"/>
        </w:rPr>
        <w:lastRenderedPageBreak/>
        <w:t>Univariant Sensitive Analysis</w:t>
      </w:r>
    </w:p>
    <w:tbl>
      <w:tblPr>
        <w:tblW w:w="94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50"/>
        <w:gridCol w:w="1260"/>
        <w:gridCol w:w="960"/>
        <w:gridCol w:w="1070"/>
        <w:gridCol w:w="1620"/>
      </w:tblGrid>
      <w:tr w:rsidR="004D3DBD" w:rsidRPr="00B3679F" w:rsidTr="003C52F8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28,097 €/QALY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25,239 €/QALY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88,135 €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2,114,617 €/QALY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38,809 €/QALY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35,964 €/QALY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97,807 €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1,767,106 €/QALY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49,520 €/QALY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99,301 €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9,069 €/QALY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107,478 €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1,419,595 €/QALY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60,232 €/QALY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99,301 €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19,795 €/QALY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117,149 €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1,072,084 €/QALY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70,943 €/QALY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99,301 €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30,520 €/QALY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126,820 €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Body weight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724,573 €/QALY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64,998 €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5.628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46,901 €/QALY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67,507 €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5.628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44,391 €/QALY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112,286 €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6.637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159,416 €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6.668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1,517,880 €/QALY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63,842 €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5.336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46,179 €/QALY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66,405 €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5.336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43,509 €/QALY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107,858 €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6.289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152,928 €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6.319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1,534,548 €/QALY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61,765 €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4.826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44,713 €/QALY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64,420 €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4.828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41,709 €/QALY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100,080 €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5.683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141,531 €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5.710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1,567,704 €/QALY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Discount rate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60,829 €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4.604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43,970 €/QALY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63,523 €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4.606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40,794 €/QALY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96,657 €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5.419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Discount rate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136,513 €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5.444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1,585,390 €/QALY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ICER 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62,858 €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45,485 €/QALY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65,468 €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42,651 €/QALY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103,919 €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5.988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147,105 €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6.016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1,551,207 €/QALY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62,842 €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45,479 €/QALY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65,452 €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42,645 €/QALY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103,899 €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5.985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147,084 €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6.013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1,551,181 €/QALY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62,515 €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5.028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45,370 €/QALY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65,129 €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5.029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42,532 €/QALY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103,487 €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5.931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146,657 €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5.959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1,551,214 €/QALY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62,038 €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4.948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45,217 €/QALY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64,656 €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4.950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42,372 €/QALY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102,885 €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5.852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Age at the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146,031 €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5.880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1,551,453 €/QALY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0.56683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49,651 €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4.833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47,498 €/QALY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0.56683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0.56683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0.56683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0.63768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55,681 €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4.940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46,591 €/QALY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0.63768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0.63768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0.63768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0.70853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0.70853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0.70853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0.70853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RR_response_ADALIMUMAB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0.77939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0.77939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70,540 €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5.217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44,039 €/QALY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0.77939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0.77939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0.85024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0.85024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78,487 €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5.373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42,240 €/QALY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0.85024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0.85024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0.55326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51,975 €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4.837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45,623 €/QALY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0.55326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0.55326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0.55326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0.62242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58,100 €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4.942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44,352 €/QALY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0.62242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0.62242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0.62242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0.69157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0.69157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0.69157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0.69157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73,493 €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5.219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40,221 €/QALY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81,950 €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5.378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36,764 €/QALY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RR_response_GOLIMUMAB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108,840 €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5.469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-10,010 €/QALY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128,879 €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5.745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-110,364 €/QALY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RR_response_VEDOLIZUMAB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161,890 €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6.214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240,785 €/QALY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RR_response_VEDOLIZUMAB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173,356 €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6.380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170,765 €/QALY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395.68599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55,863 €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53,096 €/QALY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395.68599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395.68599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395.68599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420.41637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57,589 €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51,185 €/QALY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420.41637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420.41637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420.41637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445.14674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59,315 €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49,273 €/QALY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445.14674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445.14674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445.14674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469.87712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61,041 €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47,361 €/QALY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469.87712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469.87712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469.87712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494.60749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494.60749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494.60749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ADALIMUMAB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494.60749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1719.2864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1719.2864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64,733 €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43,329 €/QALY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1719.2864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1719.2864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Acquisition cost_ GOLIMUMAB 100 MG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1826.7418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1826.7418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64,895 €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43,151 €/QALY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1826.7418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1826.7418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1934.1972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1934.1972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65,056 €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42,972 €/QALY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1934.1972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1934.1972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2041.6526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2041.6526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65,217 €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42,793 €/QALY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2041.6526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2041.6526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2149.108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2149.108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2149.108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100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2149.108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859.6432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58,594 €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50,139 €/QALY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859.6432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859.6432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859.6432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913.3709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60,290 €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48,258 €/QALY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913.3709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913.3709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913.3709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967.0986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61,986 €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46,377 €/QALY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967.0986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967.0986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967.0986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1020.8263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1020.8263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63,682 €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44,495 €/QALY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1020.8263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1020.8263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1074.554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1074.554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1074.554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GOLIMUMAB 50 MG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1074.554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lastRenderedPageBreak/>
              <w:t>VARIABLE 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4.46185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29,125 €/QALY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4.46185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26,268 €/QALY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4.46185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89,064 €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4.46185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2,081,255 €/QALY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4.74072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33,207 €/QALY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4.74072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30,355 €/QALY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4.74072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92,749 €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4.74072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1,948,854 €/QALY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37,288 €/QALY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34,441 €/QALY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96,433 €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1,816,452 €/QALY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5.29845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41,369 €/QALY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5.29845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38,528 €/QALY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5.29845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100,118 €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5.29845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1,684,051 €/QALY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5.57731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5.57731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5.57731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INFLIXIMAB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5.57731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2667.4336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2667.4336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2667.4336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2667.4336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123,858 €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720,637 €/QALY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2834.1482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2834.1482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2834.1482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2834.1482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129,640 €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928,390 €/QALY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3000.8628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3000.8628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3000.8628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3000.8628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135,422 €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1,136,143 €/QALY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3167.5774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3167.5774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3167.5774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3167.5774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141,203 €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1,343,896 €/QALY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Acquisition cost_ VEDOLIZUMAB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3334.292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3334.292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3334.292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VEDOLIZUMAB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3334.292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3.65872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17,372 €/QALY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3.65872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57,949 €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22,738 €/QALY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3.65872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78,452 €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3.65872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2,462,571 €/QALY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3.88739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20,718 €/QALY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3.88739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57,949 €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26,089 €/QALY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3.88739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81,473 €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3.88739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2,354,001 €/QALY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4.11606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24,065 €/QALY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4.11606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57,949 €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29,440 €/QALY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4.11606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84,495 €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4.11606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2,245,432 €/QALY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4.34473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27,411 €/QALY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4.34473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57,949 €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32,791 €/QALY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4.34473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87,516 €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4.34473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2,136,862 €/QALY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4.5734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30,758 €/QALY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4.5734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57,949 €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36,142 €/QALY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4.5734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90,538 €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Acquisition cost_ INFLECTRA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4.5734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2,028,293 €/QALY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5.056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45,175 €/QALY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5.057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42,348 €/QALY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5.965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5.993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45,312 €/QALY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42,481 €/QALY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5.969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5.997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SURGERY utility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5.076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45,588 €/QALY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42,749 €/QALY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45,728 €/QALY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42,885 €/QALY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5.980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6.008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5.059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45,169 €/QALY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42,336 €/QALY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5.967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5.995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45,309 €/QALY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42,475 €/QALY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5.998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45,592 €/QALY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42,756 €/QALY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6.003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45,734 €/QALY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5.082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42,897 €/QALY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utility_COMPLICATION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6.006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4.636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36,391 €/QALY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4.625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33,732 €/QALY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5.764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5.792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4.853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40,419 €/QALY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4.848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37,656 €/QALY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5.868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5.896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SURGERY utility_REMISSION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5.287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51,910 €/QALY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5.294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49,075 €/QALY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6.077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6.105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5.503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60,510 €/QALY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5.517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57,846 €/QALY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6.181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SURGERY utility_REMISSION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6.209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4.997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43,831 €/QALY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4.997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41,044 €/QALY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5.933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5.961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1,575,425 €/QALY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5.034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44,636 €/QALY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5.035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41,824 €/QALY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5.953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0.39025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5.981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1,562,881 €/QALY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45,470 €/QALY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42,635 €/QALY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0.43075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5.107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46,338 €/QALY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0.43075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5.109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43,478 €/QALY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0.43075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0.43075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6.021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1,538,382 €/QALY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5.144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47,238 €/QALY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5.147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44,355 €/QALY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6.013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ACTIVE DISEASE_utility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6.041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1,526,959 €/QALY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lastRenderedPageBreak/>
              <w:t>VARIABLE 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4.943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58,930 €/QALY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4.934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54,433 €/QALY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5.640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5.670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1,447,616 €/QALY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5.007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51,319 €/QALY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5.002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47,804 €/QALY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5.806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5.835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1,497,828 €/QALY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5.133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40,785 €/QALY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5.140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38,442 €/QALY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6.139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6.166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1,608,283 €/QALY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5.196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36,989 €/QALY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5.208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35,013 €/QALY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6.305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REMISSION_utility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6.331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1,670,499 €/QALY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4.993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46,267 €/QALY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44,337 €/QALY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5.880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5.907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1,604,697 €/QALY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5.032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45,855 €/QALY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5.042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43,459 €/QALY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5.926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5.954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1,577,727 €/QALY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5.108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45,052 €/QALY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5.100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41,803 €/QALY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6.019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6.047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1,525,879 €/QALY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RESPONSE_utility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5.146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44,661 €/QALY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5.128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41,022 €/QALY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6.065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RESPONSE_utility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6.094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1,501,474 €/QALY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63,208 €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4.958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42,396 €/QALY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65,845 €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4.956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39,569 €/QALY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103,919 €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5.918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147,102 €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5.946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0.17329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62,977 €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43,958 €/QALY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0.17329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65,600 €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5.016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41,124 €/QALY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0.17329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103,859 €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5.947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0.17329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147,041 €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5.975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0.19258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0.19258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0.19258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0.19258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0.21187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62,578 €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5.117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46,853 €/QALY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0.21187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65,179 €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5.119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44,021 €/QALY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0.21187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103,752 €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0.21187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146,934 €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6.024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0.23116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62,407 €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5.159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48,174 €/QALY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0.23116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64,998 €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5.163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45,349 €/QALY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0.23116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103,705 €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6.016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p_surgery_short-term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0.23116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146,888 €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6.044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45,424 €/QALY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65,380 €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42,589 €/QALY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45,435 €/QALY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42,600 €/QALY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</w:tbl>
    <w:p w:rsidR="004D3DBD" w:rsidRPr="00B3679F" w:rsidRDefault="004D3DBD" w:rsidP="004D3DBD">
      <w:r w:rsidRPr="00B3679F">
        <w:br w:type="page"/>
      </w: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p_surgery_mid-term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62,766 €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42,622 €/QALY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45,468 €/QALY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42,634 €/QALY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p_surgery_mid-term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45,448 €/QALY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p_surgery_long-term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146,986 €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62,242 €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45,859 €/QALY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64,838 €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43,041 €/QALY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103,549 €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146,732 €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6.002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62,504 €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45,654 €/QALY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65,108 €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42,827 €/QALY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103,676 €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146,858 €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</w:tbl>
    <w:p w:rsidR="004D3DBD" w:rsidRPr="00B3679F" w:rsidRDefault="004D3DBD" w:rsidP="004D3DBD"/>
    <w:p w:rsidR="004D3DBD" w:rsidRPr="00B3679F" w:rsidRDefault="004D3DBD" w:rsidP="004D3DBD"/>
    <w:p w:rsidR="004D3DBD" w:rsidRPr="00B3679F" w:rsidRDefault="004D3DBD" w:rsidP="004D3DBD"/>
    <w:p w:rsidR="004D3DBD" w:rsidRPr="00B3679F" w:rsidRDefault="004D3DBD" w:rsidP="004D3DBD"/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260"/>
        <w:gridCol w:w="960"/>
        <w:gridCol w:w="1060"/>
        <w:gridCol w:w="1620"/>
      </w:tblGrid>
      <w:tr w:rsidR="004D3DBD" w:rsidRPr="00B3679F" w:rsidTr="003C52F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lastRenderedPageBreak/>
              <w:t>p_COMPLICATIONS_surgery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62,765 €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146,984 €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63,024 €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45,250 €/QALY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65,643 €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42,407 €/QALY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103,927 €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147,109 €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63,282 €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45,051 €/QALY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65,908 €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5.067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42,200 €/QALY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104,051 €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p_COMPLICATIONS_surgery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147,233 €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VARIABLE 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 COST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>EFFICACY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b/>
                <w:bCs/>
                <w:color w:val="9C6500"/>
                <w:sz w:val="18"/>
                <w:szCs w:val="18"/>
                <w:lang w:eastAsia="es-ES"/>
              </w:rPr>
              <w:t xml:space="preserve">ICER </w:t>
            </w:r>
            <w:r w:rsidRPr="00B3679F">
              <w:rPr>
                <w:rFonts w:eastAsia="Times New Roman" w:cs="Calibri"/>
                <w:b/>
                <w:bCs/>
                <w:color w:val="9C6500"/>
                <w:sz w:val="17"/>
                <w:szCs w:val="17"/>
                <w:lang w:eastAsia="es-ES"/>
              </w:rPr>
              <w:t>(vs  BASE CASE)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0.33519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63,358 €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5.065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44,984 €/QALY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0.33519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65,988 €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5.066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42,129 €/QALY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0.33519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104,083 €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0.33519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147,265 €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5.998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1,551,649 €/QALY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63,033 €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5.068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45,240 €/QALY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65,652 €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5.069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42,397 €/QALY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103,929 €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5.972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0.37714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147,111 €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5.999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62,766 €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5.070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45,450 €/QALY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65,378 €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42,615 €/QALY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103,802 €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146,985 €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6.000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0.46105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62,544 €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5.071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45,626 €/QALY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0.46105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65,148 €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42,798 €/QALY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0.46105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103,697 €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0.46105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146,879 €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6.001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62,355 €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5.073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45,774 €/QALY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GOLIMUMAB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  64,954 €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5.074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42,953 €/QALY</w:t>
            </w:r>
          </w:p>
        </w:tc>
      </w:tr>
      <w:tr w:rsidR="004D3DBD" w:rsidRPr="00B3679F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INFLIXIMAB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103,607 €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5.974 QALY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4D3DBD" w:rsidRPr="0064542D" w:rsidTr="003C52F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p_SUCCESS_surgery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VEDOLIZUMAB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 146,789 €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BD" w:rsidRPr="00B3679F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6.002 QALY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BD" w:rsidRPr="0064542D" w:rsidRDefault="004D3DBD" w:rsidP="003C52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3679F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1,551,092 €/QALY</w:t>
            </w:r>
          </w:p>
        </w:tc>
      </w:tr>
    </w:tbl>
    <w:p w:rsidR="004D3DBD" w:rsidRPr="00DA4563" w:rsidRDefault="004D3DBD" w:rsidP="004D3DBD">
      <w:pPr>
        <w:rPr>
          <w:lang w:val="en-US"/>
        </w:rPr>
      </w:pPr>
    </w:p>
    <w:p w:rsidR="00763949" w:rsidRDefault="00B3679F"/>
    <w:sectPr w:rsidR="0076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D"/>
    <w:rsid w:val="003F6DB6"/>
    <w:rsid w:val="004D3DBD"/>
    <w:rsid w:val="00A97145"/>
    <w:rsid w:val="00B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EDAE"/>
  <w15:chartTrackingRefBased/>
  <w15:docId w15:val="{42FCE1A8-9A37-469B-B145-57C353D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3D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B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4D3DB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D3DBD"/>
    <w:rPr>
      <w:color w:val="954F72"/>
      <w:u w:val="single"/>
    </w:rPr>
  </w:style>
  <w:style w:type="paragraph" w:customStyle="1" w:styleId="msonormal0">
    <w:name w:val="msonormal"/>
    <w:basedOn w:val="Normal"/>
    <w:rsid w:val="004D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4D3DB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4D3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6500"/>
      <w:sz w:val="18"/>
      <w:szCs w:val="18"/>
      <w:lang w:eastAsia="es-ES"/>
    </w:rPr>
  </w:style>
  <w:style w:type="paragraph" w:customStyle="1" w:styleId="xl67">
    <w:name w:val="xl67"/>
    <w:basedOn w:val="Normal"/>
    <w:rsid w:val="004D3DBD"/>
    <w:pPr>
      <w:pBdr>
        <w:top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6500"/>
      <w:sz w:val="18"/>
      <w:szCs w:val="18"/>
      <w:lang w:eastAsia="es-ES"/>
    </w:rPr>
  </w:style>
  <w:style w:type="paragraph" w:customStyle="1" w:styleId="xl68">
    <w:name w:val="xl68"/>
    <w:basedOn w:val="Normal"/>
    <w:rsid w:val="004D3DBD"/>
    <w:pPr>
      <w:pBdr>
        <w:top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6500"/>
      <w:sz w:val="18"/>
      <w:szCs w:val="18"/>
      <w:lang w:eastAsia="es-ES"/>
    </w:rPr>
  </w:style>
  <w:style w:type="paragraph" w:customStyle="1" w:styleId="xl69">
    <w:name w:val="xl69"/>
    <w:basedOn w:val="Normal"/>
    <w:rsid w:val="004D3DBD"/>
    <w:pPr>
      <w:pBdr>
        <w:top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6500"/>
      <w:sz w:val="18"/>
      <w:szCs w:val="18"/>
      <w:lang w:eastAsia="es-ES"/>
    </w:rPr>
  </w:style>
  <w:style w:type="paragraph" w:customStyle="1" w:styleId="xl70">
    <w:name w:val="xl70"/>
    <w:basedOn w:val="Normal"/>
    <w:rsid w:val="004D3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6500"/>
      <w:sz w:val="18"/>
      <w:szCs w:val="18"/>
      <w:lang w:eastAsia="es-ES"/>
    </w:rPr>
  </w:style>
  <w:style w:type="paragraph" w:customStyle="1" w:styleId="xl71">
    <w:name w:val="xl71"/>
    <w:basedOn w:val="Normal"/>
    <w:rsid w:val="004D3DB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4D3DB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4D3DB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4D3DB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4D3D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4D3DB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4D3D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4D3DB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4D3DB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4D3DB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4D3D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4D3D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4D3D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4D3DB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4D3D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4D3D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4D3D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4D3D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4D3D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Nagda, Priti</cp:lastModifiedBy>
  <cp:revision>2</cp:revision>
  <dcterms:created xsi:type="dcterms:W3CDTF">2017-11-27T21:20:00Z</dcterms:created>
  <dcterms:modified xsi:type="dcterms:W3CDTF">2017-11-27T21:20:00Z</dcterms:modified>
</cp:coreProperties>
</file>