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B" w:rsidRDefault="00A96C4B" w:rsidP="00B35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BA" w:rsidRPr="00E904C9" w:rsidRDefault="00B35CBA" w:rsidP="00B35CBA">
      <w:pPr>
        <w:jc w:val="both"/>
        <w:rPr>
          <w:rFonts w:ascii="Times New Roman" w:hAnsi="Times New Roman" w:cs="Times New Roman"/>
          <w:sz w:val="20"/>
          <w:szCs w:val="20"/>
        </w:rPr>
      </w:pPr>
      <w:r w:rsidRPr="00E904C9">
        <w:rPr>
          <w:rFonts w:ascii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 wp14:anchorId="1913A400" wp14:editId="218755B4">
            <wp:extent cx="2257772" cy="21987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 imagin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41" cy="21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 wp14:anchorId="5FEFB072" wp14:editId="0950E3A4">
            <wp:extent cx="2220686" cy="1954925"/>
            <wp:effectExtent l="0" t="0" r="825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C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52" cy="195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2D" w:rsidRPr="008126D0" w:rsidRDefault="0033302D" w:rsidP="0033302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126D0">
        <w:rPr>
          <w:rFonts w:ascii="Times New Roman" w:hAnsi="Times New Roman" w:cs="Times New Roman"/>
          <w:b/>
          <w:sz w:val="18"/>
          <w:szCs w:val="18"/>
        </w:rPr>
        <w:t xml:space="preserve">Supplementary Figure </w:t>
      </w:r>
      <w:r w:rsidR="00FC3AF5">
        <w:rPr>
          <w:rFonts w:ascii="Times New Roman" w:hAnsi="Times New Roman" w:cs="Times New Roman"/>
          <w:b/>
          <w:sz w:val="18"/>
          <w:szCs w:val="18"/>
        </w:rPr>
        <w:t>1</w:t>
      </w:r>
      <w:r w:rsidRPr="008126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6D0">
        <w:rPr>
          <w:rFonts w:ascii="Times New Roman" w:hAnsi="Times New Roman" w:cs="Times New Roman"/>
          <w:sz w:val="18"/>
          <w:szCs w:val="18"/>
        </w:rPr>
        <w:t>[Left image] To visualise intracellular levels of calcium [Ca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8126D0">
        <w:rPr>
          <w:rFonts w:ascii="Times New Roman" w:hAnsi="Times New Roman" w:cs="Times New Roman"/>
          <w:sz w:val="18"/>
          <w:szCs w:val="18"/>
        </w:rPr>
        <w:t>]</w:t>
      </w:r>
      <w:r w:rsidRPr="006142A1">
        <w:rPr>
          <w:rFonts w:ascii="Times New Roman" w:hAnsi="Times New Roman" w:cs="Times New Roman"/>
          <w:sz w:val="18"/>
          <w:szCs w:val="18"/>
          <w:vertAlign w:val="subscript"/>
        </w:rPr>
        <w:t>i</w:t>
      </w:r>
      <w:r w:rsidRPr="008126D0">
        <w:rPr>
          <w:rFonts w:ascii="Times New Roman" w:hAnsi="Times New Roman" w:cs="Times New Roman"/>
          <w:sz w:val="18"/>
          <w:szCs w:val="18"/>
        </w:rPr>
        <w:t xml:space="preserve"> pre- and post- activation, the calcium indicator Fluo-3 AM was used.  Coelomic fluid from </w:t>
      </w:r>
      <w:r w:rsidRPr="008126D0">
        <w:rPr>
          <w:rFonts w:ascii="Times New Roman" w:hAnsi="Times New Roman" w:cs="Times New Roman"/>
          <w:i/>
          <w:sz w:val="18"/>
          <w:szCs w:val="18"/>
        </w:rPr>
        <w:t xml:space="preserve">Psammechinus miliaris </w:t>
      </w:r>
      <w:r w:rsidRPr="008126D0">
        <w:rPr>
          <w:rFonts w:ascii="Times New Roman" w:hAnsi="Times New Roman" w:cs="Times New Roman"/>
          <w:sz w:val="18"/>
          <w:szCs w:val="18"/>
        </w:rPr>
        <w:t>was extracted into an equal volume of anti-coagulant (20mM Tris-HCl, 0.5M NaCl, 70mM EDTA, pH 7.5) and incubated with 5 μM Fluo-3 AM and 0.1% Pluronic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TM</w:t>
      </w:r>
      <w:r w:rsidRPr="008126D0">
        <w:rPr>
          <w:rFonts w:ascii="Times New Roman" w:hAnsi="Times New Roman" w:cs="Times New Roman"/>
          <w:sz w:val="18"/>
          <w:szCs w:val="18"/>
        </w:rPr>
        <w:t xml:space="preserve"> F68 for 30 min at 4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8126D0">
        <w:rPr>
          <w:rFonts w:ascii="Times New Roman" w:hAnsi="Times New Roman" w:cs="Times New Roman"/>
          <w:sz w:val="18"/>
          <w:szCs w:val="18"/>
        </w:rPr>
        <w:t xml:space="preserve">C, followed by centrifugation at 170 x </w:t>
      </w:r>
      <w:r w:rsidRPr="008126D0">
        <w:rPr>
          <w:rFonts w:ascii="Times New Roman" w:hAnsi="Times New Roman" w:cs="Times New Roman"/>
          <w:i/>
          <w:sz w:val="18"/>
          <w:szCs w:val="18"/>
        </w:rPr>
        <w:t>g</w:t>
      </w:r>
      <w:r w:rsidRPr="008126D0">
        <w:rPr>
          <w:rFonts w:ascii="Times New Roman" w:hAnsi="Times New Roman" w:cs="Times New Roman"/>
          <w:sz w:val="18"/>
          <w:szCs w:val="18"/>
        </w:rPr>
        <w:t xml:space="preserve"> for 5 min and re-suspended in ACF to a final cell number of 1x 10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8126D0">
        <w:rPr>
          <w:rFonts w:ascii="Times New Roman" w:hAnsi="Times New Roman" w:cs="Times New Roman"/>
          <w:sz w:val="18"/>
          <w:szCs w:val="18"/>
        </w:rPr>
        <w:t xml:space="preserve"> mL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-1</w:t>
      </w:r>
      <w:r w:rsidRPr="008126D0">
        <w:rPr>
          <w:rFonts w:ascii="Times New Roman" w:hAnsi="Times New Roman" w:cs="Times New Roman"/>
          <w:sz w:val="18"/>
          <w:szCs w:val="18"/>
        </w:rPr>
        <w:t>. The non-ionic detergent, Pluronic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TM</w:t>
      </w:r>
      <w:r w:rsidRPr="008126D0">
        <w:rPr>
          <w:rFonts w:ascii="Times New Roman" w:hAnsi="Times New Roman" w:cs="Times New Roman"/>
          <w:sz w:val="18"/>
          <w:szCs w:val="18"/>
        </w:rPr>
        <w:t xml:space="preserve"> F68, facilitates dispersion of AM esters in the medium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[1]</w:t>
      </w:r>
      <w:r w:rsidRPr="008126D0">
        <w:rPr>
          <w:rFonts w:ascii="Times New Roman" w:hAnsi="Times New Roman" w:cs="Times New Roman"/>
          <w:sz w:val="18"/>
          <w:szCs w:val="18"/>
        </w:rPr>
        <w:t>, and, incubating the coelomocytes at 4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 w:rsidRPr="008126D0">
        <w:rPr>
          <w:rFonts w:ascii="Times New Roman" w:hAnsi="Times New Roman" w:cs="Times New Roman"/>
          <w:sz w:val="18"/>
          <w:szCs w:val="18"/>
        </w:rPr>
        <w:t xml:space="preserve">C helps to prevent non-specific labelling of intracellular organelles. Labelled coelomocytes (200 μL) were placed into chambers of an Ibidi µ-slide and allowed to settle for 20 min at room temperature. Ionomycin (10 μM) was perfused into the chamber and calcium was visualised </w:t>
      </w:r>
      <w:r>
        <w:rPr>
          <w:rFonts w:ascii="Times New Roman" w:hAnsi="Times New Roman" w:cs="Times New Roman"/>
          <w:sz w:val="18"/>
          <w:szCs w:val="18"/>
        </w:rPr>
        <w:t>as</w:t>
      </w:r>
      <w:r w:rsidRPr="008126D0">
        <w:rPr>
          <w:rFonts w:ascii="Times New Roman" w:hAnsi="Times New Roman" w:cs="Times New Roman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n increased</w:t>
      </w:r>
      <w:r w:rsidRPr="008126D0">
        <w:rPr>
          <w:rFonts w:ascii="Times New Roman" w:hAnsi="Times New Roman" w:cs="Times New Roman"/>
          <w:sz w:val="18"/>
          <w:szCs w:val="18"/>
        </w:rPr>
        <w:t xml:space="preserve"> green fluorescence signal </w:t>
      </w:r>
      <w:r>
        <w:rPr>
          <w:rFonts w:ascii="Times New Roman" w:hAnsi="Times New Roman" w:cs="Times New Roman"/>
          <w:sz w:val="18"/>
          <w:szCs w:val="18"/>
        </w:rPr>
        <w:t>that results from it</w:t>
      </w:r>
      <w:r w:rsidRPr="008126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binding</w:t>
      </w:r>
      <w:r w:rsidRPr="008126D0">
        <w:rPr>
          <w:rFonts w:ascii="Times New Roman" w:hAnsi="Times New Roman" w:cs="Times New Roman"/>
          <w:sz w:val="18"/>
          <w:szCs w:val="18"/>
        </w:rPr>
        <w:t xml:space="preserve"> to Fluo-3.  [Right image] </w:t>
      </w:r>
      <w:r w:rsidRPr="008126D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Living coelomocytes removed from PBS-injected </w:t>
      </w:r>
      <w:r w:rsidRPr="008126D0">
        <w:rPr>
          <w:rFonts w:ascii="Times New Roman" w:hAnsi="Times New Roman" w:cs="Times New Roman"/>
          <w:bCs/>
          <w:i/>
          <w:color w:val="000000"/>
          <w:sz w:val="18"/>
          <w:szCs w:val="18"/>
        </w:rPr>
        <w:t>Paracentrotus lividus</w:t>
      </w:r>
      <w:r w:rsidRPr="008126D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An intact red spherule cell can be seen alongside a small phagocyte. Scale bar represents </w:t>
      </w:r>
      <w:r w:rsidR="000E4441">
        <w:rPr>
          <w:rFonts w:ascii="Times New Roman" w:hAnsi="Times New Roman" w:cs="Times New Roman"/>
          <w:bCs/>
          <w:color w:val="000000"/>
          <w:sz w:val="18"/>
          <w:szCs w:val="18"/>
        </w:rPr>
        <w:t>1</w:t>
      </w:r>
      <w:r w:rsidR="00613DD6">
        <w:rPr>
          <w:rFonts w:ascii="Times New Roman" w:hAnsi="Times New Roman" w:cs="Times New Roman"/>
          <w:bCs/>
          <w:color w:val="000000"/>
          <w:sz w:val="18"/>
          <w:szCs w:val="18"/>
        </w:rPr>
        <w:t>0</w:t>
      </w:r>
      <w:r w:rsidRPr="008126D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126D0">
        <w:rPr>
          <w:rFonts w:ascii="Times New Roman" w:hAnsi="Times New Roman" w:cs="Times New Roman"/>
          <w:bCs/>
          <w:color w:val="000000"/>
          <w:sz w:val="18"/>
          <w:szCs w:val="18"/>
          <w:lang w:val="el-GR"/>
        </w:rPr>
        <w:t>μ</w:t>
      </w:r>
      <w:r w:rsidRPr="008126D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m. As the cell flattens the individual granules become more distinct. </w:t>
      </w:r>
    </w:p>
    <w:p w:rsidR="00B35CBA" w:rsidRDefault="0033302D" w:rsidP="0033302D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FF779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B35CBA" w:rsidRPr="00FF779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[1] </w:t>
      </w:r>
      <w:r w:rsidR="00B35CBA" w:rsidRPr="00FF779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Masiera, N., Buczyńska, J., Orzanowska, G., Piwoński, H. and Waluk, J. (2014). Enhancing fluorescence by using pluronic block copolymers as carriers of monomeric porphycenes. </w:t>
      </w:r>
      <w:r w:rsidR="00B35CBA" w:rsidRPr="00FF779B"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  <w:t>Methods and Applications in Fluorescence</w:t>
      </w:r>
      <w:r w:rsidR="00B35CBA" w:rsidRPr="00FF779B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, </w:t>
      </w:r>
      <w:r w:rsidR="00B35CBA" w:rsidRPr="00FF779B">
        <w:rPr>
          <w:rFonts w:ascii="Times New Roman" w:eastAsia="Times New Roman" w:hAnsi="Times New Roman" w:cs="Times New Roman"/>
          <w:i/>
          <w:iCs/>
          <w:sz w:val="16"/>
          <w:szCs w:val="16"/>
          <w:lang w:eastAsia="en-GB"/>
        </w:rPr>
        <w:t>2</w:t>
      </w:r>
      <w:r w:rsidR="00B35CBA" w:rsidRPr="00FF779B">
        <w:rPr>
          <w:rFonts w:ascii="Times New Roman" w:eastAsia="Times New Roman" w:hAnsi="Times New Roman" w:cs="Times New Roman"/>
          <w:sz w:val="16"/>
          <w:szCs w:val="16"/>
          <w:lang w:eastAsia="en-GB"/>
        </w:rPr>
        <w:t>(2), 024003.</w:t>
      </w:r>
    </w:p>
    <w:p w:rsidR="00FC3AF5" w:rsidRDefault="00FC3AF5" w:rsidP="0033302D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FC3AF5" w:rsidRPr="00E904C9" w:rsidRDefault="007B5046" w:rsidP="00FC3A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>
            <wp:extent cx="4909899" cy="2719449"/>
            <wp:effectExtent l="0" t="0" r="0" b="0"/>
            <wp:docPr id="2" name="Picture 2" descr="F:\Sea Urchin Immunity\sUPP 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a Urchin Immunity\sUPP fIG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20" cy="27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F5" w:rsidRPr="00FC3AF5" w:rsidRDefault="00FC3AF5" w:rsidP="00FC3AF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126D0">
        <w:rPr>
          <w:rFonts w:ascii="Times New Roman" w:hAnsi="Times New Roman" w:cs="Times New Roman"/>
          <w:b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8126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6D0">
        <w:rPr>
          <w:rFonts w:ascii="Times New Roman" w:hAnsi="Times New Roman" w:cs="Times New Roman"/>
          <w:sz w:val="18"/>
          <w:szCs w:val="18"/>
        </w:rPr>
        <w:t xml:space="preserve">Degranulation response of red spherule cells from </w:t>
      </w:r>
      <w:r w:rsidRPr="008126D0">
        <w:rPr>
          <w:rFonts w:ascii="Times New Roman" w:hAnsi="Times New Roman" w:cs="Times New Roman"/>
          <w:i/>
          <w:sz w:val="18"/>
          <w:szCs w:val="18"/>
        </w:rPr>
        <w:t>Psammechinus miliaris</w:t>
      </w:r>
      <w:r w:rsidRPr="008126D0">
        <w:rPr>
          <w:rFonts w:ascii="Times New Roman" w:hAnsi="Times New Roman" w:cs="Times New Roman"/>
          <w:sz w:val="18"/>
          <w:szCs w:val="18"/>
        </w:rPr>
        <w:t xml:space="preserve"> (</w:t>
      </w:r>
      <w:r w:rsidRPr="008126D0">
        <w:rPr>
          <w:rFonts w:ascii="Times New Roman" w:hAnsi="Times New Roman" w:cs="Times New Roman"/>
          <w:i/>
          <w:sz w:val="18"/>
          <w:szCs w:val="18"/>
        </w:rPr>
        <w:t>n = 3</w:t>
      </w:r>
      <w:r w:rsidRPr="008126D0">
        <w:rPr>
          <w:rFonts w:ascii="Times New Roman" w:hAnsi="Times New Roman" w:cs="Times New Roman"/>
          <w:sz w:val="18"/>
          <w:szCs w:val="18"/>
        </w:rPr>
        <w:t>) following treatment with microbial ligands (25 µ</w:t>
      </w:r>
      <w:r w:rsidR="00924706">
        <w:rPr>
          <w:rFonts w:ascii="Times New Roman" w:hAnsi="Times New Roman" w:cs="Times New Roman"/>
          <w:sz w:val="18"/>
          <w:szCs w:val="18"/>
        </w:rPr>
        <w:t>M</w:t>
      </w:r>
      <w:r w:rsidRPr="008126D0">
        <w:rPr>
          <w:rFonts w:ascii="Times New Roman" w:hAnsi="Times New Roman" w:cs="Times New Roman"/>
          <w:sz w:val="18"/>
          <w:szCs w:val="18"/>
        </w:rPr>
        <w:t>) and ionomycin (10 µM)</w:t>
      </w:r>
      <w:r w:rsidRPr="008126D0">
        <w:rPr>
          <w:rFonts w:ascii="Times New Roman" w:hAnsi="Times New Roman" w:cs="Times New Roman"/>
          <w:i/>
          <w:sz w:val="18"/>
          <w:szCs w:val="18"/>
        </w:rPr>
        <w:t xml:space="preserve"> in vitro </w:t>
      </w:r>
      <w:r w:rsidRPr="008126D0">
        <w:rPr>
          <w:rFonts w:ascii="Times New Roman" w:hAnsi="Times New Roman" w:cs="Times New Roman"/>
          <w:sz w:val="18"/>
          <w:szCs w:val="18"/>
        </w:rPr>
        <w:t>under different calcium regimes. Following removal and enumeration of coelomocytes (see methods) samples were re-suspended in regular artificial coelomic fluid (ACF) containing 10 mM Ca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8126D0">
        <w:rPr>
          <w:rFonts w:ascii="Times New Roman" w:hAnsi="Times New Roman" w:cs="Times New Roman"/>
          <w:sz w:val="18"/>
          <w:szCs w:val="18"/>
        </w:rPr>
        <w:t>, ACR without Ca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8126D0">
        <w:rPr>
          <w:rFonts w:ascii="Times New Roman" w:hAnsi="Times New Roman" w:cs="Times New Roman"/>
          <w:sz w:val="18"/>
          <w:szCs w:val="18"/>
        </w:rPr>
        <w:t xml:space="preserve"> added (i.e. nominal) and ACF with 5 mM E</w:t>
      </w:r>
      <w:r w:rsidR="007B5046">
        <w:rPr>
          <w:rFonts w:ascii="Times New Roman" w:hAnsi="Times New Roman" w:cs="Times New Roman"/>
          <w:sz w:val="18"/>
          <w:szCs w:val="18"/>
        </w:rPr>
        <w:t>G</w:t>
      </w:r>
      <w:r w:rsidRPr="008126D0">
        <w:rPr>
          <w:rFonts w:ascii="Times New Roman" w:hAnsi="Times New Roman" w:cs="Times New Roman"/>
          <w:sz w:val="18"/>
          <w:szCs w:val="18"/>
        </w:rPr>
        <w:t>TA and no Ca</w:t>
      </w:r>
      <w:r w:rsidRPr="008126D0">
        <w:rPr>
          <w:rFonts w:ascii="Times New Roman" w:hAnsi="Times New Roman" w:cs="Times New Roman"/>
          <w:sz w:val="18"/>
          <w:szCs w:val="18"/>
          <w:vertAlign w:val="superscript"/>
        </w:rPr>
        <w:t>2+</w:t>
      </w:r>
      <w:r w:rsidRPr="008126D0">
        <w:rPr>
          <w:rFonts w:ascii="Times New Roman" w:hAnsi="Times New Roman" w:cs="Times New Roman"/>
          <w:sz w:val="18"/>
          <w:szCs w:val="18"/>
        </w:rPr>
        <w:t>. Data are expressed as mean values + 95% CI. Unshared letters and an asterisk (control vs. ionomycin) indicate sign</w:t>
      </w:r>
      <w:r>
        <w:rPr>
          <w:rFonts w:ascii="Times New Roman" w:hAnsi="Times New Roman" w:cs="Times New Roman"/>
          <w:sz w:val="18"/>
          <w:szCs w:val="18"/>
        </w:rPr>
        <w:t>ificant differences (p &lt; 0.05).</w:t>
      </w:r>
    </w:p>
    <w:p w:rsidR="008126D0" w:rsidRPr="008126D0" w:rsidRDefault="008126D0" w:rsidP="008126D0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6C4B" w:rsidRPr="00E904C9" w:rsidRDefault="00A96C4B" w:rsidP="00A96C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 wp14:anchorId="3851531C" wp14:editId="22EE272D">
            <wp:extent cx="4794066" cy="3054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chart_RSC antimicrobial activity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9" b="2475"/>
                    <a:stretch/>
                  </pic:blipFill>
                  <pic:spPr bwMode="auto">
                    <a:xfrm>
                      <a:off x="0" y="0"/>
                      <a:ext cx="4793340" cy="305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C4B" w:rsidRPr="008126D0" w:rsidRDefault="00A96C4B" w:rsidP="00A96C4B">
      <w:pPr>
        <w:jc w:val="both"/>
        <w:rPr>
          <w:rFonts w:ascii="Times New Roman" w:hAnsi="Times New Roman" w:cs="Times New Roman"/>
          <w:sz w:val="18"/>
          <w:szCs w:val="18"/>
        </w:rPr>
      </w:pPr>
      <w:r w:rsidRPr="008126D0">
        <w:rPr>
          <w:rFonts w:ascii="Times New Roman" w:hAnsi="Times New Roman" w:cs="Times New Roman"/>
          <w:b/>
          <w:sz w:val="18"/>
          <w:szCs w:val="18"/>
        </w:rPr>
        <w:t xml:space="preserve">Supplementary Figure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8126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6D0">
        <w:rPr>
          <w:rFonts w:ascii="Times New Roman" w:hAnsi="Times New Roman" w:cs="Times New Roman"/>
          <w:sz w:val="18"/>
          <w:szCs w:val="18"/>
        </w:rPr>
        <w:t xml:space="preserve">Antimicrobial activities of red spherule cell lysates in the presence/absence of ferric iron (Fe3+). Data from the main text (Figure 6) is expanded to include values where RSC lysate and </w:t>
      </w:r>
      <w:r>
        <w:rPr>
          <w:rFonts w:ascii="Times New Roman" w:hAnsi="Times New Roman" w:cs="Times New Roman"/>
          <w:sz w:val="18"/>
          <w:szCs w:val="18"/>
        </w:rPr>
        <w:t>ferric ammonium citrate (</w:t>
      </w:r>
      <w:r w:rsidR="00924706">
        <w:rPr>
          <w:rFonts w:ascii="Times New Roman" w:hAnsi="Times New Roman" w:cs="Times New Roman"/>
          <w:sz w:val="18"/>
          <w:szCs w:val="18"/>
        </w:rPr>
        <w:t>0.05% w/v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8126D0">
        <w:rPr>
          <w:rFonts w:ascii="Times New Roman" w:hAnsi="Times New Roman" w:cs="Times New Roman"/>
          <w:sz w:val="18"/>
          <w:szCs w:val="18"/>
        </w:rPr>
        <w:t xml:space="preserve"> are exposed to microbes prior to plating on agar</w:t>
      </w:r>
      <w:r>
        <w:rPr>
          <w:rFonts w:ascii="Times New Roman" w:hAnsi="Times New Roman" w:cs="Times New Roman"/>
          <w:sz w:val="18"/>
          <w:szCs w:val="18"/>
        </w:rPr>
        <w:t xml:space="preserve"> (orange bars)</w:t>
      </w:r>
      <w:r w:rsidRPr="008126D0">
        <w:rPr>
          <w:rFonts w:ascii="Times New Roman" w:hAnsi="Times New Roman" w:cs="Times New Roman"/>
          <w:sz w:val="18"/>
          <w:szCs w:val="18"/>
        </w:rPr>
        <w:t>. In this instance, the presence of iron appeared to prevent/inhibit the putative antimicrobial properties of echinochrome. Bars represent mean values with 95% CI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8126D0">
        <w:rPr>
          <w:rFonts w:ascii="Times New Roman" w:hAnsi="Times New Roman" w:cs="Times New Roman"/>
          <w:i/>
          <w:sz w:val="18"/>
          <w:szCs w:val="18"/>
        </w:rPr>
        <w:t>n = 3</w:t>
      </w:r>
      <w:r w:rsidRPr="008126D0">
        <w:rPr>
          <w:rFonts w:ascii="Times New Roman" w:hAnsi="Times New Roman" w:cs="Times New Roman"/>
          <w:sz w:val="18"/>
          <w:szCs w:val="18"/>
        </w:rPr>
        <w:t xml:space="preserve">. An asterisk indicates a significant difference when compared to the control (p &lt; 0.05). </w:t>
      </w:r>
    </w:p>
    <w:p w:rsidR="0051318E" w:rsidRPr="00E904C9" w:rsidRDefault="0051318E" w:rsidP="00A558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BA" w:rsidRPr="00E904C9" w:rsidRDefault="00B35CBA" w:rsidP="00B35CBA">
      <w:pPr>
        <w:jc w:val="both"/>
        <w:rPr>
          <w:rFonts w:ascii="Times New Roman" w:hAnsi="Times New Roman" w:cs="Times New Roman"/>
          <w:sz w:val="20"/>
          <w:szCs w:val="20"/>
        </w:rPr>
      </w:pPr>
      <w:r w:rsidRPr="00E904C9">
        <w:rPr>
          <w:rFonts w:ascii="Times New Roman" w:hAnsi="Times New Roman" w:cs="Times New Roman"/>
          <w:noProof/>
          <w:sz w:val="20"/>
          <w:szCs w:val="20"/>
          <w:lang w:val="de-CH" w:eastAsia="de-CH"/>
        </w:rPr>
        <w:drawing>
          <wp:inline distT="0" distB="0" distL="0" distR="0" wp14:anchorId="23C48158" wp14:editId="44A2D054">
            <wp:extent cx="4032874" cy="2360968"/>
            <wp:effectExtent l="0" t="0" r="0" b="0"/>
            <wp:docPr id="13" name="Picture 13" descr="G:\Sea Urchin Immunity\Data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ea Urchin Immunity\Data 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32" cy="23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D0" w:rsidRDefault="00B35CBA" w:rsidP="00E273C0">
      <w:pPr>
        <w:jc w:val="both"/>
        <w:rPr>
          <w:rFonts w:ascii="Times New Roman" w:hAnsi="Times New Roman" w:cs="Times New Roman"/>
          <w:sz w:val="18"/>
          <w:szCs w:val="18"/>
        </w:rPr>
      </w:pPr>
      <w:r w:rsidRPr="008126D0">
        <w:rPr>
          <w:rFonts w:ascii="Times New Roman" w:hAnsi="Times New Roman" w:cs="Times New Roman"/>
          <w:b/>
          <w:sz w:val="18"/>
          <w:szCs w:val="18"/>
        </w:rPr>
        <w:t xml:space="preserve">Supplementary Figure </w:t>
      </w:r>
      <w:r w:rsidR="006217BA">
        <w:rPr>
          <w:rFonts w:ascii="Times New Roman" w:hAnsi="Times New Roman" w:cs="Times New Roman"/>
          <w:b/>
          <w:sz w:val="18"/>
          <w:szCs w:val="18"/>
        </w:rPr>
        <w:t>4</w:t>
      </w:r>
      <w:r w:rsidRPr="008126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126D0">
        <w:rPr>
          <w:rFonts w:ascii="Times New Roman" w:hAnsi="Times New Roman" w:cs="Times New Roman"/>
          <w:sz w:val="18"/>
          <w:szCs w:val="18"/>
        </w:rPr>
        <w:t xml:space="preserve">Echinochrome A assay. Absorbance of </w:t>
      </w:r>
      <w:r w:rsidRPr="00FC3A12">
        <w:rPr>
          <w:rFonts w:ascii="Times New Roman" w:hAnsi="Times New Roman" w:cs="Times New Roman"/>
          <w:i/>
          <w:sz w:val="18"/>
          <w:szCs w:val="18"/>
        </w:rPr>
        <w:t>Paracentrotus lividus</w:t>
      </w:r>
      <w:r w:rsidRPr="008126D0">
        <w:rPr>
          <w:rFonts w:ascii="Times New Roman" w:hAnsi="Times New Roman" w:cs="Times New Roman"/>
          <w:sz w:val="18"/>
          <w:szCs w:val="18"/>
        </w:rPr>
        <w:t xml:space="preserve"> coelomocyte samples (</w:t>
      </w:r>
      <w:r w:rsidRPr="00FC3A12">
        <w:rPr>
          <w:rFonts w:ascii="Times New Roman" w:hAnsi="Times New Roman" w:cs="Times New Roman"/>
          <w:i/>
          <w:sz w:val="18"/>
          <w:szCs w:val="18"/>
        </w:rPr>
        <w:t>n = 5</w:t>
      </w:r>
      <w:r w:rsidRPr="008126D0">
        <w:rPr>
          <w:rFonts w:ascii="Times New Roman" w:hAnsi="Times New Roman" w:cs="Times New Roman"/>
          <w:sz w:val="18"/>
          <w:szCs w:val="18"/>
        </w:rPr>
        <w:t>) following treatment</w:t>
      </w:r>
      <w:r w:rsidR="00924706">
        <w:rPr>
          <w:rFonts w:ascii="Times New Roman" w:hAnsi="Times New Roman" w:cs="Times New Roman"/>
          <w:sz w:val="18"/>
          <w:szCs w:val="18"/>
        </w:rPr>
        <w:t xml:space="preserve"> with microbial ligands (25 µM</w:t>
      </w:r>
      <w:r w:rsidRPr="008126D0">
        <w:rPr>
          <w:rFonts w:ascii="Times New Roman" w:hAnsi="Times New Roman" w:cs="Times New Roman"/>
          <w:sz w:val="18"/>
          <w:szCs w:val="18"/>
        </w:rPr>
        <w:t xml:space="preserve">) and ionomycin (2 µM) </w:t>
      </w:r>
      <w:r w:rsidRPr="00FC3A12">
        <w:rPr>
          <w:rFonts w:ascii="Times New Roman" w:hAnsi="Times New Roman" w:cs="Times New Roman"/>
          <w:i/>
          <w:sz w:val="18"/>
          <w:szCs w:val="18"/>
        </w:rPr>
        <w:t>in vitro</w:t>
      </w:r>
      <w:r w:rsidRPr="008126D0">
        <w:rPr>
          <w:rFonts w:ascii="Times New Roman" w:hAnsi="Times New Roman" w:cs="Times New Roman"/>
          <w:sz w:val="18"/>
          <w:szCs w:val="18"/>
        </w:rPr>
        <w:t>. These two wavelengths (346 and 480 nm) correspond to the peak absorbance values of echinochrome a (derived from red spherule cells). Data are expressed as mean values + 95% CI.</w:t>
      </w:r>
    </w:p>
    <w:p w:rsidR="00E273C0" w:rsidRPr="00E273C0" w:rsidRDefault="00E273C0" w:rsidP="00E273C0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273C0" w:rsidRPr="00E27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DA"/>
    <w:rsid w:val="000E4441"/>
    <w:rsid w:val="001D6650"/>
    <w:rsid w:val="002641A8"/>
    <w:rsid w:val="0033302D"/>
    <w:rsid w:val="0035251C"/>
    <w:rsid w:val="003C72B4"/>
    <w:rsid w:val="00441BFF"/>
    <w:rsid w:val="004B6926"/>
    <w:rsid w:val="004C4CBA"/>
    <w:rsid w:val="0051318E"/>
    <w:rsid w:val="00601163"/>
    <w:rsid w:val="00613DD6"/>
    <w:rsid w:val="006217BA"/>
    <w:rsid w:val="00664C24"/>
    <w:rsid w:val="007B5046"/>
    <w:rsid w:val="007D387B"/>
    <w:rsid w:val="0080499B"/>
    <w:rsid w:val="008126D0"/>
    <w:rsid w:val="00831630"/>
    <w:rsid w:val="00853A29"/>
    <w:rsid w:val="008C27EB"/>
    <w:rsid w:val="00924706"/>
    <w:rsid w:val="00924AB4"/>
    <w:rsid w:val="00980C3D"/>
    <w:rsid w:val="00A558E3"/>
    <w:rsid w:val="00A82C1B"/>
    <w:rsid w:val="00A96C4B"/>
    <w:rsid w:val="00AC3C87"/>
    <w:rsid w:val="00B35CBA"/>
    <w:rsid w:val="00B446D3"/>
    <w:rsid w:val="00B52583"/>
    <w:rsid w:val="00C97824"/>
    <w:rsid w:val="00CE0D31"/>
    <w:rsid w:val="00CE3467"/>
    <w:rsid w:val="00D71EC1"/>
    <w:rsid w:val="00D74BBB"/>
    <w:rsid w:val="00D857DA"/>
    <w:rsid w:val="00DD0451"/>
    <w:rsid w:val="00E273C0"/>
    <w:rsid w:val="00E904C9"/>
    <w:rsid w:val="00E942C0"/>
    <w:rsid w:val="00EF5C47"/>
    <w:rsid w:val="00FC3A12"/>
    <w:rsid w:val="00FC3AF5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D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71EC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02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02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0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7D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71EC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02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302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3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40C7-4435-4AC5-8203-95765D6D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 C.J.</dc:creator>
  <cp:lastModifiedBy>jappertr</cp:lastModifiedBy>
  <cp:revision>21</cp:revision>
  <cp:lastPrinted>2017-08-11T16:39:00Z</cp:lastPrinted>
  <dcterms:created xsi:type="dcterms:W3CDTF">2017-06-27T19:32:00Z</dcterms:created>
  <dcterms:modified xsi:type="dcterms:W3CDTF">2017-11-02T07:16:00Z</dcterms:modified>
</cp:coreProperties>
</file>