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exact"/>
        <w:rPr>
          <w:b/>
          <w:sz w:val="28"/>
          <w:szCs w:val="28"/>
        </w:rPr>
      </w:pPr>
      <w:r>
        <w:rPr>
          <w:rFonts w:hint="eastAsia"/>
          <w:b/>
          <w:sz w:val="28"/>
          <w:szCs w:val="28"/>
        </w:rPr>
        <w:t>S</w:t>
      </w:r>
      <w:r>
        <w:rPr>
          <w:b/>
          <w:sz w:val="28"/>
          <w:szCs w:val="28"/>
        </w:rPr>
        <w:t>UPPLEMENTARY DATA</w:t>
      </w:r>
    </w:p>
    <w:p>
      <w:pPr>
        <w:spacing w:line="450" w:lineRule="exact"/>
        <w:rPr>
          <w:rFonts w:hint="eastAsia"/>
          <w:b/>
          <w:sz w:val="28"/>
          <w:szCs w:val="28"/>
        </w:rPr>
      </w:pPr>
    </w:p>
    <w:p>
      <w:pPr>
        <w:spacing w:line="450" w:lineRule="exact"/>
        <w:rPr>
          <w:b/>
          <w:i/>
          <w:sz w:val="28"/>
          <w:szCs w:val="28"/>
        </w:rPr>
      </w:pPr>
      <w:r>
        <w:rPr>
          <w:b/>
          <w:sz w:val="28"/>
          <w:szCs w:val="28"/>
        </w:rPr>
        <w:t xml:space="preserve">Antibacterial Effect of </w:t>
      </w:r>
      <w:r>
        <w:rPr>
          <w:b/>
          <w:i/>
          <w:sz w:val="28"/>
          <w:szCs w:val="28"/>
        </w:rPr>
        <w:t>2R</w:t>
      </w:r>
      <w:r>
        <w:rPr>
          <w:b/>
          <w:sz w:val="28"/>
          <w:szCs w:val="28"/>
        </w:rPr>
        <w:t>,</w:t>
      </w:r>
      <w:r>
        <w:rPr>
          <w:b/>
          <w:i/>
          <w:sz w:val="28"/>
          <w:szCs w:val="28"/>
        </w:rPr>
        <w:t>3R</w:t>
      </w:r>
      <w:r>
        <w:rPr>
          <w:b/>
          <w:sz w:val="28"/>
          <w:szCs w:val="28"/>
        </w:rPr>
        <w:t xml:space="preserve">-Dihydromyricetin on the Cellular Functions of </w:t>
      </w:r>
      <w:r>
        <w:rPr>
          <w:b/>
          <w:i/>
          <w:sz w:val="28"/>
          <w:szCs w:val="28"/>
        </w:rPr>
        <w:t>Staphylococcus aureus</w:t>
      </w:r>
    </w:p>
    <w:p>
      <w:pPr>
        <w:pStyle w:val="8"/>
        <w:spacing w:line="450" w:lineRule="exact"/>
        <w:rPr>
          <w:rFonts w:hint="eastAsia"/>
        </w:rPr>
      </w:pPr>
    </w:p>
    <w:p>
      <w:pPr>
        <w:pStyle w:val="8"/>
        <w:spacing w:line="450" w:lineRule="exact"/>
        <w:rPr>
          <w:sz w:val="24"/>
          <w:szCs w:val="24"/>
        </w:rPr>
      </w:pPr>
      <w:r>
        <w:rPr>
          <w:sz w:val="24"/>
          <w:szCs w:val="24"/>
        </w:rPr>
        <w:t>Yan-Ping WU,</w:t>
      </w:r>
      <w:r>
        <w:rPr>
          <w:sz w:val="24"/>
          <w:szCs w:val="24"/>
          <w:vertAlign w:val="superscript"/>
        </w:rPr>
        <w:t>1</w:t>
      </w:r>
      <w:r>
        <w:rPr>
          <w:sz w:val="24"/>
          <w:szCs w:val="24"/>
        </w:rPr>
        <w:t xml:space="preserve"> Jin-Rong BAI,</w:t>
      </w:r>
      <w:r>
        <w:rPr>
          <w:sz w:val="24"/>
          <w:szCs w:val="24"/>
          <w:vertAlign w:val="superscript"/>
        </w:rPr>
        <w:t>1</w:t>
      </w:r>
      <w:r>
        <w:rPr>
          <w:sz w:val="24"/>
          <w:szCs w:val="24"/>
        </w:rPr>
        <w:t xml:space="preserve"> Kai ZHONG,</w:t>
      </w:r>
      <w:r>
        <w:rPr>
          <w:sz w:val="24"/>
          <w:szCs w:val="24"/>
          <w:vertAlign w:val="superscript"/>
        </w:rPr>
        <w:t>1</w:t>
      </w:r>
      <w:r>
        <w:rPr>
          <w:sz w:val="24"/>
          <w:szCs w:val="24"/>
        </w:rPr>
        <w:t xml:space="preserve"> Ding-Ding BAI,</w:t>
      </w:r>
      <w:r>
        <w:rPr>
          <w:sz w:val="24"/>
          <w:szCs w:val="24"/>
          <w:vertAlign w:val="superscript"/>
        </w:rPr>
        <w:t>2</w:t>
      </w:r>
      <w:r>
        <w:rPr>
          <w:sz w:val="24"/>
          <w:szCs w:val="24"/>
        </w:rPr>
        <w:t xml:space="preserve"> Yi-Na HUANG,</w:t>
      </w:r>
      <w:r>
        <w:rPr>
          <w:sz w:val="24"/>
          <w:szCs w:val="24"/>
          <w:vertAlign w:val="superscript"/>
        </w:rPr>
        <w:t>2</w:t>
      </w:r>
      <w:r>
        <w:rPr>
          <w:sz w:val="24"/>
          <w:szCs w:val="24"/>
        </w:rPr>
        <w:t xml:space="preserve"> </w:t>
      </w:r>
    </w:p>
    <w:p>
      <w:pPr>
        <w:pStyle w:val="8"/>
        <w:spacing w:line="450" w:lineRule="exact"/>
        <w:rPr>
          <w:sz w:val="24"/>
          <w:szCs w:val="24"/>
          <w:vertAlign w:val="superscript"/>
        </w:rPr>
      </w:pPr>
      <w:r>
        <w:rPr>
          <w:sz w:val="24"/>
          <w:szCs w:val="24"/>
        </w:rPr>
        <w:t>Kai XIAO,</w:t>
      </w:r>
      <w:r>
        <w:rPr>
          <w:sz w:val="24"/>
          <w:szCs w:val="24"/>
          <w:vertAlign w:val="superscript"/>
        </w:rPr>
        <w:t xml:space="preserve">1,† </w:t>
      </w:r>
      <w:r>
        <w:rPr>
          <w:sz w:val="24"/>
          <w:szCs w:val="24"/>
        </w:rPr>
        <w:t>Yun RAN,</w:t>
      </w:r>
      <w:r>
        <w:rPr>
          <w:sz w:val="24"/>
          <w:szCs w:val="24"/>
          <w:vertAlign w:val="superscript"/>
        </w:rPr>
        <w:t>2</w:t>
      </w:r>
      <w:r>
        <w:rPr>
          <w:sz w:val="24"/>
          <w:szCs w:val="24"/>
        </w:rPr>
        <w:t xml:space="preserve"> and Hong GAO </w:t>
      </w:r>
      <w:r>
        <w:rPr>
          <w:sz w:val="24"/>
          <w:szCs w:val="24"/>
          <w:vertAlign w:val="superscript"/>
        </w:rPr>
        <w:t xml:space="preserve">1,† </w:t>
      </w:r>
    </w:p>
    <w:p>
      <w:pPr>
        <w:spacing w:line="450" w:lineRule="exact"/>
        <w:rPr>
          <w:rFonts w:hint="eastAsia"/>
          <w:sz w:val="24"/>
          <w:szCs w:val="24"/>
        </w:rPr>
      </w:pPr>
    </w:p>
    <w:p>
      <w:pPr>
        <w:spacing w:line="450" w:lineRule="exact"/>
        <w:rPr>
          <w:i/>
          <w:iCs/>
          <w:sz w:val="24"/>
          <w:szCs w:val="24"/>
        </w:rPr>
      </w:pPr>
      <w:r>
        <w:rPr>
          <w:sz w:val="24"/>
          <w:szCs w:val="24"/>
          <w:vertAlign w:val="superscript"/>
        </w:rPr>
        <w:t xml:space="preserve">1 </w:t>
      </w:r>
      <w:bookmarkStart w:id="0" w:name="OLE_LINK74"/>
      <w:r>
        <w:rPr>
          <w:i/>
          <w:iCs/>
          <w:sz w:val="24"/>
          <w:szCs w:val="24"/>
        </w:rPr>
        <w:t>Department of Food Science and Technology</w:t>
      </w:r>
      <w:bookmarkEnd w:id="0"/>
      <w:r>
        <w:rPr>
          <w:i/>
          <w:iCs/>
          <w:sz w:val="24"/>
          <w:szCs w:val="24"/>
        </w:rPr>
        <w:t>, College of Light Industry, Textile and Food Engineering, Sichuan University, Chengdu 610065, China</w:t>
      </w:r>
    </w:p>
    <w:p>
      <w:pPr>
        <w:spacing w:line="450" w:lineRule="exact"/>
        <w:rPr>
          <w:i/>
          <w:iCs/>
          <w:sz w:val="24"/>
          <w:szCs w:val="24"/>
        </w:rPr>
      </w:pPr>
      <w:r>
        <w:rPr>
          <w:sz w:val="24"/>
          <w:szCs w:val="24"/>
          <w:vertAlign w:val="superscript"/>
        </w:rPr>
        <w:t>2</w:t>
      </w:r>
      <w:r>
        <w:rPr>
          <w:i/>
          <w:iCs/>
          <w:sz w:val="24"/>
          <w:szCs w:val="24"/>
        </w:rPr>
        <w:t xml:space="preserve"> </w:t>
      </w:r>
      <w:bookmarkStart w:id="1" w:name="OLE_LINK84"/>
      <w:bookmarkStart w:id="2" w:name="OLE_LINK81"/>
      <w:bookmarkStart w:id="3" w:name="OLE_LINK82"/>
      <w:bookmarkStart w:id="4" w:name="OLE_LINK83"/>
      <w:r>
        <w:rPr>
          <w:i/>
          <w:iCs/>
          <w:sz w:val="24"/>
          <w:szCs w:val="24"/>
        </w:rPr>
        <w:t>Department of Public Health</w:t>
      </w:r>
      <w:bookmarkEnd w:id="1"/>
      <w:bookmarkEnd w:id="2"/>
      <w:bookmarkEnd w:id="3"/>
      <w:bookmarkEnd w:id="4"/>
      <w:r>
        <w:rPr>
          <w:i/>
          <w:iCs/>
          <w:sz w:val="24"/>
          <w:szCs w:val="24"/>
        </w:rPr>
        <w:t>, West China Medical School, Sichuan University, Chengdu 610041, China</w:t>
      </w:r>
    </w:p>
    <w:p>
      <w:pPr>
        <w:spacing w:line="450" w:lineRule="exact"/>
        <w:rPr>
          <w:rFonts w:hint="eastAsia" w:eastAsia="MS Mincho"/>
          <w:sz w:val="24"/>
          <w:szCs w:val="24"/>
          <w:lang w:eastAsia="ja-JP"/>
        </w:rPr>
      </w:pPr>
    </w:p>
    <w:p>
      <w:pPr>
        <w:spacing w:line="450" w:lineRule="exact"/>
        <w:rPr>
          <w:sz w:val="24"/>
          <w:szCs w:val="24"/>
        </w:rPr>
      </w:pPr>
      <w:r>
        <w:rPr>
          <w:sz w:val="24"/>
          <w:szCs w:val="24"/>
          <w:vertAlign w:val="superscript"/>
        </w:rPr>
        <w:t>†</w:t>
      </w:r>
      <w:r>
        <w:rPr>
          <w:sz w:val="24"/>
          <w:szCs w:val="24"/>
        </w:rPr>
        <w:t xml:space="preserve">To whom correspondences should be addressed. Tel.: +86 028 85405236; fax: +86 028 85405137; </w:t>
      </w:r>
      <w:r>
        <w:rPr>
          <w:iCs/>
          <w:sz w:val="24"/>
          <w:szCs w:val="24"/>
        </w:rPr>
        <w:t>E-mail addresses</w:t>
      </w:r>
      <w:r>
        <w:rPr>
          <w:sz w:val="24"/>
          <w:szCs w:val="24"/>
        </w:rPr>
        <w:t>: xiaokai@scu.edu.cn (K. XIAO), gao523@hotmail.com (H. GAO)</w:t>
      </w:r>
    </w:p>
    <w:p>
      <w:pPr>
        <w:spacing w:line="360" w:lineRule="auto"/>
        <w:rPr>
          <w:b/>
          <w:sz w:val="24"/>
          <w:szCs w:val="24"/>
        </w:rPr>
      </w:pPr>
    </w:p>
    <w:p>
      <w:pPr>
        <w:spacing w:line="360" w:lineRule="auto"/>
        <w:rPr>
          <w:rFonts w:hint="eastAsia"/>
          <w:b/>
          <w:sz w:val="24"/>
          <w:szCs w:val="24"/>
        </w:rPr>
      </w:pPr>
      <w:r>
        <w:rPr>
          <w:b/>
          <w:sz w:val="24"/>
          <w:szCs w:val="24"/>
        </w:rPr>
        <w:t>Methods</w:t>
      </w:r>
    </w:p>
    <w:p>
      <w:pPr>
        <w:spacing w:line="360" w:lineRule="auto"/>
        <w:rPr>
          <w:i/>
          <w:sz w:val="24"/>
          <w:szCs w:val="24"/>
        </w:rPr>
      </w:pPr>
      <w:r>
        <w:rPr>
          <w:rFonts w:hint="eastAsia"/>
          <w:i/>
          <w:sz w:val="24"/>
          <w:szCs w:val="24"/>
        </w:rPr>
        <w:t>D</w:t>
      </w:r>
      <w:r>
        <w:rPr>
          <w:i/>
          <w:sz w:val="24"/>
          <w:szCs w:val="24"/>
        </w:rPr>
        <w:t>etermination of ATP</w:t>
      </w:r>
    </w:p>
    <w:p>
      <w:pPr>
        <w:spacing w:line="360" w:lineRule="auto"/>
        <w:ind w:firstLine="240" w:firstLineChars="100"/>
        <w:rPr>
          <w:sz w:val="24"/>
          <w:szCs w:val="24"/>
        </w:rPr>
      </w:pPr>
      <w:r>
        <w:rPr>
          <w:sz w:val="24"/>
          <w:szCs w:val="24"/>
        </w:rPr>
        <w:t xml:space="preserve">In brief, logarithmic phase </w:t>
      </w:r>
      <w:r>
        <w:rPr>
          <w:i/>
          <w:sz w:val="24"/>
          <w:szCs w:val="24"/>
        </w:rPr>
        <w:t>S. aureus</w:t>
      </w:r>
      <w:r>
        <w:rPr>
          <w:sz w:val="24"/>
          <w:szCs w:val="24"/>
        </w:rPr>
        <w:t xml:space="preserve"> was harvested, washed twice and resuspended in 0.85% sterile saline at a cell density of 1× 10</w:t>
      </w:r>
      <w:r>
        <w:rPr>
          <w:sz w:val="24"/>
          <w:szCs w:val="24"/>
          <w:vertAlign w:val="superscript"/>
        </w:rPr>
        <w:t>9</w:t>
      </w:r>
      <w:r>
        <w:rPr>
          <w:sz w:val="24"/>
          <w:szCs w:val="24"/>
        </w:rPr>
        <w:t xml:space="preserve"> CFU/mL. Then, 1 mL of the bacterial suspension was subjected to treatment with DMY at 37 °C for 30 min. After treatment, cells were collected, washed and resuspended in 1 mL of 0.85% sterile saline. Subsequently, the samples were treated by ultrasound on ice, and centrifuged at 10000 rpm for 3 min. The ATP concentration of the resulting supernatants, which represents the intracellular concentration, was determined using an ATP assay kit </w:t>
      </w:r>
      <w:bookmarkStart w:id="5" w:name="OLE_LINK40"/>
      <w:bookmarkStart w:id="6" w:name="OLE_LINK37"/>
      <w:r>
        <w:rPr>
          <w:sz w:val="24"/>
          <w:szCs w:val="24"/>
        </w:rPr>
        <w:t xml:space="preserve">(Life Technologies, Eugene, OR, USA) </w:t>
      </w:r>
      <w:bookmarkEnd w:id="5"/>
      <w:bookmarkEnd w:id="6"/>
      <w:r>
        <w:rPr>
          <w:sz w:val="24"/>
          <w:szCs w:val="24"/>
        </w:rPr>
        <w:t xml:space="preserve">according to manual instructions with a microplate reader (PE envision, Perkin Elmer Co., </w:t>
      </w:r>
      <w:bookmarkStart w:id="7" w:name="OLE_LINK38"/>
      <w:r>
        <w:rPr>
          <w:sz w:val="24"/>
          <w:szCs w:val="24"/>
        </w:rPr>
        <w:t>Waltham, MA, USA</w:t>
      </w:r>
      <w:bookmarkEnd w:id="7"/>
      <w:r>
        <w:rPr>
          <w:sz w:val="24"/>
          <w:szCs w:val="24"/>
        </w:rPr>
        <w:t>).</w:t>
      </w:r>
    </w:p>
    <w:p>
      <w:pPr>
        <w:spacing w:line="360" w:lineRule="auto"/>
        <w:rPr>
          <w:rFonts w:hint="eastAsia"/>
          <w:i/>
          <w:sz w:val="24"/>
          <w:szCs w:val="24"/>
        </w:rPr>
      </w:pPr>
    </w:p>
    <w:p>
      <w:pPr>
        <w:spacing w:line="360" w:lineRule="auto"/>
        <w:rPr>
          <w:rFonts w:hint="eastAsia"/>
          <w:i/>
          <w:sz w:val="24"/>
          <w:szCs w:val="24"/>
        </w:rPr>
      </w:pPr>
    </w:p>
    <w:p>
      <w:pPr>
        <w:spacing w:line="360" w:lineRule="auto"/>
        <w:rPr>
          <w:rFonts w:hint="eastAsia"/>
          <w:i/>
          <w:sz w:val="24"/>
          <w:szCs w:val="24"/>
        </w:rPr>
      </w:pPr>
      <w:bookmarkStart w:id="11" w:name="_GoBack"/>
      <w:bookmarkEnd w:id="11"/>
      <w:r>
        <w:rPr>
          <w:rFonts w:hint="eastAsia"/>
          <w:i/>
          <w:sz w:val="24"/>
          <w:szCs w:val="24"/>
        </w:rPr>
        <w:t>D</w:t>
      </w:r>
      <w:r>
        <w:rPr>
          <w:i/>
          <w:sz w:val="24"/>
          <w:szCs w:val="24"/>
        </w:rPr>
        <w:t>etermination of intracellular pH</w:t>
      </w:r>
    </w:p>
    <w:p>
      <w:pPr>
        <w:spacing w:line="360" w:lineRule="auto"/>
        <w:ind w:firstLine="720" w:firstLineChars="300"/>
        <w:rPr>
          <w:sz w:val="24"/>
          <w:szCs w:val="24"/>
        </w:rPr>
      </w:pPr>
      <w:r>
        <w:rPr>
          <w:sz w:val="24"/>
          <w:szCs w:val="24"/>
        </w:rPr>
        <w:t xml:space="preserve">In brief, 10 mL of logarithmic phase </w:t>
      </w:r>
      <w:r>
        <w:rPr>
          <w:i/>
          <w:sz w:val="24"/>
          <w:szCs w:val="24"/>
        </w:rPr>
        <w:t>S. aureus</w:t>
      </w:r>
      <w:r>
        <w:rPr>
          <w:sz w:val="24"/>
          <w:szCs w:val="24"/>
        </w:rPr>
        <w:t xml:space="preserve"> bacterial suspensions in 50 mM HEPES buffer (containing 5 mM EDTA, pH 8.0) were incubated with 1.0 μM carboxyfluorescein diacetate succinimidyl ester (Life Technologies, Eugene, OR, USA) at 37 </w:t>
      </w:r>
      <w:bookmarkStart w:id="8" w:name="OLE_LINK19"/>
      <w:r>
        <w:rPr>
          <w:sz w:val="24"/>
          <w:szCs w:val="24"/>
        </w:rPr>
        <w:t>°C</w:t>
      </w:r>
      <w:bookmarkEnd w:id="8"/>
      <w:r>
        <w:rPr>
          <w:sz w:val="24"/>
          <w:szCs w:val="24"/>
        </w:rPr>
        <w:t xml:space="preserve"> for 10 min. Then, the cells were collected, washed and resuspended in 10 mL of 50 mM potassium phosphate buffer (containing 10 mM MgCl</w:t>
      </w:r>
      <w:r>
        <w:rPr>
          <w:sz w:val="24"/>
          <w:szCs w:val="24"/>
          <w:vertAlign w:val="subscript"/>
        </w:rPr>
        <w:t>2</w:t>
      </w:r>
      <w:r>
        <w:rPr>
          <w:sz w:val="24"/>
          <w:szCs w:val="24"/>
        </w:rPr>
        <w:t xml:space="preserve">, pH 7.0). After incubation with 10 mM glucose at 37 </w:t>
      </w:r>
      <w:bookmarkStart w:id="9" w:name="OLE_LINK35"/>
      <w:r>
        <w:rPr>
          <w:sz w:val="24"/>
          <w:szCs w:val="24"/>
        </w:rPr>
        <w:t>°C</w:t>
      </w:r>
      <w:bookmarkEnd w:id="9"/>
      <w:r>
        <w:rPr>
          <w:sz w:val="24"/>
          <w:szCs w:val="24"/>
        </w:rPr>
        <w:t xml:space="preserve"> for 30 min, the cells were washed twice, resuspended in 50 mM potassium phosphate buffer (pH 7.0), and then treated with DMY for 30 min. The fluorescence intensities at 525 nm were measured at excitation wavelengths of 440 nm and 490 nm, respectively, using the microplate reader referred above. Background fluorescence resulting from the filtrate of cell suspension was measured and corrected. The pH</w:t>
      </w:r>
      <w:r>
        <w:rPr>
          <w:sz w:val="24"/>
          <w:szCs w:val="24"/>
          <w:vertAlign w:val="subscript"/>
        </w:rPr>
        <w:t>in</w:t>
      </w:r>
      <w:r>
        <w:rPr>
          <w:sz w:val="24"/>
          <w:szCs w:val="24"/>
        </w:rPr>
        <w:t xml:space="preserve"> of </w:t>
      </w:r>
      <w:r>
        <w:rPr>
          <w:i/>
          <w:sz w:val="24"/>
          <w:szCs w:val="24"/>
        </w:rPr>
        <w:t>S. aureus</w:t>
      </w:r>
      <w:r>
        <w:rPr>
          <w:sz w:val="24"/>
          <w:szCs w:val="24"/>
        </w:rPr>
        <w:t xml:space="preserve"> cells was determined according to the ratio of fluorescence intensity at 490 nm and 440 nm with the calibration curve.</w:t>
      </w:r>
    </w:p>
    <w:p>
      <w:pPr>
        <w:spacing w:line="360" w:lineRule="auto"/>
        <w:rPr>
          <w:sz w:val="24"/>
          <w:szCs w:val="24"/>
        </w:rPr>
      </w:pPr>
    </w:p>
    <w:p>
      <w:pPr>
        <w:spacing w:line="360" w:lineRule="auto"/>
        <w:rPr>
          <w:rFonts w:hint="eastAsia"/>
          <w:i/>
          <w:sz w:val="24"/>
          <w:szCs w:val="24"/>
        </w:rPr>
      </w:pPr>
      <w:r>
        <w:rPr>
          <w:rFonts w:hint="eastAsia"/>
          <w:i/>
          <w:sz w:val="24"/>
          <w:szCs w:val="24"/>
        </w:rPr>
        <w:t>D</w:t>
      </w:r>
      <w:r>
        <w:rPr>
          <w:i/>
          <w:sz w:val="24"/>
          <w:szCs w:val="24"/>
        </w:rPr>
        <w:t>etermination of SDH and MDH activities</w:t>
      </w:r>
    </w:p>
    <w:p>
      <w:pPr>
        <w:spacing w:line="360" w:lineRule="auto"/>
        <w:ind w:firstLine="240" w:firstLineChars="100"/>
        <w:rPr>
          <w:sz w:val="24"/>
          <w:szCs w:val="24"/>
        </w:rPr>
      </w:pPr>
      <w:r>
        <w:rPr>
          <w:sz w:val="24"/>
          <w:szCs w:val="24"/>
        </w:rPr>
        <w:t xml:space="preserve">Briefly, logarithmic phase </w:t>
      </w:r>
      <w:r>
        <w:rPr>
          <w:i/>
          <w:sz w:val="24"/>
          <w:szCs w:val="24"/>
        </w:rPr>
        <w:t xml:space="preserve">S. aureus </w:t>
      </w:r>
      <w:r>
        <w:rPr>
          <w:sz w:val="24"/>
          <w:szCs w:val="24"/>
        </w:rPr>
        <w:t xml:space="preserve">cells suspended in 0.85% sterile saline were treated with DMY at 37 °C for 3 h. Then, the SDH and MDH activities of </w:t>
      </w:r>
      <w:r>
        <w:rPr>
          <w:i/>
          <w:sz w:val="24"/>
          <w:szCs w:val="24"/>
        </w:rPr>
        <w:t>S. aureus</w:t>
      </w:r>
      <w:r>
        <w:rPr>
          <w:sz w:val="24"/>
          <w:szCs w:val="24"/>
        </w:rPr>
        <w:t xml:space="preserve"> cells were determined using the SDH Activity Colorimetric Assay Kit and MDH Activity Colorimetric Assay Kit (GenMed scientifics Inc., Shanghai, China) following the manufacturer’s protocols, respectively, using a microplate reader (Multiskan go, </w:t>
      </w:r>
      <w:bookmarkStart w:id="10" w:name="OLE_LINK39"/>
      <w:r>
        <w:rPr>
          <w:sz w:val="24"/>
          <w:szCs w:val="24"/>
        </w:rPr>
        <w:t>Thermo Fisher</w:t>
      </w:r>
      <w:bookmarkEnd w:id="10"/>
      <w:r>
        <w:rPr>
          <w:sz w:val="24"/>
          <w:szCs w:val="24"/>
        </w:rPr>
        <w:t xml:space="preserve"> Scientific Co., Waltham, MA, USA).</w:t>
      </w:r>
    </w:p>
    <w:p>
      <w:pPr>
        <w:spacing w:line="360" w:lineRule="auto"/>
        <w:rPr>
          <w:sz w:val="24"/>
          <w:szCs w:val="24"/>
        </w:rPr>
      </w:pPr>
    </w:p>
    <w:p>
      <w:pPr>
        <w:spacing w:line="360" w:lineRule="auto"/>
        <w:rPr>
          <w:b/>
          <w:sz w:val="24"/>
          <w:szCs w:val="24"/>
        </w:rPr>
      </w:pPr>
      <w:r>
        <w:rPr>
          <w:rFonts w:hint="eastAsia"/>
          <w:b/>
          <w:sz w:val="24"/>
          <w:szCs w:val="24"/>
        </w:rPr>
        <w:t>R</w:t>
      </w:r>
      <w:r>
        <w:rPr>
          <w:b/>
          <w:sz w:val="24"/>
          <w:szCs w:val="24"/>
        </w:rPr>
        <w:t>esults</w:t>
      </w:r>
    </w:p>
    <w:p>
      <w:pPr>
        <w:spacing w:line="360" w:lineRule="auto"/>
        <w:rPr>
          <w:i/>
          <w:sz w:val="24"/>
          <w:szCs w:val="24"/>
        </w:rPr>
      </w:pPr>
      <w:r>
        <w:rPr>
          <w:rFonts w:hint="eastAsia"/>
          <w:i/>
          <w:sz w:val="24"/>
          <w:szCs w:val="24"/>
        </w:rPr>
        <w:t>E</w:t>
      </w:r>
      <w:r>
        <w:rPr>
          <w:i/>
          <w:sz w:val="24"/>
          <w:szCs w:val="24"/>
        </w:rPr>
        <w:t>ffect of DMY on the SDH and MDH activities of S. aureus</w:t>
      </w:r>
    </w:p>
    <w:p>
      <w:pPr>
        <w:spacing w:line="360" w:lineRule="auto"/>
        <w:rPr>
          <w:rFonts w:hint="eastAsia"/>
          <w:sz w:val="24"/>
          <w:szCs w:val="24"/>
        </w:rPr>
      </w:pPr>
    </w:p>
    <w:p>
      <w:pPr>
        <w:spacing w:line="360" w:lineRule="auto"/>
        <w:jc w:val="center"/>
        <w:rPr>
          <w:sz w:val="24"/>
          <w:szCs w:val="24"/>
        </w:rPr>
      </w:pPr>
      <w:r>
        <w:drawing>
          <wp:inline distT="0" distB="0" distL="0" distR="0">
            <wp:extent cx="2679700" cy="423481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79700" cy="4234815"/>
                    </a:xfrm>
                    <a:prstGeom prst="rect">
                      <a:avLst/>
                    </a:prstGeom>
                    <a:noFill/>
                    <a:ln>
                      <a:noFill/>
                    </a:ln>
                  </pic:spPr>
                </pic:pic>
              </a:graphicData>
            </a:graphic>
          </wp:inline>
        </w:drawing>
      </w:r>
    </w:p>
    <w:p>
      <w:pPr>
        <w:spacing w:line="450" w:lineRule="exact"/>
        <w:jc w:val="left"/>
        <w:rPr>
          <w:kern w:val="0"/>
          <w:sz w:val="24"/>
          <w:szCs w:val="24"/>
        </w:rPr>
      </w:pPr>
      <w:r>
        <w:rPr>
          <w:rFonts w:hint="eastAsia"/>
          <w:b/>
          <w:sz w:val="24"/>
          <w:szCs w:val="24"/>
        </w:rPr>
        <w:t>F</w:t>
      </w:r>
      <w:r>
        <w:rPr>
          <w:b/>
          <w:sz w:val="24"/>
          <w:szCs w:val="24"/>
        </w:rPr>
        <w:t>ig. S3.</w:t>
      </w:r>
      <w:r>
        <w:rPr>
          <w:sz w:val="24"/>
          <w:szCs w:val="24"/>
        </w:rPr>
        <w:t xml:space="preserve"> </w:t>
      </w:r>
      <w:r>
        <w:rPr>
          <w:kern w:val="0"/>
          <w:sz w:val="24"/>
          <w:szCs w:val="24"/>
        </w:rPr>
        <w:t xml:space="preserve">Effect of </w:t>
      </w:r>
      <w:r>
        <w:rPr>
          <w:i/>
          <w:sz w:val="24"/>
          <w:szCs w:val="24"/>
        </w:rPr>
        <w:t>2R</w:t>
      </w:r>
      <w:r>
        <w:rPr>
          <w:sz w:val="24"/>
          <w:szCs w:val="24"/>
        </w:rPr>
        <w:t xml:space="preserve">, </w:t>
      </w:r>
      <w:r>
        <w:rPr>
          <w:i/>
          <w:sz w:val="24"/>
          <w:szCs w:val="24"/>
        </w:rPr>
        <w:t>3R</w:t>
      </w:r>
      <w:r>
        <w:rPr>
          <w:sz w:val="24"/>
          <w:szCs w:val="24"/>
        </w:rPr>
        <w:t xml:space="preserve">-dihydromyricetin on the succinate dehydrogenase activity (A) and malate dehydrogenase activity (B) of </w:t>
      </w:r>
      <w:r>
        <w:rPr>
          <w:i/>
          <w:sz w:val="24"/>
          <w:szCs w:val="24"/>
        </w:rPr>
        <w:t>S. aureus</w:t>
      </w:r>
      <w:r>
        <w:rPr>
          <w:sz w:val="24"/>
          <w:szCs w:val="24"/>
        </w:rPr>
        <w:t xml:space="preserve"> ATCC 6538. </w:t>
      </w:r>
      <w:r>
        <w:rPr>
          <w:kern w:val="0"/>
          <w:sz w:val="24"/>
          <w:szCs w:val="24"/>
        </w:rPr>
        <w:t>Bars represent the standard deviation (n = 3).</w:t>
      </w: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S Mincho">
    <w:panose1 w:val="02020609040205080304"/>
    <w:charset w:val="80"/>
    <w:family w:val="modern"/>
    <w:pitch w:val="default"/>
    <w:sig w:usb0="E00002FF" w:usb1="6AC7FDFB" w:usb2="08000012" w:usb3="00000000" w:csb0="4002009F" w:csb1="DFD70000"/>
  </w:font>
  <w:font w:name="楷体_GB2312">
    <w:altName w:val="楷体"/>
    <w:panose1 w:val="00000000000000000000"/>
    <w:charset w:val="86"/>
    <w:family w:val="roman"/>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A4"/>
    <w:rsid w:val="000F7EAD"/>
    <w:rsid w:val="00121220"/>
    <w:rsid w:val="001528C3"/>
    <w:rsid w:val="00291BBD"/>
    <w:rsid w:val="00392676"/>
    <w:rsid w:val="00457E84"/>
    <w:rsid w:val="004B1904"/>
    <w:rsid w:val="004B39D6"/>
    <w:rsid w:val="004C28B4"/>
    <w:rsid w:val="004E712A"/>
    <w:rsid w:val="005A6438"/>
    <w:rsid w:val="005D6E16"/>
    <w:rsid w:val="00691B34"/>
    <w:rsid w:val="006943CE"/>
    <w:rsid w:val="0079010D"/>
    <w:rsid w:val="008E14EA"/>
    <w:rsid w:val="00A72B09"/>
    <w:rsid w:val="00BB6ABE"/>
    <w:rsid w:val="00C00C28"/>
    <w:rsid w:val="00D5600D"/>
    <w:rsid w:val="00E5316C"/>
    <w:rsid w:val="00F618A4"/>
    <w:rsid w:val="00F97613"/>
    <w:rsid w:val="1B463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 w:type="paragraph" w:customStyle="1" w:styleId="8">
    <w:name w:val="正文1"/>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472</Words>
  <Characters>2696</Characters>
  <Lines>22</Lines>
  <Paragraphs>6</Paragraphs>
  <TotalTime>0</TotalTime>
  <ScaleCrop>false</ScaleCrop>
  <LinksUpToDate>false</LinksUpToDate>
  <CharactersWithSpaces>3162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2017-11-25T01:19:00Z</dcterms:created>
  <dc:creator>Yanping Wu</dc:creator>
  <cp:lastModifiedBy>gaohong</cp:lastModifiedBy>
  <dcterms:modified xsi:type="dcterms:W3CDTF">2017-11-27T01:34:24Z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